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Mincho" w:eastAsia="Yu Mincho" w:hAnsi="Yu Mincho"/>
          <w:color w:val="5E6B67"/>
          <w:sz w:val="24"/>
          <w:szCs w:val="24"/>
        </w:rPr>
        <w:t xml:space="preserve">中札内村下水道事業経営戦略（案）</w:t>
      </w:r>
    </w:p>
    <w:p>
      <w:pPr>
        <w:pBdr>
          <w:bottom w:val="single" w:color="1A2422" w:sz="18" w:space="8"/>
        </w:pBdr>
        <w:spacing w:after="200"/>
      </w:pPr>
      <w:r>
        <w:rPr>
          <w:rFonts w:ascii="Yu Mincho" w:eastAsia="Yu Mincho" w:hAnsi="Yu Mincho"/>
          <w:b/>
          <w:bCs/>
          <w:color w:val="1A2422"/>
          <w:sz w:val="40"/>
          <w:szCs w:val="40"/>
        </w:rPr>
        <w:t xml:space="preserve">打合せ確認事項・影響度一覧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C8D2CE" w:sz="4"/>
          <w:insideV w:val="none"/>
        </w:tblBorders>
      </w:tblPr>
      <w:tblGrid>
        <w:gridCol w:w="1750"/>
        <w:gridCol w:w="7888"/>
      </w:tblGrid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作成日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令和8（2026）年10月1日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全24件（影響度 大5件・中12件・小7件）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根拠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朱書き校正紙・提供資料（下水4点／簡易水道給水区域図）・現行公表版（令和7年2月策定）の突合せ結果による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１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本書の使い方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書は、中札内村下水道事業経営戦略（案）の修正を進めるにあたり、打合せの場でご確認いただきたい事項を整理したものである。各事項には影響度を付し、未決のまま残した場合に何が止まるのかを明記した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回答は別添の「確認結果入力シート（Excel）」にご記入いただきたい。本書の確認事項IDと入力シートの行は1対1で対応している。選択肢を示した事項はいずれかを選び、必要に応じて補足をご記入いただければ、そのまま本文およびシミュレーションへ反映する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なお、朱書き校正紙でご指示いただいた9件と、公表版との照合により根拠が確定した事項は、すでに本文およびシミュレーションへ反映済みである。本書はそれ以外の未決事項のみを扱う。</w:t>
      </w: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２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影響度の区分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87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定義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大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収支計画・シミュレーション結果、または計画の根幹に関わる。未決のままでは本文を確定できない。</w:t>
            </w:r>
          </w:p>
        </w:tc>
      </w:tr>
      <w:tr>
        <w:tc>
          <w:tcPr>
            <w:tcW w:type="dxa" w:w="9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中</w:t>
            </w:r>
          </w:p>
        </w:tc>
        <w:tc>
          <w:tcPr>
            <w:tcW w:type="dxa" w:w="87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本文または図表の記載内容が変わる。影響は当該章で完結する。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小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表記・データ整理のレベル。他への波及はない。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３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確認事項サマリ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3600"/>
        <w:gridCol w:w="1200"/>
        <w:gridCol w:w="1200"/>
        <w:gridCol w:w="1200"/>
        <w:gridCol w:w="1200"/>
        <w:gridCol w:w="1238"/>
      </w:tblGrid>
      <w:tr>
        <w:trPr>
          <w:tblHeader/>
        </w:trPr>
        <w:tc>
          <w:tcPr>
            <w:tcW w:type="dxa" w:w="36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大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小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計</w:t>
            </w:r>
          </w:p>
        </w:tc>
        <w:tc>
          <w:tcPr>
            <w:tcW w:type="dxa" w:w="12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主な影響先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A．事実確認・資料提供（村へ照会）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本文p.2・p.19・p.20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B．記述方針の判断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5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本文p.18・p.19・p.31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C．経営方針の判断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D．データ整理の判断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Excel・図表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E．簡易水道側の確認事項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5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合計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24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■　優先してご確認いただきたい事項（影響度 大）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次の5件は、決まらないと本文または収支計画を確定できない。打合せではこの5件を先にお願いしたい。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760"/>
        <w:gridCol w:w="2700"/>
        <w:gridCol w:w="1100"/>
        <w:gridCol w:w="5078"/>
      </w:tblGrid>
      <w:tr>
        <w:trPr>
          <w:tblHeader/>
        </w:trPr>
        <w:tc>
          <w:tcPr>
            <w:tcW w:type="dxa" w:w="76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1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状態</w:t>
            </w:r>
          </w:p>
        </w:tc>
        <w:tc>
          <w:tcPr>
            <w:tcW w:type="dxa" w:w="507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決まらないと止まること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A-1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中札内浄化センターの主要施設一覧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照会中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  <w:tr>
        <w:tc>
          <w:tcPr>
            <w:tcW w:type="dxa" w:w="76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B-2</w:t>
            </w:r>
          </w:p>
        </w:tc>
        <w:tc>
          <w:tcPr>
            <w:tcW w:type="dxa" w:w="27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将来人口の推計根拠（論点G）</w:t>
            </w:r>
          </w:p>
        </w:tc>
        <w:tc>
          <w:tcPr>
            <w:tcW w:type="dxa" w:w="1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使用料改定の時期と改定率（論点C）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  <w:tr>
        <w:tc>
          <w:tcPr>
            <w:tcW w:type="dxa" w:w="76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C-2</w:t>
            </w:r>
          </w:p>
        </w:tc>
        <w:tc>
          <w:tcPr>
            <w:tcW w:type="dxa" w:w="27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他会計補助金（繰入金）の前提（論点D）</w:t>
            </w:r>
          </w:p>
        </w:tc>
        <w:tc>
          <w:tcPr>
            <w:tcW w:type="dxa" w:w="1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C-3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令和8年度以降の投資計画の配分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４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</w:t>
      </w: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A．事実確認・資料提供（村へ照会）　（6件）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中札内浄化センターの主要施設一覧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p.20の「■処理場の概要」および主要施設一覧は、施設名が「三戸浄化センター」となっており他団体の諸元がそのまま残存している。提供資料「施設の概要.pdf」および公表版にも設備構成のデータ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敷地面積・放流水質・設備構成（流入渠、ポンプ台数、オキシデーションディッチ池数、最終沈殿池、塩素接触タンク、汚泥脱水機、受変電設備等）を施設台帳または竣工図書からご提供いただきたい。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本文p.20（処理場の概要・主要施設一覧）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p.20の概要表は提供資料の諸元へ差替済み（10/1）。主要施設の一覧のみ未入手。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管渠延長25,270.66mの基準時点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提供資料「管渠延長.pdf」の経過年数は令和7年度を基準としているのに対し、本文は「令和5年度末の時点で」と記載している。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総管渠延長25,270.66mがどの時点の値か。本文の時点表記をどちらに揃えるか。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令和5年度末時点として記載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令和7年度時点として記載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本文p.19（管渠の状況）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延長値と時点の組合せが不整合のまま公表される。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令和5年度末時点として本文へ仮反映済み（10/1）。基準時点のご確認をお願いしたい。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事業計画上の総延長27,560mとの差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提供資料「施設の概要.pdf」の管路施設・総延長（汚水）は27,560mであるのに対し、「管渠延長.pdf」の実績合計は25,270.66m。差は約2,290m。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差の内訳（未整備分か、圧送管・取付管等の算入範囲の違いか）。本文には計画値と実績値のどちらを記載するか。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実績値25,270.66mを記載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計画値27,560mを記載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両方を併記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本文p.19・p.20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管渠関係の数値が本文内で二重基準になる。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処理場の処理能力（論点F）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は1,520㎥/日（760㎥/日×2池）。一方、令和5年度の有収水量357,117㎥を有収率101.76%で割り戻すと総処理水量は約962㎥/日となり、経営比較分析表の施設利用率71.78%で割り戻すと1日処理能力は約1,340㎥/日となる。約12%の開き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認可処理能力と現有処理能力の違いによるものか、分析表の算定根拠によるものか。本文p.20にはどちらの値を記載するか。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1,520㎥/日（提供資料）を記載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現有能力の実数値を記載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本文p.20・経営指標の説明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施設利用率の説明と処理能力の記載が整合しない。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全体計画人口2,810人の出典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本文p.2に「全体計画人口は2,810人と設定されていますが」とあるが、提供資料の計画区域内人口は2,661人（事業計画・目標年次令和7年度）であり、公表版にも2,810人の記載がない。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2,810人の出典（全体計画の目標年次令和13年度の値か）。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全体計画（令和13年度）の値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事業計画（令和7年度）の2,661人に置換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出典不明の数値が残る。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A-6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簡易水道の実績値のご提供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シミュレーションの「簡水過去」シートが三戸町の実績値（行政区域内人口11,023→8,699人等）のまま。下水道の試算には波及しないことを確認済みだが、同一ブック内の簡易水道の推計に影響する。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簡易水道の平成26〜令和6年度実績（行政区域内人口・給水人口・給水戸数・年間総配水量・有収水量・料金収入）のご提供。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Excel「簡水過去」「予測(2)P1〜P4」の簡水部分・「簡水現況予測」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簡易水道側の推計が他団体データのまま残る。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B．記述方針の判断　（5件）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汚水処理原価が高い原因の記述（論点B）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は「現状の施設能力に対して稼働が正しく賄えていない状況です」としているが、公表版の分析欄は施設利用率71.78%（類似団体平均42.09%）をもって「全国平均や類似団体平均値と比較し高い利用率であり、適正規模での施設運営であるといえる」としており、説明が逆にな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どちらの説明に揃えるか。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公表版に合わせ「人口密度が低く資本費負担が大きい」旨に改める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現行の記述を維持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両論を併記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本文p.18（経営状況分析から見える本村の特徴）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公表版と真逆の原因分析が並立する。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将来人口の推計根拠（論点G）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本文の同じ節（Ⅲ-1 有収水量の予測）の中で、説明文は「国立社会保障・人口問題研究所による推計から算出」、直後の前提条件ボックスは「第7期中札内村まちづくり計画より村独自推計」としており矛盾している。公表版3頁は村独自推計と明記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推計根拠をどちらに統一するか。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村独自推計（第7期まちづくり計画）に統一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社人研推計に統一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本文p.31（予測の考え方）・人口予測グラフ（p.23）・Excel「予測」シート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普及率・水洗化率の平均年度（論点G付随）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同じ節で、説明文は「令和4年度から令和6年度の3か年実績の平均」、前提条件ボックスは「令和3年度から令和5年度までの過去3か年実績の平均」としており食い違っている。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どちらの3か年に統一するか。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令和3〜5年度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令和4〜6年度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本文p.31・Excel「予測」シートの係数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推計の前提が二通り記載されたままになる。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p.19に記載する下水道普及率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現行は「村内での下水道普及率はほぼ100%となっています」で明らかに誤り。公表版では経営比較分析表が69.48%（令和5年度決算）、本体3頁が処理区域内人口比率70.9%としており、根拠が2通りある。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どちらの値・指標名で記載するか。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69.48%（経営比較分析表・普及率）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70.9%（処理区域内人口比率）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誤った普及率が残るか、公表値と異なる値を記載してしまう。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69.5％（経営比較分析表・令和5年度決算）として本文へ仮反映済み（10/1）。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「（管更生含む）」の但書の要否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本文p.19の総管渠延長に「（管更生含む）」の但書があるが、経営比較分析表の管渠改善率は0.00%であり管更生の実績が確認できない。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但書を残すか削除するか。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残す（管更生の実績あり）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実績のない但書が残る。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提供資料に管更生の区分がないため但書を削除して仮反映済み（10/1）。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C．経営方針の判断　（4件）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使用料改定の時期と改定率（論点C）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の投資・財政計画は令和8年度から料金収入を61,683千円→98,928千円（＋60.4%）とする引上げを織り込み済み。一方、改定案のシミュレーションは令和9年度からの10〜30%改定（採用案はパターン2＝15%）で、前提の大幅な下方修正かつ1年の後ろ倒しとな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改定の時期と率をどう設定するか。社会資本整備総合交付金の支給要件（使用料適正化のロードマップ記載）との整合も含めて方針を確認したい。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令和9年度・15%（パターン2）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令和8年度・約60%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別の時期・率を設定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本文p.27〜32・ロードマップ・Excelシミュレーション全体／交付金の支給要件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他会計補助金（繰入金）の前提（論点D）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公表版は他会計補助金を令和7年度55,771千円としているのに対し、改定案のExcelは88,514千円（公表版の令和6年度値）を置いている。差は＋32,743千円。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令和7年度以降の繰入金をどの水準で見込むか。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88,514千円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55,771千円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収支計画全体・経常収支比率・シミュレーションのパターン判定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令和8年度以降の投資計画の配分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は93,100千円で公表版と一致することを確認したが、令和8年度以降は配分が大きく異なる（令和9年度：公表版424,000千円／改定案749,000千円、令和10年度：公表版192,000千円／改定案50,000千円、令和11年度：公表版19,426千円／改定案99,426千円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改定案の配分で確定してよいか。変更する場合の年度別事業費。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改定案の配分で確定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公表版の配分に戻す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別途調整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本文p.25・p.26・収支計画全体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経営指標の目標値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現行案は「経常収支比率を計画期間内で100%以上維持し、経費回収率を令和5年度基準57.86%から上昇させる」を目標としている。C-1〜C-3の決定とExcelの再計算により達成可否が変わる可能性がある。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目標値を現行どおりとするか、再計算結果を踏まえて見直すか。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現行の目標値を維持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再計算結果を踏まえて見直す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本文p.32・ロードマップ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再計算後に目標未達となった場合、記載の整合が取れなくなる。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D．データ整理の判断　（4件）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「予測」シートの自治体設定の整理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自治体設定がA3:D3に「コード2441・青森県三戸町」のまま残っている。総人口等（12〜14行）は中札内村の値が直接入力されており推計式とは切れているが、設定行が残っていると出典説明と矛盾する。B-2の決定に連動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設定行を削除する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中札内村の値に置換する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他団体名が残ったまま納品される。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「下水過去」シートの扱い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三戸町の実績値（行政区域内人口11,023→8,699人、使用料収入16,335→23,660千円等）。他シートからの参照はゼロであり、財政計算への波及はない。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中札内村の実績に置換する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シートを削除する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Excel「下水過去」シート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他団体データが残ったまま納品される。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「下水道現況予測」の体裁整理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1行目が「3事業合算」（本村は特定環境保全公共下水道の1事業のみ）、13〜14行の普及率・水洗化率が#DIV/0!、外部リンクが小松市・東員町のブックを指したまま約960箇所ずつ参照している。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整理の要否と範囲。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すべて整理する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表示に出る部分のみ整理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Excel「下水道現況予測」シート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エラー表示と他団体への外部リンクが残る。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再計算後の図表貼り直しの範囲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本文の図表はすべてExcelから貼り付けた画像（EMF 27点）であり、リンクされた表ではない。令和7年度の建設改良費が＋65,676千円となったため、減価償却費・支払利息・企業債残高が令和7年度以降で動く。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貼り直しの対象範囲（p.21〜32の全図表か、数値が動いたものに限るか）と実施時期。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数値が動いた図表のみ差し替え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p.21〜32の全図表を差し替え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本文p.21〜32の各図表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本文の図表と最新の試算値が食い違ったまま残る。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E．簡易水道側の確認事項　（5件）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各給水区域の施設状況（表）のデータ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17「■各給水区域の施設状況」が空欄のまま。本文には杉沢・蛇沼・大舌・貝守・袴田・横沢の6地区の管路延長と配水池設置年度が記載されているが、表に入れる施設諸元（水源種別・浄水方式・配水方式・施設能力・設置年度等）の一覧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6地区それぞれの施設諸元一覧をご提供いただきたい。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本文p.17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p.17の表が空欄のまま残り、本文を完成できない。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横沢地区の管路延長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簡易水道の本文p.17に「管路延長は杉沢で6,692ｍ、蛇沼で21,843ｍ、大舌で16,621ｍ、貝守で19,454ｍ、袴田で11,945ｍとなっており、横沢は不明です」とある。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横沢地区の管路延長。不明のままとする場合はその旨の表記方法。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実数値をご提供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「不明」のまま記載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項目ごと削除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本文p.17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公表物に「不明」の記載が残る。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簡易水道本文の「国（県）補助金」表記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簡易水道の本文p.31付近に「●国（県）補助金」「国庫（県）補助対象事業」が残っている。下水道側では同じ箇所について朱書きで「県」→「道」のご指示をいただき修正済み。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簡易水道側も同様に「道」へ修正してよいか。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下水道と同様に「道」へ修正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本文（資本的収入の説明）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同一団体の2つの戦略で表記が食い違う。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資産活用の状況に下水道の例示が残存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簡易水道の本文「資産活用の状況」の項目名が「（下水熱・下水汚泥・発電等）」となっており、下水道の様式がそのまま残っている。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簡易水道に即した例示（小水力発電等）へ改めてよいか。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簡易水道に即した例示へ改める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項目ごと削除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本文（資産活用の状況）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下水道の用語が簡易水道の戦略に残る。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「サンプル」表記と項目番号の重複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簡易水道の本文に「4．施設の状況　サンプル」「【参考】サンプル」の赤字表記が残っている。また「（５）民間活力の活用等」と「（５）資産活用の状況」で項目番号が重複している。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「サンプル」表記の削除時期と、項目番号の振り直し。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いずれも整理する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本文確定時にまとめて整理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仮表記と番号重複が残ったまま公表される。</w:t>
            </w:r>
          </w:p>
        </w:tc>
      </w:tr>
    </w:tbl>
    <w:p>
      <w:pPr>
        <w:spacing w:after="160"/>
      </w:pP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５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未決のまま進めた場合の作業への波及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文の図表はすべてExcelから貼り付けた画像であり、リンクされた表ではない。そのためExcelを修正するたびにWordへの貼り直しが発生する。C区分（経営方針）が未決のままExcelを再計算すると、確定後にもう一度すべての図表を貼り直すことになるため、C-1からC-3を先に決めていただき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未決の事項</w:t>
            </w:r>
          </w:p>
        </w:tc>
        <w:tc>
          <w:tcPr>
            <w:tcW w:type="dxa" w:w="74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止まる作業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C-1 使用料改定の時期と率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シミュレーション4パターンの採用案が決まらず、p.27〜32の本文と図表、ロードマップが着手できない。交付金の支給要件に関わるため後戻りのコストが大きい。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C-2 繰入金の前提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経常収支比率が変わるため、目標達成の可否判定（p.32）が確定しない。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C-3 令和8年度以降の投資配分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減価償却費・支払利息・企業債残高が動き、収支計画とシミュレーションの全数値が変わる。p.25・p.26の表も差し替えとなる。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B-2 将来人口の推計根拠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有収水量・使用料収入の予測の説明が成り立たず、p.31とp.23の図表が確定しない。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A-1 主要施設一覧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p.20が他団体の記載のまま残り、本文を完成できない。</w:t>
            </w:r>
          </w:p>
        </w:tc>
      </w:tr>
    </w:tbl>
    <w:p>
      <w:pPr>
        <w:pBdr>
          <w:top w:val="single" w:color="C8D2CE" w:sz="6" w:space="6"/>
        </w:pBdr>
        <w:spacing w:after="0" w:before="300"/>
      </w:pPr>
      <w:r>
        <w:rPr>
          <w:rFonts w:ascii="Yu Gothic" w:eastAsia="Yu Gothic" w:hAnsi="Yu Gothic"/>
          <w:color w:val="5E6B67"/>
          <w:sz w:val="17"/>
          <w:szCs w:val="17"/>
        </w:rPr>
        <w:t xml:space="preserve">回答は別添「中札内村下水道事業経営戦略_確認結果入力シート」にご記入ください。確認事項IDが対応しています。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Yu Gothic" w:eastAsia="Yu Gothic" w:hAnsi="Yu Gothic"/>
        <w:color w:val="5E6B6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Yu Gothic" w:eastAsia="Yu Gothic" w:hAnsi="Yu Gothic"/>
        <w:color w:val="5E6B67"/>
        <w:sz w:val="16"/>
        <w:szCs w:val="16"/>
      </w:rPr>
      <w:t xml:space="preserve">中札内村下水道事業経営戦略（案）　打合せ確認事項・影響度一覧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A2422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2026-10-01T04:55:44.466Z</dcterms:created>
  <dcterms:modified xsi:type="dcterms:W3CDTF">2026-10-01T04:55:44.471Z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