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9" w:lineRule="auto"/>
        <w:jc w:val="center"/>
      </w:pPr>
      <w:r>
        <w:rPr>
          <w:rFonts w:ascii="游ゴシック" w:hAnsi="游ゴシック" w:eastAsia="游ゴシック"/>
          <w:b w:val="0"/>
          <w:sz w:val="26"/>
        </w:rPr>
        <w:t>大 雪 地 区 広 域 連 合</w:t>
      </w:r>
    </w:p>
    <w:p>
      <w:pPr>
        <w:spacing w:after="80" w:line="269" w:lineRule="auto"/>
        <w:jc w:val="center"/>
      </w:pPr>
      <w:r>
        <w:rPr>
          <w:rFonts w:ascii="游ゴシック" w:hAnsi="游ゴシック" w:eastAsia="游ゴシック"/>
          <w:b/>
          <w:sz w:val="44"/>
        </w:rPr>
        <w:t>第10期介護保険事業計画</w:t>
      </w:r>
    </w:p>
    <w:p>
      <w:pPr>
        <w:spacing w:after="280" w:line="269" w:lineRule="auto"/>
        <w:jc w:val="center"/>
      </w:pPr>
      <w:r>
        <w:rPr>
          <w:rFonts w:ascii="游ゴシック" w:hAnsi="游ゴシック" w:eastAsia="游ゴシック"/>
          <w:b w:val="0"/>
          <w:sz w:val="24"/>
        </w:rPr>
        <w:t>協議用素案（令和8年9月時点）</w:t>
      </w:r>
    </w:p>
    <w:p>
      <w:pPr>
        <w:spacing w:after="40" w:line="269" w:lineRule="auto"/>
        <w:jc w:val="center"/>
      </w:pPr>
      <w:r>
        <w:rPr>
          <w:rFonts w:ascii="游ゴシック" w:hAnsi="游ゴシック" w:eastAsia="游ゴシック"/>
          <w:b w:val="0"/>
          <w:sz w:val="22"/>
        </w:rPr>
        <w:t>計画期間　令和9（2027）年度～令和11（2029）年度</w:t>
      </w:r>
    </w:p>
    <w:p>
      <w:pPr>
        <w:spacing w:after="280" w:line="269" w:lineRule="auto"/>
        <w:jc w:val="center"/>
      </w:pPr>
      <w:r>
        <w:rPr>
          <w:rFonts w:ascii="游ゴシック" w:hAnsi="游ゴシック" w:eastAsia="游ゴシック"/>
          <w:b w:val="0"/>
          <w:sz w:val="22"/>
        </w:rPr>
        <w:t>令和8（2026）年9月</w:t>
      </w:r>
    </w:p>
    <w:p>
      <w:pPr>
        <w:spacing w:after="200" w:line="269" w:lineRule="auto"/>
        <w:jc w:val="center"/>
      </w:pPr>
      <w:r>
        <w:rPr>
          <w:rFonts w:ascii="游ゴシック" w:hAnsi="游ゴシック" w:eastAsia="游ゴシック"/>
          <w:b w:val="0"/>
          <w:sz w:val="22"/>
        </w:rPr>
        <w:t>大雪地区広域連合（東川町・美瑛町・東神楽町）</w:t>
      </w:r>
    </w:p>
    <w:p>
      <w:r>
        <w:br w:type="page"/>
      </w:r>
    </w:p>
    <w:p>
      <w:pPr>
        <w:spacing w:after="160" w:line="269" w:lineRule="auto"/>
        <w:jc w:val="center"/>
      </w:pPr>
      <w:r>
        <w:rPr>
          <w:rFonts w:ascii="游ゴシック" w:hAnsi="游ゴシック" w:eastAsia="游ゴシック"/>
          <w:b/>
          <w:sz w:val="28"/>
        </w:rPr>
        <w:t>目 次</w:t>
      </w:r>
    </w:p>
    <w:p>
      <w:pPr>
        <w:spacing w:after="200" w:line="269" w:lineRule="auto"/>
        <w:jc w:val="center"/>
      </w:pPr>
      <w:r>
        <w:rPr>
          <w:rFonts w:ascii="游ゴシック" w:hAnsi="游ゴシック" w:eastAsia="游ゴシック"/>
          <w:b w:val="0"/>
          <w:sz w:val="18"/>
        </w:rPr>
        <w:t>章名又は節名をクリックすると、該当ページに移動します。</w:t>
      </w:r>
    </w:p>
    <w:p>
      <w:pPr>
        <w:tabs>
          <w:tab w:pos="9751" w:val="right" w:leader="dot"/>
        </w:tabs>
        <w:spacing w:after="0" w:before="0" w:line="240" w:lineRule="auto"/>
        <w:ind w:left="0" w:right="0"/>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2">
        <w:r>
          <w:rPr>
            <w:rFonts w:ascii="游ゴシック" w:hAnsi="游ゴシック" w:eastAsia="游ゴシック"/>
            <w:sz w:val="20"/>
          </w:rPr>
          <w:t xml:space="preserve">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3">
        <w:r>
          <w:rPr>
            <w:rFonts w:ascii="游ゴシック" w:hAnsi="游ゴシック" w:eastAsia="游ゴシック"/>
            <w:sz w:val="20"/>
          </w:rPr>
          <w:t xml:space="preserve">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4">
        <w:r>
          <w:rPr>
            <w:rFonts w:ascii="游ゴシック" w:hAnsi="游ゴシック" w:eastAsia="游ゴシック"/>
            <w:sz w:val="20"/>
          </w:rPr>
          <w:t xml:space="preserve">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5">
        <w:r>
          <w:rPr>
            <w:rFonts w:ascii="游ゴシック" w:hAnsi="游ゴシック" w:eastAsia="游ゴシック"/>
            <w:sz w:val="20"/>
          </w:rPr>
          <w:t xml:space="preserve">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6">
        <w:r>
          <w:rPr>
            <w:rFonts w:ascii="游ゴシック" w:hAnsi="游ゴシック" w:eastAsia="游ゴシック"/>
            <w:sz w:val="20"/>
          </w:rPr>
          <w:t xml:space="preserve">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7">
        <w:r>
          <w:rPr>
            <w:rFonts w:ascii="游ゴシック" w:hAnsi="游ゴシック" w:eastAsia="游ゴシック"/>
            <w:sz w:val="20"/>
          </w:rPr>
          <w:t xml:space="preserve">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8">
        <w:r>
          <w:rPr>
            <w:rFonts w:ascii="游ゴシック" w:hAnsi="游ゴシック" w:eastAsia="游ゴシック"/>
            <w:sz w:val="20"/>
          </w:rPr>
          <w:t xml:space="preserve">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9">
        <w:r>
          <w:rPr>
            <w:rFonts w:ascii="游ゴシック" w:hAnsi="游ゴシック" w:eastAsia="游ゴシック"/>
            <w:sz w:val="20"/>
          </w:rPr>
          <w:t xml:space="preserve">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0">
        <w:r>
          <w:rPr>
            <w:rFonts w:ascii="游ゴシック" w:hAnsi="游ゴシック" w:eastAsia="游ゴシック"/>
            <w:sz w:val="20"/>
          </w:rPr>
          <w:t xml:space="preserve">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8</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26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2">
        <w:r>
          <w:rPr>
            <w:rFonts w:ascii="游ゴシック" w:hAnsi="游ゴシック" w:eastAsia="游ゴシック"/>
            <w:sz w:val="20"/>
          </w:rPr>
          <w:t xml:space="preserve">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26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3">
        <w:r>
          <w:rPr>
            <w:rFonts w:ascii="游ゴシック" w:hAnsi="游ゴシック" w:eastAsia="游ゴシック"/>
            <w:sz w:val="20"/>
          </w:rPr>
          <w:t xml:space="preserve">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34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4">
        <w:r>
          <w:rPr>
            <w:rFonts w:ascii="游ゴシック" w:hAnsi="游ゴシック" w:eastAsia="游ゴシック"/>
            <w:sz w:val="20"/>
          </w:rPr>
          <w:t xml:space="preserve">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40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5">
        <w:r>
          <w:rPr>
            <w:rFonts w:ascii="游ゴシック" w:hAnsi="游ゴシック" w:eastAsia="游ゴシック"/>
            <w:sz w:val="20"/>
          </w:rPr>
          <w:t xml:space="preserve">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51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6">
        <w:r>
          <w:rPr>
            <w:rFonts w:ascii="游ゴシック" w:hAnsi="游ゴシック" w:eastAsia="游ゴシック"/>
            <w:sz w:val="20"/>
          </w:rPr>
          <w:t xml:space="preserve">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55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7">
        <w:r>
          <w:rPr>
            <w:rFonts w:ascii="游ゴシック" w:hAnsi="游ゴシック" w:eastAsia="游ゴシック"/>
            <w:sz w:val="20"/>
          </w:rPr>
          <w:t xml:space="preserve">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57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8">
        <w:r>
          <w:rPr>
            <w:rFonts w:ascii="游ゴシック" w:hAnsi="游ゴシック" w:eastAsia="游ゴシック"/>
            <w:sz w:val="20"/>
          </w:rPr>
          <w:t xml:space="preserve">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58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9">
        <w:r>
          <w:rPr>
            <w:rFonts w:ascii="游ゴシック" w:hAnsi="游ゴシック" w:eastAsia="游ゴシック"/>
            <w:sz w:val="20"/>
          </w:rPr>
          <w:t xml:space="preserve">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58</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61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1">
        <w:r>
          <w:rPr>
            <w:rFonts w:ascii="游ゴシック" w:hAnsi="游ゴシック" w:eastAsia="游ゴシック"/>
            <w:sz w:val="20"/>
          </w:rPr>
          <w:t xml:space="preserve">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61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2">
        <w:r>
          <w:rPr>
            <w:rFonts w:ascii="游ゴシック" w:hAnsi="游ゴシック" w:eastAsia="游ゴシック"/>
            <w:sz w:val="20"/>
          </w:rPr>
          <w:t xml:space="preserve">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64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3">
        <w:r>
          <w:rPr>
            <w:rFonts w:ascii="游ゴシック" w:hAnsi="游ゴシック" w:eastAsia="游ゴシック"/>
            <w:sz w:val="20"/>
          </w:rPr>
          <w:t xml:space="preserve">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66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4">
        <w:r>
          <w:rPr>
            <w:rFonts w:ascii="游ゴシック" w:hAnsi="游ゴシック" w:eastAsia="游ゴシック"/>
            <w:sz w:val="20"/>
          </w:rPr>
          <w:t xml:space="preserve">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69</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75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6">
        <w:r>
          <w:rPr>
            <w:rFonts w:ascii="游ゴシック" w:hAnsi="游ゴシック" w:eastAsia="游ゴシック"/>
            <w:sz w:val="20"/>
          </w:rPr>
          <w:t xml:space="preserve">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75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7">
        <w:r>
          <w:rPr>
            <w:rFonts w:ascii="游ゴシック" w:hAnsi="游ゴシック" w:eastAsia="游ゴシック"/>
            <w:sz w:val="20"/>
          </w:rPr>
          <w:t xml:space="preserve">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75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8">
        <w:r>
          <w:rPr>
            <w:rFonts w:ascii="游ゴシック" w:hAnsi="游ゴシック" w:eastAsia="游ゴシック"/>
            <w:sz w:val="20"/>
          </w:rPr>
          <w:t xml:space="preserve">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75</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79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0">
        <w:r>
          <w:rPr>
            <w:rFonts w:ascii="游ゴシック" w:hAnsi="游ゴシック" w:eastAsia="游ゴシック"/>
            <w:sz w:val="20"/>
          </w:rPr>
          <w:t xml:space="preserve">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79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1">
        <w:r>
          <w:rPr>
            <w:rFonts w:ascii="游ゴシック" w:hAnsi="游ゴシック" w:eastAsia="游ゴシック"/>
            <w:sz w:val="20"/>
          </w:rPr>
          <w:t xml:space="preserve">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81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2">
        <w:r>
          <w:rPr>
            <w:rFonts w:ascii="游ゴシック" w:hAnsi="游ゴシック" w:eastAsia="游ゴシック"/>
            <w:sz w:val="20"/>
          </w:rPr>
          <w:t xml:space="preserve">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85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3">
        <w:r>
          <w:rPr>
            <w:rFonts w:ascii="游ゴシック" w:hAnsi="游ゴシック" w:eastAsia="游ゴシック"/>
            <w:sz w:val="20"/>
          </w:rPr>
          <w:t xml:space="preserve">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87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4">
        <w:r>
          <w:rPr>
            <w:rFonts w:ascii="游ゴシック" w:hAnsi="游ゴシック" w:eastAsia="游ゴシック"/>
            <w:sz w:val="20"/>
          </w:rPr>
          <w:t xml:space="preserve">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89</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96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6">
        <w:r>
          <w:rPr>
            <w:rFonts w:ascii="游ゴシック" w:hAnsi="游ゴシック" w:eastAsia="游ゴシック"/>
            <w:sz w:val="20"/>
          </w:rPr>
          <w:t xml:space="preserve">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96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7">
        <w:r>
          <w:rPr>
            <w:rFonts w:ascii="游ゴシック" w:hAnsi="游ゴシック" w:eastAsia="游ゴシック"/>
            <w:sz w:val="20"/>
          </w:rPr>
          <w:t xml:space="preserve">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97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8">
        <w:r>
          <w:rPr>
            <w:rFonts w:ascii="游ゴシック" w:hAnsi="游ゴシック" w:eastAsia="游ゴシック"/>
            <w:sz w:val="20"/>
          </w:rPr>
          <w:t xml:space="preserve">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102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9">
        <w:r>
          <w:rPr>
            <w:rFonts w:ascii="游ゴシック" w:hAnsi="游ゴシック" w:eastAsia="游ゴシック"/>
            <w:sz w:val="20"/>
          </w:rPr>
          <w:t xml:space="preserve">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105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0">
        <w:r>
          <w:rPr>
            <w:rFonts w:ascii="游ゴシック" w:hAnsi="游ゴシック" w:eastAsia="游ゴシック"/>
            <w:sz w:val="20"/>
          </w:rPr>
          <w:t xml:space="preserve">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110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1">
        <w:r>
          <w:rPr>
            <w:rFonts w:ascii="游ゴシック" w:hAnsi="游ゴシック" w:eastAsia="游ゴシック"/>
            <w:sz w:val="20"/>
          </w:rPr>
          <w:t xml:space="preserve">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110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2">
        <w:r>
          <w:rPr>
            <w:rFonts w:ascii="游ゴシック" w:hAnsi="游ゴシック" w:eastAsia="游ゴシック"/>
            <w:sz w:val="20"/>
          </w:rPr>
          <w:t xml:space="preserve">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120</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122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4">
        <w:r>
          <w:rPr>
            <w:rFonts w:ascii="游ゴシック" w:hAnsi="游ゴシック" w:eastAsia="游ゴシック"/>
            <w:sz w:val="20"/>
          </w:rPr>
          <w:t xml:space="preserve">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122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5">
        <w:r>
          <w:rPr>
            <w:rFonts w:ascii="游ゴシック" w:hAnsi="游ゴシック" w:eastAsia="游ゴシック"/>
            <w:sz w:val="20"/>
          </w:rPr>
          <w:t xml:space="preserve">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123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6">
        <w:r>
          <w:rPr>
            <w:rFonts w:ascii="游ゴシック" w:hAnsi="游ゴシック" w:eastAsia="游ゴシック"/>
            <w:sz w:val="20"/>
          </w:rPr>
          <w:t xml:space="preserve">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125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7">
        <w:r>
          <w:rPr>
            <w:rFonts w:ascii="游ゴシック" w:hAnsi="游ゴシック" w:eastAsia="游ゴシック"/>
            <w:sz w:val="20"/>
          </w:rPr>
          <w:t xml:space="preserve">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125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8">
        <w:r>
          <w:rPr>
            <w:rFonts w:ascii="游ゴシック" w:hAnsi="游ゴシック" w:eastAsia="游ゴシック"/>
            <w:sz w:val="20"/>
          </w:rPr>
          <w:t xml:space="preserve">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125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9">
        <w:r>
          <w:rPr>
            <w:rFonts w:ascii="游ゴシック" w:hAnsi="游ゴシック" w:eastAsia="游ゴシック"/>
            <w:sz w:val="20"/>
          </w:rPr>
          <w:t xml:space="preserve">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126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50">
        <w:r>
          <w:rPr>
            <w:rFonts w:ascii="游ゴシック" w:hAnsi="游ゴシック" w:eastAsia="游ゴシック"/>
            <w:sz w:val="20"/>
          </w:rPr>
          <w:t xml:space="preserve">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127</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spacing w:before="240" w:after="100"/>
      </w:pPr>
      <w:bookmarkStart w:id="101" w:name="_Toc10_001"/>
      <w:r>
        <w:rPr>
          <w:rFonts w:ascii="游ゴシック" w:hAnsi="游ゴシック" w:eastAsia="游ゴシック"/>
          <w:sz w:val="30"/>
        </w:rPr>
        <w:t>第1章　計画策定の意義</w:t>
      </w:r>
      <w:bookmarkEnd w:id="101"/>
    </w:p>
    <w:p>
      <w:pPr>
        <w:pStyle w:val="Heading2"/>
        <w:spacing w:before="180" w:after="100"/>
      </w:pPr>
      <w:bookmarkStart w:id="102" w:name="_Toc10_002"/>
      <w:r>
        <w:rPr>
          <w:rFonts w:ascii="游ゴシック" w:hAnsi="游ゴシック" w:eastAsia="游ゴシック"/>
          <w:sz w:val="25"/>
        </w:rPr>
        <w:t>第1節　計画策定の趣旨</w:t>
      </w:r>
      <w:bookmarkEnd w:id="102"/>
    </w:p>
    <w:p>
      <w:pPr>
        <w:spacing w:after="80" w:line="269" w:lineRule="auto"/>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line="269" w:lineRule="auto"/>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bookmarkStart w:id="103" w:name="_Toc10_003"/>
      <w:r>
        <w:rPr>
          <w:rFonts w:ascii="游ゴシック" w:hAnsi="游ゴシック" w:eastAsia="游ゴシック"/>
          <w:sz w:val="25"/>
        </w:rPr>
        <w:t>第2節　計画の位置付け</w:t>
      </w:r>
      <w:bookmarkEnd w:id="103"/>
    </w:p>
    <w:p>
      <w:pPr>
        <w:spacing w:after="80" w:line="269" w:lineRule="auto"/>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p>
      <w:pPr>
        <w:spacing w:after="80" w:line="269" w:lineRule="auto"/>
      </w:pPr>
      <w:r>
        <w:rPr>
          <w:rFonts w:ascii="游ゴシック" w:hAnsi="游ゴシック" w:eastAsia="游ゴシック"/>
          <w:b w:val="0"/>
          <w:sz w:val="21"/>
        </w:rPr>
        <w:t>認知症施策については、共生社会の実現を推進するための認知症基本法（令和5年法律第65号）が、第11条で国の認知症施策推進基本計画を、第12条で都道府県認知症施策推進計画を、第13条で市町村認知症施策推進計画をそれぞれ定めています。同条は市町村を策定の主体としており、本広域連合は地方自治法第284条の規定により設けられ、介護保険法上の保険者としての事務を共同処理するものであることから、市町村認知症施策推進計画は構成3町がそれぞれ策定します。本計画は、介護保険法第117条第3項により認知症である被保険者の地域における日常生活の支援に関する事項を定めるものとし、第5章 基本目標2にこれを掲げます。両者の調和は、資料2の役割分担及び共通KPIにより保ちます。また、同法第3条は認知症施策の基本理念を定めており、本計画の認知症施策もこの基本理念に沿って定めます。</w:t>
      </w:r>
    </w:p>
    <w:p>
      <w:pPr>
        <w:spacing w:after="80" w:line="269" w:lineRule="auto"/>
      </w:pPr>
      <w:r>
        <w:rPr>
          <w:rFonts w:ascii="游ゴシック" w:hAnsi="游ゴシック" w:eastAsia="游ゴシック"/>
          <w:b w:val="0"/>
          <w:sz w:val="21"/>
        </w:rPr>
        <w:t>介護保険法以外の法律が市町村を名宛人として定める計画等についても、市町村認知症施策推進計画と同じ整理により、構成3町がそれぞれ定めます。老人福祉法第20条の8は市町村老人福祉計画を定めるものとし、同計画は市町村介護保険事業計画と一体のものとして作成することとされています。構成3町の高齢者福祉計画がこれに当たります。成年後見制度の利用の促進に関する法律第14条は、国の基本計画を勘案して、市町村が成年後見制度の利用の促進に関する施策についての基本的な計画を定めるよう努めるものとしています。高齢者虐待の防止、高齢者の養護者に対する支援等に関する法律は、通報の受理、高齢者の安全の確認、措置及び養護者の支援を市町村の事務としています。いずれも本計画では、第5章 基本目標1の施策及び資料2の役割分担により接続します。</w:t>
      </w:r>
    </w:p>
    <w:p>
      <w:pPr>
        <w:spacing w:after="80" w:line="269" w:lineRule="auto"/>
      </w:pPr>
      <w:r>
        <w:rPr>
          <w:rFonts w:ascii="游ゴシック" w:hAnsi="游ゴシック" w:eastAsia="游ゴシック"/>
          <w:b w:val="0"/>
          <w:sz w:val="20"/>
        </w:rPr>
        <w:t>社会福祉法等の一部を改正する法律（令和8年法律第51号）により、市町村老人福祉計画の記載事項として老人福祉事業その他の老人の生活に直接影響を及ぼす事業を営む者と支援関係機関との連携に関する事項を定めるよう努めるものとされ、市町村地域福祉計画の記載事項として保健医療、労働、教育、住まい、地域再生及び防災に関する施策その他の関連施策との連携に関する事項を定めるものとされました（第9節2）。いずれも構成3町が策定する計画であり、本計画と一体のものとして作成する市町村老人福祉計画については、記載事項の追加を踏まえて接続の方法を3町と協議します［要協議］。</w:t>
      </w:r>
    </w:p>
    <w:p>
      <w:pPr>
        <w:spacing w:after="160" w:line="269" w:lineRule="auto"/>
      </w:pPr>
      <w:r>
        <w:rPr>
          <w:rFonts w:ascii="游ゴシック" w:hAnsi="游ゴシック" w:eastAsia="游ゴシック"/>
          <w:b w:val="0"/>
          <w:sz w:val="17"/>
        </w:rPr>
        <w:t>注）各法律の条文の受領前であるため、条番号のみを記載し項番号は記載していません［要確認］。構成3町の高齢者福祉計画が老人福祉法第20条の8による市町村老人福祉計画に当たることの確認、成年後見制度の利用の促進に関する施策についての基本的な計画の構成3町における策定の状況、及び一体のものとして作成する方法は構成3町と協議して定めます［要協議］。</w:t>
      </w:r>
    </w:p>
    <w:p>
      <w:pPr>
        <w:spacing w:after="80" w:line="269" w:lineRule="auto"/>
      </w:pPr>
      <w:r>
        <w:rPr>
          <w:rFonts w:ascii="游ゴシック" w:hAnsi="游ゴシック" w:eastAsia="游ゴシック"/>
          <w:b w:val="0"/>
          <w:sz w:val="20"/>
        </w:rPr>
        <w:t>認知症の人及びその家族等からの意見の聴取は、計画の策定の過程において行います。聴取の主体、方法及び時期は構成3町と調整のうえ定めます［要協議］。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10"/>
            <w:shd w:val="clear" w:color="auto" w:fill="DCE6F1"/>
          </w:tcPr>
          <w:p>
            <w:pPr>
              <w:spacing w:before="0"/>
              <w:jc w:val="center"/>
            </w:pPr>
            <w:r/>
            <w:r>
              <w:rPr>
                <w:rFonts w:ascii="游ゴシック" w:hAnsi="游ゴシック" w:eastAsia="游ゴシック"/>
                <w:b/>
                <w:sz w:val="17"/>
              </w:rPr>
              <w:t>計画</w:t>
            </w:r>
          </w:p>
        </w:tc>
        <w:tc>
          <w:tcPr>
            <w:tcW w:type="dxa" w:w="3616"/>
            <w:shd w:val="clear" w:color="auto" w:fill="DCE6F1"/>
          </w:tcPr>
          <w:p>
            <w:pPr>
              <w:jc w:val="center"/>
            </w:pPr>
            <w:r/>
            <w:r>
              <w:rPr>
                <w:rFonts w:ascii="游ゴシック" w:hAnsi="游ゴシック" w:eastAsia="游ゴシック"/>
                <w:b/>
                <w:sz w:val="17"/>
              </w:rPr>
              <w:t>主な内容</w:t>
            </w:r>
          </w:p>
        </w:tc>
        <w:tc>
          <w:tcPr>
            <w:tcW w:type="dxa" w:w="1753"/>
            <w:shd w:val="clear" w:color="auto" w:fill="DCE6F1"/>
          </w:tcPr>
          <w:p>
            <w:pPr>
              <w:jc w:val="center"/>
            </w:pPr>
            <w:r/>
            <w:r>
              <w:rPr>
                <w:rFonts w:ascii="游ゴシック" w:hAnsi="游ゴシック" w:eastAsia="游ゴシック"/>
                <w:b/>
                <w:sz w:val="17"/>
              </w:rPr>
              <w:t>主な実施主体</w:t>
            </w:r>
          </w:p>
        </w:tc>
        <w:tc>
          <w:tcPr>
            <w:tcW w:type="dxa" w:w="1972"/>
            <w:shd w:val="clear" w:color="auto" w:fill="DCE6F1"/>
          </w:tcPr>
          <w:p>
            <w:pPr>
              <w:jc w:val="center"/>
            </w:pPr>
            <w:r/>
            <w:r>
              <w:rPr>
                <w:rFonts w:ascii="游ゴシック" w:hAnsi="游ゴシック" w:eastAsia="游ゴシック"/>
                <w:b/>
                <w:sz w:val="17"/>
              </w:rPr>
              <w:t>接続方法</w:t>
            </w:r>
          </w:p>
        </w:tc>
      </w:tr>
      <w:tr>
        <w:trPr>
          <w:cantSplit/>
        </w:trP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rPr>
          <w:cantSplit/>
        </w:trP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180" w:after="10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bookmarkStart w:id="105" w:name="_Toc10_005"/>
      <w:r>
        <w:rPr>
          <w:rFonts w:ascii="游ゴシック" w:hAnsi="游ゴシック" w:eastAsia="游ゴシック"/>
          <w:sz w:val="25"/>
        </w:rPr>
        <w:t>第4節　計画期間</w:t>
      </w:r>
      <w:bookmarkEnd w:id="105"/>
    </w:p>
    <w:p>
      <w:pPr>
        <w:spacing w:after="80" w:line="269" w:lineRule="auto"/>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bookmarkStart w:id="106" w:name="_Toc10_006"/>
      <w:r>
        <w:rPr>
          <w:rFonts w:ascii="游ゴシック" w:hAnsi="游ゴシック" w:eastAsia="游ゴシック"/>
          <w:sz w:val="25"/>
        </w:rPr>
        <w:t>第5節　計画の策定体制</w:t>
      </w:r>
      <w:bookmarkEnd w:id="106"/>
    </w:p>
    <w:p>
      <w:pPr>
        <w:spacing w:after="80" w:line="269" w:lineRule="auto"/>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【法令が定める手続】</w:t>
      </w:r>
    </w:p>
    <w:p>
      <w:pPr>
        <w:spacing w:after="80" w:line="269" w:lineRule="auto"/>
      </w:pPr>
      <w:r>
        <w:rPr>
          <w:rFonts w:ascii="游ゴシック" w:hAnsi="游ゴシック" w:eastAsia="游ゴシック"/>
          <w:b w:val="0"/>
          <w:sz w:val="20"/>
        </w:rPr>
        <w:t>介護保険法第117条は、市町村介護保険事業計画を定め、又は変更しようとするときは、あらかじめ被保険者の意見を反映させるために必要な措置を講ずること及び都道府県の意見を聴かなければならないことを定め、併せて、計画を定め、又は変更したときは、遅滞なくこれを都道府県知事に提出しなければならないことを定めています。本計画では、次のとおり手続を行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手続</w:t>
            </w:r>
          </w:p>
        </w:tc>
        <w:tc>
          <w:tcPr>
            <w:tcW w:type="dxa" w:w="4664"/>
            <w:shd w:val="clear" w:color="auto" w:fill="DCE6F1"/>
          </w:tcPr>
          <w:p>
            <w:pPr>
              <w:jc w:val="center"/>
            </w:pPr>
            <w:r/>
            <w:r>
              <w:rPr>
                <w:rFonts w:ascii="游ゴシック" w:hAnsi="游ゴシック" w:eastAsia="游ゴシック"/>
                <w:b/>
                <w:sz w:val="17"/>
              </w:rPr>
              <w:t>内容</w:t>
            </w:r>
          </w:p>
        </w:tc>
        <w:tc>
          <w:tcPr>
            <w:tcW w:type="dxa" w:w="1484"/>
            <w:shd w:val="clear" w:color="auto" w:fill="DCE6F1"/>
          </w:tcPr>
          <w:p>
            <w:pPr>
              <w:jc w:val="center"/>
            </w:pPr>
            <w:r/>
            <w:r>
              <w:rPr>
                <w:rFonts w:ascii="游ゴシック" w:hAnsi="游ゴシック" w:eastAsia="游ゴシック"/>
                <w:b/>
                <w:sz w:val="17"/>
              </w:rPr>
              <w:t>時期</w:t>
            </w:r>
          </w:p>
        </w:tc>
        <w:tc>
          <w:tcPr>
            <w:tcW w:type="dxa" w:w="1484"/>
            <w:shd w:val="clear" w:color="auto" w:fill="DCE6F1"/>
          </w:tcPr>
          <w:p>
            <w:pPr>
              <w:jc w:val="center"/>
            </w:pPr>
            <w:r/>
            <w:r>
              <w:rPr>
                <w:rFonts w:ascii="游ゴシック" w:hAnsi="游ゴシック" w:eastAsia="游ゴシック"/>
                <w:b/>
                <w:sz w:val="17"/>
              </w:rPr>
              <w:t>実施主体</w:t>
            </w:r>
          </w:p>
        </w:tc>
      </w:tr>
      <w:tr>
        <w:trPr>
          <w:cantSplit/>
        </w:trPr>
        <w:tc>
          <w:tcPr>
            <w:tcW w:type="dxa" w:w="2120"/>
          </w:tcPr>
          <w:p>
            <w:r/>
            <w:r>
              <w:rPr>
                <w:rFonts w:ascii="游ゴシック" w:hAnsi="游ゴシック" w:eastAsia="游ゴシック"/>
                <w:sz w:val="17"/>
              </w:rPr>
              <w:t>被保険者の意見の反映</w:t>
            </w:r>
          </w:p>
        </w:tc>
        <w:tc>
          <w:tcPr>
            <w:tcW w:type="dxa" w:w="4664"/>
          </w:tcPr>
          <w:p>
            <w:r/>
            <w:r>
              <w:rPr>
                <w:rFonts w:ascii="游ゴシック" w:hAnsi="游ゴシック" w:eastAsia="游ゴシック"/>
                <w:sz w:val="17"/>
              </w:rPr>
              <w:t>計画案について意見公募手続（パブリックコメント）を実施します。ウェブサイトにより2週間実施し、概要版を併せて示すこととしています。募集期間、閲覧場所、意見を提出できる者及び意見の提出状況は資料編に掲載します。実施の方法及び時期は構成3町と調整のうえ定めます［要協議］。</w:t>
            </w:r>
          </w:p>
        </w:tc>
        <w:tc>
          <w:tcPr>
            <w:tcW w:type="dxa" w:w="1484"/>
          </w:tcPr>
          <w:p>
            <w:r/>
            <w:r>
              <w:rPr>
                <w:rFonts w:ascii="游ゴシック" w:hAnsi="游ゴシック" w:eastAsia="游ゴシック"/>
                <w:sz w:val="17"/>
              </w:rPr>
              <w:t>令和9年1月（計画案の確定前）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認知症の人及びその家族等の意見の聴取</w:t>
            </w:r>
          </w:p>
        </w:tc>
        <w:tc>
          <w:tcPr>
            <w:tcW w:type="dxa" w:w="4664"/>
          </w:tcPr>
          <w:p>
            <w:r/>
            <w:r>
              <w:rPr>
                <w:rFonts w:ascii="游ゴシック" w:hAnsi="游ゴシック" w:eastAsia="游ゴシック"/>
                <w:sz w:val="17"/>
              </w:rPr>
              <w:t>認知症施策に関する事項について、認知症の人及びその家族等の意見を聴く機会を設けます。主体、方法及び時期は構成3町と調整のうえ定めます［要協議］。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北海道の意見の聴取</w:t>
            </w:r>
          </w:p>
        </w:tc>
        <w:tc>
          <w:tcPr>
            <w:tcW w:type="dxa" w:w="4664"/>
          </w:tcPr>
          <w:p>
            <w:r/>
            <w:r>
              <w:rPr>
                <w:rFonts w:ascii="游ゴシック" w:hAnsi="游ゴシック" w:eastAsia="游ゴシック"/>
                <w:sz w:val="17"/>
              </w:rPr>
              <w:t>計画案について北海道の意見を聴きます。</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中長期的な推計についての北海道の意見の聴取</w:t>
            </w:r>
          </w:p>
        </w:tc>
        <w:tc>
          <w:tcPr>
            <w:tcW w:type="dxa" w:w="4664"/>
          </w:tcPr>
          <w:p>
            <w:r/>
            <w:r>
              <w:rPr>
                <w:rFonts w:ascii="游ゴシック" w:hAnsi="游ゴシック" w:eastAsia="游ゴシック"/>
                <w:sz w:val="17"/>
              </w:rPr>
              <w:t>社会福祉法等の一部を改正する法律（令和8年法律第51号）により、介護給付等対象サービスの種類ごとの量及び地域支援事業の量に関する中長期的な推計を定め、又は変更しようとするときは、あらかじめ都道府県の意見を聴かなければならないものとされました（第117条第14項。第1章第9節2）。前記の計画案についての意見の聴取と併せて行うか、別に行うかを北海道に確認します［要確認］。</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北海道知事への提出</w:t>
            </w:r>
          </w:p>
        </w:tc>
        <w:tc>
          <w:tcPr>
            <w:tcW w:type="dxa" w:w="4664"/>
          </w:tcPr>
          <w:p>
            <w:r/>
            <w:r>
              <w:rPr>
                <w:rFonts w:ascii="游ゴシック" w:hAnsi="游ゴシック" w:eastAsia="游ゴシック"/>
                <w:sz w:val="17"/>
              </w:rPr>
              <w:t>策定した計画を遅滞なく北海道知事に提出します。変更したときも同様とします。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計画の公表</w:t>
            </w:r>
          </w:p>
        </w:tc>
        <w:tc>
          <w:tcPr>
            <w:tcW w:type="dxa" w:w="4664"/>
          </w:tcPr>
          <w:p>
            <w:r/>
            <w:r>
              <w:rPr>
                <w:rFonts w:ascii="游ゴシック" w:hAnsi="游ゴシック" w:eastAsia="游ゴシック"/>
                <w:sz w:val="17"/>
              </w:rPr>
              <w:t>策定した計画を公表し、構成3町及び関係機関へ提供します。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bl>
    <w:p>
      <w:pPr>
        <w:spacing w:after="160" w:line="269" w:lineRule="auto"/>
      </w:pPr>
      <w:r>
        <w:rPr>
          <w:rFonts w:ascii="游ゴシック" w:hAnsi="游ゴシック" w:eastAsia="游ゴシック"/>
          <w:b w:val="0"/>
          <w:sz w:val="17"/>
        </w:rPr>
        <w:t>注）介護保険法の条文の受領前であるため、項番号は記載していません［要確認］。認知症の人及びその家族等からの意見の聴取は、認知症基本法第13条が市町村認知症施策推進計画について定めるものであり、同計画は構成3町が策定します（第1章第2節）。本計画の認知症施策に関する事項についても同様に意見を聴きます。</w:t>
      </w:r>
    </w:p>
    <w:p>
      <w:pPr>
        <w:pStyle w:val="Heading2"/>
        <w:spacing w:before="180" w:after="100"/>
      </w:pPr>
      <w:bookmarkStart w:id="107" w:name="_Toc10_007"/>
      <w:r>
        <w:rPr>
          <w:rFonts w:ascii="游ゴシック" w:hAnsi="游ゴシック" w:eastAsia="游ゴシック"/>
          <w:sz w:val="25"/>
        </w:rPr>
        <w:t>第6節　計画の進行管理・推進体制</w:t>
      </w:r>
      <w:bookmarkEnd w:id="107"/>
    </w:p>
    <w:p>
      <w:pPr>
        <w:spacing w:after="80" w:line="269" w:lineRule="auto"/>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301"/>
            <w:shd w:val="clear" w:color="auto" w:fill="DCE6F1"/>
          </w:tcPr>
          <w:p>
            <w:pPr>
              <w:spacing w:before="0"/>
              <w:jc w:val="center"/>
            </w:pPr>
            <w:r/>
            <w:r>
              <w:rPr>
                <w:rFonts w:ascii="游ゴシック" w:hAnsi="游ゴシック" w:eastAsia="游ゴシック"/>
                <w:b/>
                <w:sz w:val="17"/>
              </w:rPr>
              <w:t>評価層</w:t>
            </w:r>
          </w:p>
        </w:tc>
        <w:tc>
          <w:tcPr>
            <w:tcW w:type="dxa" w:w="4602"/>
            <w:shd w:val="clear" w:color="auto" w:fill="DCE6F1"/>
          </w:tcPr>
          <w:p>
            <w:pPr>
              <w:jc w:val="center"/>
            </w:pPr>
            <w:r/>
            <w:r>
              <w:rPr>
                <w:rFonts w:ascii="游ゴシック" w:hAnsi="游ゴシック" w:eastAsia="游ゴシック"/>
                <w:b/>
                <w:sz w:val="17"/>
              </w:rPr>
              <w:t>役割</w:t>
            </w:r>
          </w:p>
        </w:tc>
        <w:tc>
          <w:tcPr>
            <w:tcW w:type="dxa" w:w="2849"/>
            <w:shd w:val="clear" w:color="auto" w:fill="DCE6F1"/>
          </w:tcPr>
          <w:p>
            <w:pPr>
              <w:jc w:val="center"/>
            </w:pPr>
            <w:r/>
            <w:r>
              <w:rPr>
                <w:rFonts w:ascii="游ゴシック" w:hAnsi="游ゴシック" w:eastAsia="游ゴシック"/>
                <w:b/>
                <w:sz w:val="17"/>
              </w:rPr>
              <w:t>主な掲載場所</w:t>
            </w:r>
          </w:p>
        </w:tc>
      </w:tr>
      <w:tr>
        <w:trPr>
          <w:cantSplit/>
        </w:trP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rPr>
          <w:cantSplit/>
        </w:trP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rPr>
          <w:cantSplit/>
        </w:trP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【年次の進行管理の手順】</w:t>
      </w:r>
    </w:p>
    <w:p>
      <w:pPr>
        <w:spacing w:after="80" w:line="269" w:lineRule="auto"/>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line="269" w:lineRule="auto"/>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第9期における自己評価及び北海道への報告の実績は確認できていないため、第10期は毎年度の自己評価の結果を策定委員会へ報告するとともに、北海道への報告にも用いることとし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315"/>
            <w:shd w:val="clear" w:color="auto" w:fill="DCE6F1"/>
          </w:tcPr>
          <w:p>
            <w:pPr>
              <w:spacing w:before="0"/>
              <w:jc w:val="center"/>
            </w:pPr>
            <w:r/>
            <w:r>
              <w:rPr>
                <w:rFonts w:ascii="游ゴシック" w:hAnsi="游ゴシック" w:eastAsia="游ゴシック"/>
                <w:b/>
                <w:sz w:val="17"/>
              </w:rPr>
              <w:t>時期</w:t>
            </w:r>
          </w:p>
        </w:tc>
        <w:tc>
          <w:tcPr>
            <w:tcW w:type="dxa" w:w="3835"/>
            <w:shd w:val="clear" w:color="auto" w:fill="DCE6F1"/>
          </w:tcPr>
          <w:p>
            <w:pPr>
              <w:jc w:val="center"/>
            </w:pPr>
            <w:r/>
            <w:r>
              <w:rPr>
                <w:rFonts w:ascii="游ゴシック" w:hAnsi="游ゴシック" w:eastAsia="游ゴシック"/>
                <w:b/>
                <w:sz w:val="17"/>
              </w:rPr>
              <w:t>実施事項</w:t>
            </w:r>
          </w:p>
        </w:tc>
        <w:tc>
          <w:tcPr>
            <w:tcW w:type="dxa" w:w="1424"/>
            <w:shd w:val="clear" w:color="auto" w:fill="DCE6F1"/>
          </w:tcPr>
          <w:p>
            <w:pPr>
              <w:jc w:val="center"/>
            </w:pPr>
            <w:r/>
            <w:r>
              <w:rPr>
                <w:rFonts w:ascii="游ゴシック" w:hAnsi="游ゴシック" w:eastAsia="游ゴシック"/>
                <w:b/>
                <w:sz w:val="17"/>
              </w:rPr>
              <w:t>根拠となる実績</w:t>
            </w:r>
          </w:p>
        </w:tc>
        <w:tc>
          <w:tcPr>
            <w:tcW w:type="dxa" w:w="1424"/>
            <w:shd w:val="clear" w:color="auto" w:fill="DCE6F1"/>
          </w:tcPr>
          <w:p>
            <w:pPr>
              <w:jc w:val="center"/>
            </w:pPr>
            <w:r/>
            <w:r>
              <w:rPr>
                <w:rFonts w:ascii="游ゴシック" w:hAnsi="游ゴシック" w:eastAsia="游ゴシック"/>
                <w:b/>
                <w:sz w:val="17"/>
              </w:rPr>
              <w:t>実施主体</w:t>
            </w:r>
          </w:p>
        </w:tc>
        <w:tc>
          <w:tcPr>
            <w:tcW w:type="dxa" w:w="1753"/>
            <w:shd w:val="clear" w:color="auto" w:fill="DCE6F1"/>
          </w:tcPr>
          <w:p>
            <w:pPr>
              <w:jc w:val="center"/>
            </w:pPr>
            <w:r/>
            <w:r>
              <w:rPr>
                <w:rFonts w:ascii="游ゴシック" w:hAnsi="游ゴシック" w:eastAsia="游ゴシック"/>
                <w:b/>
                <w:sz w:val="17"/>
              </w:rPr>
              <w:t>成果物</w:t>
            </w:r>
          </w:p>
        </w:tc>
      </w:tr>
      <w:tr>
        <w:trPr>
          <w:cantSplit/>
        </w:trP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rPr>
          <w:cantSplit/>
        </w:trP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rPr>
          <w:cantSplit/>
        </w:trP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rPr>
          <w:cantSplit/>
        </w:trP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rPr>
          <w:cantSplit/>
        </w:trP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rPr>
          <w:cantSplit/>
        </w:trP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line="269" w:lineRule="auto"/>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年齢階級別の認定率、認定者数、人口及び給付費の4つを計画の前提と対比し、乖離が2年続いた場合は中間年（令和10年度）に推計を見直します。確認の方法と見直しの基準は、年次評価の実施要領で定めます。見直しを行う場合も、推計の基礎（総合戦略上の人口及び住民基本台帳の実績趨勢）は変更せず、見直すのは認定率の前提です。</w:t>
      </w:r>
    </w:p>
    <w:p>
      <w:pPr>
        <w:spacing w:after="160" w:line="269" w:lineRule="auto"/>
      </w:pPr>
      <w:r>
        <w:rPr>
          <w:rFonts w:ascii="游ゴシック" w:hAnsi="游ゴシック" w:eastAsia="游ゴシック"/>
          <w:b w:val="0"/>
          <w:sz w:val="17"/>
        </w:rPr>
        <w:t>注）北海道の高齢者保健福祉計画が定める評価指標のうち「取り組んでいる市町村数」を単位とするものは、1保険者である当広域連合にそのまま適用することができません。読替えの方法は第8節に掲げます。北海道から広域連合に対する読替えの考え方は示されていないため、本計画は当広域連合の整理によっており、考え方が示された場合はこれに合わせて改めます［要確認］。</w:t>
      </w:r>
    </w:p>
    <w:p>
      <w:pPr>
        <w:pStyle w:val="Heading2"/>
        <w:spacing w:before="180" w:after="100"/>
      </w:pPr>
      <w:bookmarkStart w:id="108" w:name="_Toc10_008"/>
      <w:r>
        <w:rPr>
          <w:rFonts w:ascii="游ゴシック" w:hAnsi="游ゴシック" w:eastAsia="游ゴシック"/>
          <w:sz w:val="25"/>
        </w:rPr>
        <w:t>第7節　日常生活圏域の設定</w:t>
      </w:r>
      <w:bookmarkEnd w:id="108"/>
    </w:p>
    <w:p>
      <w:pPr>
        <w:spacing w:after="80" w:line="269" w:lineRule="auto"/>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line="269" w:lineRule="auto"/>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493"/>
            <w:shd w:val="clear" w:color="auto" w:fill="DCE6F1"/>
          </w:tcPr>
          <w:p>
            <w:pPr>
              <w:spacing w:before="0"/>
              <w:jc w:val="center"/>
            </w:pPr>
            <w:r/>
            <w:r>
              <w:rPr>
                <w:rFonts w:ascii="游ゴシック" w:hAnsi="游ゴシック" w:eastAsia="游ゴシック"/>
                <w:b/>
                <w:sz w:val="17"/>
              </w:rPr>
              <w:t>No.</w:t>
            </w:r>
          </w:p>
        </w:tc>
        <w:tc>
          <w:tcPr>
            <w:tcW w:type="dxa" w:w="877"/>
            <w:shd w:val="clear" w:color="auto" w:fill="DCE6F1"/>
          </w:tcPr>
          <w:p>
            <w:pPr>
              <w:jc w:val="center"/>
            </w:pPr>
            <w:r/>
            <w:r>
              <w:rPr>
                <w:rFonts w:ascii="游ゴシック" w:hAnsi="游ゴシック" w:eastAsia="游ゴシック"/>
                <w:b/>
                <w:sz w:val="17"/>
              </w:rPr>
              <w:t>日常生活圏域名</w:t>
            </w:r>
          </w:p>
        </w:tc>
        <w:tc>
          <w:tcPr>
            <w:tcW w:type="dxa" w:w="1315"/>
            <w:shd w:val="clear" w:color="auto" w:fill="DCE6F1"/>
          </w:tcPr>
          <w:p>
            <w:pPr>
              <w:jc w:val="center"/>
            </w:pPr>
            <w:r/>
            <w:r>
              <w:rPr>
                <w:rFonts w:ascii="游ゴシック" w:hAnsi="游ゴシック" w:eastAsia="游ゴシック"/>
                <w:b/>
                <w:sz w:val="17"/>
              </w:rPr>
            </w:r>
          </w:p>
        </w:tc>
        <w:tc>
          <w:tcPr>
            <w:tcW w:type="dxa" w:w="1041"/>
            <w:shd w:val="clear" w:color="auto" w:fill="DCE6F1"/>
          </w:tcPr>
          <w:p>
            <w:pPr>
              <w:jc w:val="center"/>
            </w:pPr>
            <w:r/>
            <w:r>
              <w:rPr>
                <w:rFonts w:ascii="游ゴシック" w:hAnsi="游ゴシック" w:eastAsia="游ゴシック"/>
                <w:b/>
                <w:sz w:val="17"/>
              </w:rPr>
              <w:t>面積（km²）</w:t>
            </w:r>
          </w:p>
        </w:tc>
        <w:tc>
          <w:tcPr>
            <w:tcW w:type="dxa" w:w="986"/>
            <w:shd w:val="clear" w:color="auto" w:fill="DCE6F1"/>
          </w:tcPr>
          <w:p>
            <w:pPr>
              <w:jc w:val="center"/>
            </w:pPr>
            <w:r/>
            <w:r>
              <w:rPr>
                <w:rFonts w:ascii="游ゴシック" w:hAnsi="游ゴシック" w:eastAsia="游ゴシック"/>
                <w:b/>
                <w:sz w:val="17"/>
              </w:rPr>
              <w:t>人口</w:t>
            </w:r>
          </w:p>
        </w:tc>
        <w:tc>
          <w:tcPr>
            <w:tcW w:type="dxa" w:w="1041"/>
            <w:shd w:val="clear" w:color="auto" w:fill="DCE6F1"/>
          </w:tcPr>
          <w:p>
            <w:pPr>
              <w:jc w:val="center"/>
            </w:pPr>
            <w:r/>
            <w:r>
              <w:rPr>
                <w:rFonts w:ascii="游ゴシック" w:hAnsi="游ゴシック" w:eastAsia="游ゴシック"/>
                <w:b/>
                <w:sz w:val="17"/>
              </w:rPr>
              <w:t>高齢者人口</w:t>
            </w:r>
          </w:p>
        </w:tc>
        <w:tc>
          <w:tcPr>
            <w:tcW w:type="dxa" w:w="822"/>
            <w:shd w:val="clear" w:color="auto" w:fill="DCE6F1"/>
          </w:tcPr>
          <w:p>
            <w:pPr>
              <w:jc w:val="center"/>
            </w:pPr>
            <w:r/>
            <w:r>
              <w:rPr>
                <w:rFonts w:ascii="游ゴシック" w:hAnsi="游ゴシック" w:eastAsia="游ゴシック"/>
                <w:b/>
                <w:sz w:val="17"/>
              </w:rPr>
              <w:t>高齢化率</w:t>
            </w:r>
          </w:p>
        </w:tc>
        <w:tc>
          <w:tcPr>
            <w:tcW w:type="dxa" w:w="712"/>
            <w:shd w:val="clear" w:color="auto" w:fill="DCE6F1"/>
          </w:tcPr>
          <w:p>
            <w:pPr>
              <w:jc w:val="center"/>
            </w:pPr>
            <w:r/>
            <w:r>
              <w:rPr>
                <w:rFonts w:ascii="游ゴシック" w:hAnsi="游ゴシック" w:eastAsia="游ゴシック"/>
                <w:b/>
                <w:sz w:val="17"/>
              </w:rPr>
              <w:t>要介護</w:t>
            </w:r>
          </w:p>
        </w:tc>
        <w:tc>
          <w:tcPr>
            <w:tcW w:type="dxa" w:w="712"/>
            <w:shd w:val="clear" w:color="auto" w:fill="DCE6F1"/>
          </w:tcPr>
          <w:p>
            <w:pPr>
              <w:jc w:val="center"/>
            </w:pPr>
            <w:r/>
            <w:r>
              <w:rPr>
                <w:rFonts w:ascii="游ゴシック" w:hAnsi="游ゴシック" w:eastAsia="游ゴシック"/>
                <w:b/>
                <w:sz w:val="17"/>
              </w:rPr>
              <w:t>要支援</w:t>
            </w:r>
          </w:p>
        </w:tc>
        <w:tc>
          <w:tcPr>
            <w:tcW w:type="dxa" w:w="1753"/>
            <w:shd w:val="clear" w:color="auto" w:fill="DCE6F1"/>
          </w:tcPr>
          <w:p>
            <w:pPr>
              <w:jc w:val="center"/>
            </w:pPr>
            <w:r/>
            <w:r>
              <w:rPr>
                <w:rFonts w:ascii="游ゴシック" w:hAnsi="游ゴシック" w:eastAsia="游ゴシック"/>
                <w:b/>
                <w:sz w:val="17"/>
              </w:rPr>
              <w:t>第10期での位置づけ（案）</w:t>
            </w:r>
          </w:p>
        </w:tc>
      </w:tr>
      <w:tr>
        <w:trPr>
          <w:cantSplit/>
        </w:trP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line="269" w:lineRule="auto"/>
        <w:jc w:val="right"/>
      </w:pPr>
      <w:r>
        <w:rPr>
          <w:rFonts w:ascii="游ゴシック" w:hAnsi="游ゴシック" w:eastAsia="游ゴシック"/>
          <w:b w:val="0"/>
          <w:sz w:val="16"/>
        </w:rPr>
        <w:t>資料：美瑛町過疎地域持続的発展市町村計画（令和3年度〜令和7年度）</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line="269" w:lineRule="auto"/>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【訪問・通所困難地域の考え方】</w:t>
      </w:r>
    </w:p>
    <w:p>
      <w:pPr>
        <w:spacing w:after="80" w:line="269" w:lineRule="auto"/>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line="269" w:lineRule="auto"/>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line="269" w:lineRule="auto"/>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【通常の事業の実施地域による確認】</w:t>
      </w:r>
    </w:p>
    <w:p>
      <w:pPr>
        <w:spacing w:after="80" w:line="269" w:lineRule="auto"/>
      </w:pPr>
      <w:r>
        <w:rPr>
          <w:rFonts w:ascii="游ゴシック" w:hAnsi="游ゴシック" w:eastAsia="游ゴシック"/>
          <w:b w:val="0"/>
          <w:sz w:val="20"/>
        </w:rPr>
        <w:t>北海道が公表する介護保険事業所一覧により、区域内の指定事業所延べ124件（実75事業所）の運営規程に定める「通常の事業の実施地域」を把握しました。判定に必要な材料がそろったことになります。訪問系・通所系の主なサービスについて、各町を実施地域に含む事業所数は次のとおり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381"/>
            <w:shd w:val="clear" w:color="auto" w:fill="DCE6F1"/>
          </w:tcPr>
          <w:p>
            <w:pPr>
              <w:spacing w:before="0"/>
              <w:jc w:val="center"/>
            </w:pPr>
            <w:r/>
            <w:r>
              <w:rPr>
                <w:rFonts w:ascii="游ゴシック" w:hAnsi="游ゴシック" w:eastAsia="游ゴシック"/>
                <w:b/>
                <w:sz w:val="17"/>
              </w:rPr>
              <w:t>サービス</w:t>
            </w:r>
          </w:p>
        </w:tc>
        <w:tc>
          <w:tcPr>
            <w:tcW w:type="dxa" w:w="1020"/>
            <w:shd w:val="clear" w:color="auto" w:fill="DCE6F1"/>
          </w:tcPr>
          <w:p>
            <w:pPr>
              <w:jc w:val="center"/>
            </w:pPr>
            <w:r/>
            <w:r>
              <w:rPr>
                <w:rFonts w:ascii="游ゴシック" w:hAnsi="游ゴシック" w:eastAsia="游ゴシック"/>
                <w:b/>
                <w:sz w:val="17"/>
              </w:rPr>
              <w:t>事業所数</w:t>
            </w:r>
          </w:p>
        </w:tc>
        <w:tc>
          <w:tcPr>
            <w:tcW w:type="dxa" w:w="907"/>
            <w:shd w:val="clear" w:color="auto" w:fill="DCE6F1"/>
          </w:tcPr>
          <w:p>
            <w:pPr>
              <w:jc w:val="center"/>
            </w:pPr>
            <w:r/>
            <w:r>
              <w:rPr>
                <w:rFonts w:ascii="游ゴシック" w:hAnsi="游ゴシック" w:eastAsia="游ゴシック"/>
                <w:b/>
                <w:sz w:val="17"/>
              </w:rPr>
              <w:t>東川町</w:t>
            </w:r>
          </w:p>
        </w:tc>
        <w:tc>
          <w:tcPr>
            <w:tcW w:type="dxa" w:w="907"/>
            <w:shd w:val="clear" w:color="auto" w:fill="DCE6F1"/>
          </w:tcPr>
          <w:p>
            <w:pPr>
              <w:jc w:val="center"/>
            </w:pPr>
            <w:r/>
            <w:r>
              <w:rPr>
                <w:rFonts w:ascii="游ゴシック" w:hAnsi="游ゴシック" w:eastAsia="游ゴシック"/>
                <w:b/>
                <w:sz w:val="17"/>
              </w:rPr>
              <w:t>美瑛町</w:t>
            </w:r>
          </w:p>
        </w:tc>
        <w:tc>
          <w:tcPr>
            <w:tcW w:type="dxa" w:w="1020"/>
            <w:shd w:val="clear" w:color="auto" w:fill="DCE6F1"/>
          </w:tcPr>
          <w:p>
            <w:pPr>
              <w:jc w:val="center"/>
            </w:pPr>
            <w:r/>
            <w:r>
              <w:rPr>
                <w:rFonts w:ascii="游ゴシック" w:hAnsi="游ゴシック" w:eastAsia="游ゴシック"/>
                <w:b/>
                <w:sz w:val="17"/>
              </w:rPr>
              <w:t>東神楽町</w:t>
            </w:r>
          </w:p>
        </w:tc>
        <w:tc>
          <w:tcPr>
            <w:tcW w:type="dxa" w:w="3515"/>
            <w:shd w:val="clear" w:color="auto" w:fill="DCE6F1"/>
          </w:tcPr>
          <w:p>
            <w:pPr>
              <w:jc w:val="center"/>
            </w:pPr>
            <w:r/>
            <w:r>
              <w:rPr>
                <w:rFonts w:ascii="游ゴシック" w:hAnsi="游ゴシック" w:eastAsia="游ゴシック"/>
                <w:b/>
                <w:sz w:val="17"/>
              </w:rPr>
              <w:t>見方</w:t>
            </w:r>
          </w:p>
        </w:tc>
      </w:tr>
      <w:tr>
        <w:trPr>
          <w:cantSplit/>
        </w:trPr>
        <w:tc>
          <w:tcPr>
            <w:tcW w:type="dxa" w:w="2381"/>
          </w:tcPr>
          <w:p>
            <w:r/>
            <w:r>
              <w:rPr>
                <w:rFonts w:ascii="游ゴシック" w:hAnsi="游ゴシック" w:eastAsia="游ゴシック"/>
                <w:sz w:val="17"/>
              </w:rPr>
              <w:t>訪問介護</w:t>
            </w:r>
          </w:p>
        </w:tc>
        <w:tc>
          <w:tcPr>
            <w:tcW w:type="dxa" w:w="1020"/>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6</w:t>
            </w:r>
          </w:p>
        </w:tc>
        <w:tc>
          <w:tcPr>
            <w:tcW w:type="dxa" w:w="3515"/>
          </w:tcPr>
          <w:p>
            <w:r/>
            <w:r>
              <w:rPr>
                <w:rFonts w:ascii="游ゴシック" w:hAnsi="游ゴシック" w:eastAsia="游ゴシック"/>
                <w:sz w:val="17"/>
              </w:rPr>
              <w:t>美瑛町を実施地域に含む事業所が最も少ない</w:t>
            </w:r>
          </w:p>
        </w:tc>
      </w:tr>
      <w:tr>
        <w:trPr>
          <w:cantSplit/>
        </w:trPr>
        <w:tc>
          <w:tcPr>
            <w:tcW w:type="dxa" w:w="2381"/>
          </w:tcPr>
          <w:p>
            <w:r/>
            <w:r>
              <w:rPr>
                <w:rFonts w:ascii="游ゴシック" w:hAnsi="游ゴシック" w:eastAsia="游ゴシック"/>
                <w:sz w:val="17"/>
              </w:rPr>
              <w:t>訪問看護</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4</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5</w:t>
            </w:r>
          </w:p>
        </w:tc>
        <w:tc>
          <w:tcPr>
            <w:tcW w:type="dxa" w:w="3515"/>
          </w:tcPr>
          <w:p>
            <w:r/>
            <w:r>
              <w:rPr>
                <w:rFonts w:ascii="游ゴシック" w:hAnsi="游ゴシック" w:eastAsia="游ゴシック"/>
                <w:sz w:val="17"/>
              </w:rPr>
              <w:t>区域全体を対象とする事業所がある</w:t>
            </w:r>
          </w:p>
        </w:tc>
      </w:tr>
      <w:tr>
        <w:trPr>
          <w:cantSplit/>
        </w:trPr>
        <w:tc>
          <w:tcPr>
            <w:tcW w:type="dxa" w:w="2381"/>
          </w:tcPr>
          <w:p>
            <w:r/>
            <w:r>
              <w:rPr>
                <w:rFonts w:ascii="游ゴシック" w:hAnsi="游ゴシック" w:eastAsia="游ゴシック"/>
                <w:sz w:val="17"/>
              </w:rPr>
              <w:t>通所介護</w:t>
            </w:r>
          </w:p>
        </w:tc>
        <w:tc>
          <w:tcPr>
            <w:tcW w:type="dxa" w:w="1020"/>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907"/>
          </w:tcPr>
          <w:p>
            <w:r/>
            <w:r>
              <w:rPr>
                <w:rFonts w:ascii="游ゴシック" w:hAnsi="游ゴシック" w:eastAsia="游ゴシック"/>
                <w:sz w:val="17"/>
              </w:rPr>
              <w:t>1</w:t>
            </w:r>
          </w:p>
        </w:tc>
        <w:tc>
          <w:tcPr>
            <w:tcW w:type="dxa" w:w="1020"/>
          </w:tcPr>
          <w:p>
            <w:r/>
            <w:r>
              <w:rPr>
                <w:rFonts w:ascii="游ゴシック" w:hAnsi="游ゴシック" w:eastAsia="游ゴシック"/>
                <w:sz w:val="17"/>
              </w:rPr>
              <w:t>2</w:t>
            </w:r>
          </w:p>
        </w:tc>
        <w:tc>
          <w:tcPr>
            <w:tcW w:type="dxa" w:w="3515"/>
          </w:tcPr>
          <w:p>
            <w:r/>
            <w:r>
              <w:rPr>
                <w:rFonts w:ascii="游ゴシック" w:hAnsi="游ゴシック" w:eastAsia="游ゴシック"/>
                <w:sz w:val="17"/>
              </w:rPr>
              <w:t>いずれも複数町を対象とする</w:t>
            </w:r>
          </w:p>
        </w:tc>
      </w:tr>
      <w:tr>
        <w:trPr>
          <w:cantSplit/>
        </w:trPr>
        <w:tc>
          <w:tcPr>
            <w:tcW w:type="dxa" w:w="2381"/>
          </w:tcPr>
          <w:p>
            <w:r/>
            <w:r>
              <w:rPr>
                <w:rFonts w:ascii="游ゴシック" w:hAnsi="游ゴシック" w:eastAsia="游ゴシック"/>
                <w:sz w:val="17"/>
              </w:rPr>
              <w:t>地域密着型通所介護</w:t>
            </w:r>
          </w:p>
        </w:tc>
        <w:tc>
          <w:tcPr>
            <w:tcW w:type="dxa" w:w="1020"/>
          </w:tcPr>
          <w:p>
            <w:r/>
            <w:r>
              <w:rPr>
                <w:rFonts w:ascii="游ゴシック" w:hAnsi="游ゴシック" w:eastAsia="游ゴシック"/>
                <w:sz w:val="17"/>
              </w:rPr>
              <w:t>4</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美瑛町の事業所は美瑛町のみを対象とするものが多い</w:t>
            </w:r>
          </w:p>
        </w:tc>
      </w:tr>
      <w:tr>
        <w:trPr>
          <w:cantSplit/>
        </w:trPr>
        <w:tc>
          <w:tcPr>
            <w:tcW w:type="dxa" w:w="2381"/>
          </w:tcPr>
          <w:p>
            <w:r/>
            <w:r>
              <w:rPr>
                <w:rFonts w:ascii="游ゴシック" w:hAnsi="游ゴシック" w:eastAsia="游ゴシック"/>
                <w:sz w:val="17"/>
              </w:rPr>
              <w:t>小規模多機能型居宅介護</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5</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5事業所すべてが美瑛町にあり、東川町・東神楽町を実施地域に含むのは1事業所のみ</w:t>
            </w:r>
          </w:p>
        </w:tc>
      </w:tr>
    </w:tbl>
    <w:p>
      <w:pPr>
        <w:spacing w:after="160" w:line="269" w:lineRule="auto"/>
        <w:jc w:val="right"/>
      </w:pPr>
      <w:r>
        <w:rPr>
          <w:rFonts w:ascii="游ゴシック" w:hAnsi="游ゴシック" w:eastAsia="游ゴシック"/>
          <w:b w:val="0"/>
          <w:sz w:val="17"/>
        </w:rPr>
        <w:t>資料：北海道　介護保険事業所一覧（運営規程の「通常の事業の実施地域」）</w:t>
      </w:r>
    </w:p>
    <w:p>
      <w:pPr>
        <w:spacing w:after="80" w:line="269" w:lineRule="auto"/>
      </w:pPr>
      <w:r>
        <w:rPr>
          <w:rFonts w:ascii="游ゴシック" w:hAnsi="游ゴシック" w:eastAsia="游ゴシック"/>
          <w:b w:val="0"/>
          <w:sz w:val="20"/>
        </w:rPr>
        <w:t>訪問介護は13事業所のうち美瑛町を実施地域に含むのが4事業所であり、3町のうち最も薄い状況です。小規模多機能型居宅介護は5事業所すべてが美瑛町にあり、東川町・東神楽町を実施地域に含むのは1事業所のみです。実施地域外であっても利用できないわけではありませんが、交通費等の実費を負担することがあります。</w:t>
      </w:r>
    </w:p>
    <w:p>
      <w:pPr>
        <w:spacing w:after="160" w:line="269" w:lineRule="auto"/>
      </w:pPr>
      <w:r>
        <w:rPr>
          <w:rFonts w:ascii="游ゴシック" w:hAnsi="游ゴシック" w:eastAsia="游ゴシック"/>
          <w:b w:val="0"/>
          <w:sz w:val="17"/>
        </w:rPr>
        <w:t>3事業所は実施地域欄が空欄であるため、上表の事業所数には含めていません。訪問・通所困難地域の確定は、圏域（地区）単位の実施地域の記載と突き合わせて行います。地区単位の記載がない事業所については3町への照会を要します［要確認］。</w:t>
        <w:br/>
        <w:t>注）圏域別の面積、人口、高齢者人口、認定者数等は第9期計画による令和5年10月1日現在の値です。これより新しい時点の圏域別の値は提供を受けておらず、更新していません。また、健康とくらしの調査の地区（小学校区）と6圏域の対応は、美馬牛小学校区が美馬牛地区に対応すると考えられる以外は確定していません［要確認］。対応が確定するまで、圏域別の分析は上表の6圏域の区分によります。</w:t>
      </w:r>
    </w:p>
    <w:p>
      <w:pPr>
        <w:pStyle w:val="Heading2"/>
        <w:spacing w:before="180" w:after="100"/>
      </w:pPr>
      <w:bookmarkStart w:id="109" w:name="_Toc10_009"/>
      <w:r>
        <w:rPr>
          <w:rFonts w:ascii="游ゴシック" w:hAnsi="游ゴシック" w:eastAsia="游ゴシック"/>
          <w:sz w:val="25"/>
        </w:rPr>
        <w:t>第8節　関係計画等との関係</w:t>
      </w:r>
      <w:bookmarkEnd w:id="109"/>
    </w:p>
    <w:p>
      <w:pPr>
        <w:spacing w:after="80" w:line="269" w:lineRule="auto"/>
      </w:pPr>
      <w:r>
        <w:rPr>
          <w:rFonts w:ascii="游ゴシック" w:hAnsi="游ゴシック" w:eastAsia="游ゴシック"/>
          <w:b w:val="0"/>
          <w:sz w:val="21"/>
        </w:rPr>
        <w:t>認知症施策推進基本計画（認知症基本法第11条により国が定めるもの）、北海道高齢者保健福祉計画・介護保険事業支援計画、医療計画・地域医療構想、都道府県認知症施策推進計画、地域福祉計画、健康増進計画、障がい福祉計画、地域防災計画、住宅施策等との整合を図ります。</w:t>
      </w:r>
    </w:p>
    <w:p>
      <w:pPr>
        <w:spacing w:after="80" w:line="269" w:lineRule="auto"/>
      </w:pPr>
      <w:r>
        <w:rPr>
          <w:rFonts w:ascii="游ゴシック" w:hAnsi="游ゴシック" w:eastAsia="游ゴシック"/>
          <w:b w:val="0"/>
          <w:sz w:val="21"/>
        </w:rPr>
        <w:t>介護保険法第117条は、市町村介護保険事業計画は医療計画との整合性の確保が図られたものでなければならないことを定めています。医療計画及び地域医療構想との整合は、在宅医療・介護連携（第5章 基本目標1）、協力医療機関の確保（第1章第9節1）並びに施設・居住系サービスの整備（第6章第5節）において図ります。北海道の第10期高齢者保健福祉計画・介護保険事業支援計画は未策定であり、策定され次第、整合を確かめます［要確認］。</w:t>
      </w:r>
    </w:p>
    <w:p>
      <w:pPr>
        <w:spacing w:after="80" w:line="269" w:lineRule="auto"/>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構成3町の高齢者福祉計画は老人福祉法第20条の8による市町村老人福祉計画に当たり、同計画は市町村介護保険事業計画と一体のものとして作成することとされています（第2節）。</w:t>
      </w:r>
    </w:p>
    <w:p>
      <w:pPr>
        <w:spacing w:after="80" w:line="269" w:lineRule="auto"/>
      </w:pPr>
      <w:r>
        <w:rPr>
          <w:rFonts w:ascii="游ゴシック" w:hAnsi="游ゴシック" w:eastAsia="游ゴシック"/>
          <w:b w:val="0"/>
          <w:sz w:val="20"/>
        </w:rPr>
        <w:t>市町村認知症施策推進計画は構成3町がそれぞれ策定します（第2節）。本計画との調和は資料2の役割分担及び共通KPIにより保ちます。認知症施策推進基本計画及び都道府県認知症施策推進計画の内容及び策定の状況は［要確認］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【北海道第9期計画の基本目標との対応】</w:t>
      </w:r>
    </w:p>
    <w:p>
      <w:pPr>
        <w:spacing w:after="80" w:line="269" w:lineRule="auto"/>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北海道の基本目標</w:t>
            </w:r>
          </w:p>
        </w:tc>
        <w:tc>
          <w:tcPr>
            <w:tcW w:type="dxa" w:w="4535"/>
            <w:shd w:val="clear" w:color="auto" w:fill="DCE6F1"/>
          </w:tcPr>
          <w:p>
            <w:pPr>
              <w:jc w:val="center"/>
            </w:pPr>
            <w:r/>
            <w:r>
              <w:rPr>
                <w:rFonts w:ascii="游ゴシック" w:hAnsi="游ゴシック" w:eastAsia="游ゴシック"/>
                <w:b/>
                <w:sz w:val="17"/>
              </w:rPr>
              <w:t>北海道の主な評価指標（R8目標）</w:t>
            </w:r>
          </w:p>
        </w:tc>
        <w:tc>
          <w:tcPr>
            <w:tcW w:type="dxa" w:w="2268"/>
            <w:shd w:val="clear" w:color="auto" w:fill="DCE6F1"/>
          </w:tcPr>
          <w:p>
            <w:pPr>
              <w:jc w:val="center"/>
            </w:pPr>
            <w:r/>
            <w:r>
              <w:rPr>
                <w:rFonts w:ascii="游ゴシック" w:hAnsi="游ゴシック" w:eastAsia="游ゴシック"/>
                <w:b/>
                <w:sz w:val="17"/>
              </w:rPr>
              <w:t>本計画の基本目標</w:t>
            </w:r>
          </w:p>
        </w:tc>
      </w:tr>
      <w:tr>
        <w:trPr>
          <w:cantSplit/>
        </w:trP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rPr>
          <w:cantSplit/>
        </w:trP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rPr>
          <w:cantSplit/>
        </w:trP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【「市町村数」を単位とする指標の読替え】</w:t>
      </w:r>
    </w:p>
    <w:p>
      <w:pPr>
        <w:spacing w:after="80" w:line="269" w:lineRule="auto"/>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91"/>
            <w:shd w:val="clear" w:color="auto" w:fill="DCE6F1"/>
          </w:tcPr>
          <w:p>
            <w:pPr>
              <w:spacing w:before="0"/>
              <w:jc w:val="center"/>
            </w:pPr>
            <w:r/>
            <w:r>
              <w:rPr>
                <w:rFonts w:ascii="游ゴシック" w:hAnsi="游ゴシック" w:eastAsia="游ゴシック"/>
                <w:b/>
                <w:sz w:val="17"/>
              </w:rPr>
              <w:t>読替えの方法</w:t>
            </w:r>
          </w:p>
        </w:tc>
        <w:tc>
          <w:tcPr>
            <w:tcW w:type="dxa" w:w="2410"/>
            <w:shd w:val="clear" w:color="auto" w:fill="DCE6F1"/>
          </w:tcPr>
          <w:p>
            <w:pPr>
              <w:jc w:val="center"/>
            </w:pPr>
            <w:r/>
            <w:r>
              <w:rPr>
                <w:rFonts w:ascii="游ゴシック" w:hAnsi="游ゴシック" w:eastAsia="游ゴシック"/>
                <w:b/>
                <w:sz w:val="17"/>
              </w:rPr>
              <w:t>適する指標の性質</w:t>
            </w:r>
          </w:p>
        </w:tc>
        <w:tc>
          <w:tcPr>
            <w:tcW w:type="dxa" w:w="2958"/>
            <w:shd w:val="clear" w:color="auto" w:fill="DCE6F1"/>
          </w:tcPr>
          <w:p>
            <w:pPr>
              <w:jc w:val="center"/>
            </w:pPr>
            <w:r/>
            <w:r>
              <w:rPr>
                <w:rFonts w:ascii="游ゴシック" w:hAnsi="游ゴシック" w:eastAsia="游ゴシック"/>
                <w:b/>
                <w:sz w:val="17"/>
              </w:rPr>
              <w:t>該当する北海道の評価指標</w:t>
            </w:r>
          </w:p>
        </w:tc>
        <w:tc>
          <w:tcPr>
            <w:tcW w:type="dxa" w:w="2191"/>
            <w:shd w:val="clear" w:color="auto" w:fill="DCE6F1"/>
          </w:tcPr>
          <w:p>
            <w:pPr>
              <w:jc w:val="center"/>
            </w:pPr>
            <w:r/>
            <w:r>
              <w:rPr>
                <w:rFonts w:ascii="游ゴシック" w:hAnsi="游ゴシック" w:eastAsia="游ゴシック"/>
                <w:b/>
                <w:sz w:val="17"/>
              </w:rPr>
              <w:t>当広域連合の指標</w:t>
            </w:r>
          </w:p>
        </w:tc>
      </w:tr>
      <w:tr>
        <w:trPr>
          <w:cantSplit/>
        </w:trP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rPr>
          <w:cantSplit/>
        </w:trP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rPr>
          <w:cantSplit/>
        </w:trP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rPr>
          <w:cantSplit/>
        </w:trP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bookmarkStart w:id="110" w:name="_Toc10_010"/>
      <w:r>
        <w:rPr>
          <w:rFonts w:ascii="游ゴシック" w:hAnsi="游ゴシック" w:eastAsia="游ゴシック"/>
          <w:sz w:val="25"/>
        </w:rPr>
        <w:t>第9節　介護保険制度改正の主な内容</w:t>
      </w:r>
      <w:bookmarkEnd w:id="110"/>
    </w:p>
    <w:p>
      <w:pPr>
        <w:spacing w:after="80" w:line="269" w:lineRule="auto"/>
      </w:pPr>
      <w:r>
        <w:rPr>
          <w:rFonts w:ascii="游ゴシック" w:hAnsi="游ゴシック" w:eastAsia="游ゴシック"/>
          <w:b w:val="0"/>
          <w:sz w:val="21"/>
        </w:rPr>
        <w:t>第10期計画の期間には、介護保険法をはじめとする制度の改正が続きます。本節では、本計画に関係する事項を次の4つに分けて整理します。国の第10期基本指針（案）が示す主な論点は次のとおりです。</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line="269" w:lineRule="auto"/>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line="269" w:lineRule="auto"/>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計画はこれらを反映するものとし、告示後に最終の照合を行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【2040年を見据えた地域類型の考え方】</w:t>
      </w:r>
    </w:p>
    <w:p>
      <w:pPr>
        <w:spacing w:after="80" w:line="269" w:lineRule="auto"/>
      </w:pPr>
      <w:r>
        <w:rPr>
          <w:rFonts w:ascii="游ゴシック" w:hAnsi="游ゴシック" w:eastAsia="游ゴシック"/>
          <w:b w:val="0"/>
          <w:sz w:val="20"/>
        </w:rPr>
        <w:t>国は、2040年に向けて高齢化・人口減少の速さが地域によって大きく異なることを踏まえ、「時間軸」・「地域軸」の両面から各地域を「中山間・人口減少地域」「大都市部」「一般市等」に分類したうえで、サービス基盤の維持・確保に向けた議論を行うことを求めています。当広域連合は、次の特定地域の指定基準の整理のとおり、中山間・人口減少地域に当たる区域を含むものと考えられます。地域類型の考え方及び当該地域において取り組むべき事項は、今後、社会保障審議会介護給付費分科会において示される予定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【医療と介護の協議の場の再編成】</w:t>
      </w:r>
    </w:p>
    <w:p>
      <w:pPr>
        <w:spacing w:after="80" w:line="269" w:lineRule="auto"/>
      </w:pPr>
      <w:r>
        <w:rPr>
          <w:rFonts w:ascii="游ゴシック" w:hAnsi="游ゴシック" w:eastAsia="游ゴシック"/>
          <w:b w:val="0"/>
          <w:sz w:val="20"/>
        </w:rPr>
        <w:t>国は、総合確保方針に基づく医療と介護の協議の場について、計画の整合性を確保する場にとどめず、2040年に向けた医療・介護連携に係る提供体制等を本格的に議論する場として再編成することが適当であるとの介護保険部会の意見を示しています。計画の作成過程の初期段階から、北海道及び構成3町の医療・介護担当部局と地域の関係者が協議することとされ、当面の検討事項として①請求情報（介護データベース、レセプト情報等データベース）による地域課題の検討、②療養病床・在宅医療・介護保険施設が慢性期の患者の受け皿としてどのように機能するかの検討、③高齢者施設等と協力医療機関の連携について未対応の施設のマッチングが挙げられています。本計画では、第5章 基本目標3の医療・介護連携の施策及び第6章第5節の整備方針に反映します。</w:t>
      </w:r>
    </w:p>
    <w:p>
      <w:pPr>
        <w:spacing w:after="80" w:line="269" w:lineRule="auto"/>
      </w:pPr>
      <w:r>
        <w:rPr>
          <w:rFonts w:ascii="游ゴシック" w:hAnsi="游ゴシック" w:eastAsia="游ゴシック"/>
          <w:b w:val="0"/>
          <w:sz w:val="20"/>
        </w:rPr>
        <w:t>協力医療機関については、3要件（①入所者の病状が急変した場合等の相談体制、②診療の求めがあった場合の診療体制、③入院を要すると認められた入所者の入院受入体制）を満たす協力医療機関を定めていない高齢者施設等のリストと、協力医療機関として想定される医療機関のリストを早急に作成することが求められています。当広域連合において対象となるのは、認知症対応型共同生活介護7事業所及び地域密着型介護老人福祉施設入所者生活介護3事業所の計10事業所です。これらの事業所については、指定地域密着型サービスの人員・設備・運営の基準に関する広域連合の条例において、協力医療機関に関する規定を令和9年4月1日までに整えておく必要があります［要確認］。</w:t>
      </w:r>
    </w:p>
    <w:p>
      <w:pPr>
        <w:spacing w:after="80" w:line="269" w:lineRule="auto"/>
      </w:pPr>
      <w:r>
        <w:rPr>
          <w:rFonts w:ascii="游ゴシック" w:hAnsi="游ゴシック" w:eastAsia="游ゴシック"/>
          <w:b w:val="0"/>
          <w:sz w:val="20"/>
        </w:rPr>
        <w:t>要件を満たす協力医療機関を定めることの義務化には令和9年3月31日までの経過措置が設けられており、本計画の初日である令和9年4月1日から義務となります。国は、全国における要件を満たす体制の整備割合を介護老人福祉施設67.9％、介護老人保健施設83.3％、介護医療院84.9％としたうえで、定めの状況について集計していないと回答した自治体が一定程度存在し、地域差が見られることを示しています。本計画では、保険者として対象となる事業所の定めの状況を令和9年3月までに把握し、要件を満たしていない事業所については医療機関との調整を支援することとします（第5章 基本目標1）［要協議］。</w:t>
      </w:r>
    </w:p>
    <w:p>
      <w:pPr>
        <w:spacing w:after="80" w:line="269" w:lineRule="auto"/>
      </w:pPr>
      <w:r>
        <w:rPr>
          <w:rFonts w:ascii="游ゴシック" w:hAnsi="游ゴシック" w:eastAsia="游ゴシック"/>
          <w:b w:val="0"/>
          <w:sz w:val="20"/>
        </w:rPr>
        <w:t>あわせて、生産性向上の取組に係る委員会の設置についても、経過措置の終了により令和9年4月1日から義務となります。当広域連合において対象となるのは、小規模多機能型居宅介護5事業所、認知症対応型共同生活介護7事業所、地域密着型介護老人福祉施設入所者生活介護3事業所の計15事業所です。いずれも指定地域密着型サービスであり、広域連合の条例において対応する規定を整えておく必要があります。当該条例を確認していないため、令和6年の省令改正後の規定が置かれているかは確かめられていません［要確認］。本計画は、省令の定めと対象となる事業所数を示すにとど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【中山間・人口減少地域（特定地域）に係る特例の創設】</w:t>
      </w:r>
    </w:p>
    <w:p>
      <w:pPr>
        <w:spacing w:after="80" w:line="269" w:lineRule="auto"/>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制度</w:t>
            </w:r>
          </w:p>
        </w:tc>
        <w:tc>
          <w:tcPr>
            <w:tcW w:type="dxa" w:w="3944"/>
            <w:shd w:val="clear" w:color="auto" w:fill="DCE6F1"/>
          </w:tcPr>
          <w:p>
            <w:pPr>
              <w:jc w:val="center"/>
            </w:pPr>
            <w:r/>
            <w:r>
              <w:rPr>
                <w:rFonts w:ascii="游ゴシック" w:hAnsi="游ゴシック" w:eastAsia="游ゴシック"/>
                <w:b/>
                <w:sz w:val="17"/>
              </w:rPr>
              <w:t>内容</w:t>
            </w:r>
          </w:p>
        </w:tc>
        <w:tc>
          <w:tcPr>
            <w:tcW w:type="dxa" w:w="3396"/>
            <w:shd w:val="clear" w:color="auto" w:fill="DCE6F1"/>
          </w:tcPr>
          <w:p>
            <w:pPr>
              <w:jc w:val="center"/>
            </w:pPr>
            <w:r/>
            <w:r>
              <w:rPr>
                <w:rFonts w:ascii="游ゴシック" w:hAnsi="游ゴシック" w:eastAsia="游ゴシック"/>
                <w:b/>
                <w:sz w:val="17"/>
              </w:rPr>
              <w:t>当広域連合における想定される活用</w:t>
            </w:r>
          </w:p>
        </w:tc>
      </w:tr>
      <w:tr>
        <w:trPr>
          <w:cantSplit/>
        </w:trP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方向が示されている。職員の賃金改善、ICT機器の活用、事業所間の連携等が前提とされる。対象となるサービスの種類、具体の人員配置基準及び報酬の評価の方法は、介護給付費分科会において検討されることとされており、確定していない。</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rPr>
          <w:cantSplit/>
        </w:trP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地域支援事業として居宅介護サービス等を実施できる仕組み。対象となるのは、要介護者に対する訪問介護・訪問入浴介護・通所介護・短期入所生活介護及び要支援者に対する介護予防訪問入浴介護・介護予防短期入所生活介護の6区分であり、費用負担は介護予防・日常生活支援総合事業と同様とされている（第9節2）。事業費の上限は、社会保障審議会介護保険部会において引き続き検討されており、確定していない。</w:t>
            </w:r>
          </w:p>
        </w:tc>
        <w:tc>
          <w:tcPr>
            <w:tcW w:type="dxa" w:w="3396"/>
          </w:tcPr>
          <w:p>
            <w:r/>
            <w:r>
              <w:rPr>
                <w:rFonts w:ascii="游ゴシック" w:hAnsi="游ゴシック" w:eastAsia="游ゴシック"/>
                <w:sz w:val="17"/>
              </w:rPr>
              <w:t>全28サービス種別のうち11種別で域内事業所がない状況（第2章第3節1）に対応し得る制度である。24時間対応サービスの確保方策の選択肢の一つとして検討します（第6章第4節1）。対象となる6区分に定期巡回・随時対応型訪問介護看護は含まれません。特定地域の基準（厚生労働省令）及び費用の額の基準（厚生労働大臣）が定まるまでは、必要となる事業費は算定できません。</w:t>
            </w:r>
          </w:p>
        </w:tc>
      </w:tr>
      <w:tr>
        <w:trPr>
          <w:cantSplit/>
        </w:trPr>
        <w:tc>
          <w:tcPr>
            <w:tcW w:type="dxa" w:w="2410"/>
          </w:tcPr>
          <w:p>
            <w:r/>
            <w:r>
              <w:rPr>
                <w:rFonts w:ascii="游ゴシック" w:hAnsi="游ゴシック" w:eastAsia="游ゴシック"/>
                <w:sz w:val="17"/>
              </w:rPr>
              <w:t>特定地域における介護老人保健施設等の開設許可の特例</w:t>
            </w:r>
          </w:p>
        </w:tc>
        <w:tc>
          <w:tcPr>
            <w:tcW w:type="dxa" w:w="3944"/>
          </w:tcPr>
          <w:p>
            <w:r/>
            <w:r>
              <w:rPr>
                <w:rFonts w:ascii="游ゴシック" w:hAnsi="游ゴシック" w:eastAsia="游ゴシック"/>
                <w:sz w:val="17"/>
              </w:rPr>
              <w:t>特定地域において介護老人保健施設又は介護医療院を開設する場合の許可について、都道府県の条例で定める施設及び人員によることができることとされた（要綱 第2の10。第9節2）。介護支援専門員及び介護その他の業務に従事する従業者並びにそれらの員数は、人口の減少の状況等を勘案して厚生労働省令で定める基準に従い、都道府県の条例で定めることとされている。</w:t>
            </w:r>
          </w:p>
        </w:tc>
        <w:tc>
          <w:tcPr>
            <w:tcW w:type="dxa" w:w="3396"/>
          </w:tcPr>
          <w:p>
            <w:r/>
            <w:r>
              <w:rPr>
                <w:rFonts w:ascii="游ゴシック" w:hAnsi="游ゴシック" w:eastAsia="游ゴシック"/>
                <w:sz w:val="17"/>
              </w:rPr>
              <w:t>区域内には介護老人保健施設3施設（定員240人）があります（第2章第3節1）。本特例は新たな開設の許可に係るものであり、既存の施設に直ちに及ぶものではありません。北海道の条例の制定の状況を確認します［要確認］。</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段階</w:t>
            </w:r>
          </w:p>
        </w:tc>
        <w:tc>
          <w:tcPr>
            <w:tcW w:type="dxa" w:w="3068"/>
            <w:shd w:val="clear" w:color="auto" w:fill="DCE6F1"/>
          </w:tcPr>
          <w:p>
            <w:pPr>
              <w:jc w:val="center"/>
            </w:pPr>
            <w:r/>
            <w:r>
              <w:rPr>
                <w:rFonts w:ascii="游ゴシック" w:hAnsi="游ゴシック" w:eastAsia="游ゴシック"/>
                <w:b/>
                <w:sz w:val="17"/>
              </w:rPr>
              <w:t>基準</w:t>
            </w:r>
          </w:p>
        </w:tc>
        <w:tc>
          <w:tcPr>
            <w:tcW w:type="dxa" w:w="2191"/>
            <w:shd w:val="clear" w:color="auto" w:fill="DCE6F1"/>
          </w:tcPr>
          <w:p>
            <w:pPr>
              <w:jc w:val="center"/>
            </w:pPr>
            <w:r/>
            <w:r>
              <w:rPr>
                <w:rFonts w:ascii="游ゴシック" w:hAnsi="游ゴシック" w:eastAsia="游ゴシック"/>
                <w:b/>
                <w:sz w:val="17"/>
              </w:rPr>
              <w:t>指定の単位</w:t>
            </w:r>
          </w:p>
        </w:tc>
        <w:tc>
          <w:tcPr>
            <w:tcW w:type="dxa" w:w="3835"/>
            <w:shd w:val="clear" w:color="auto" w:fill="DCE6F1"/>
          </w:tcPr>
          <w:p>
            <w:pPr>
              <w:jc w:val="center"/>
            </w:pPr>
            <w:r/>
            <w:r>
              <w:rPr>
                <w:rFonts w:ascii="游ゴシック" w:hAnsi="游ゴシック" w:eastAsia="游ゴシック"/>
                <w:b/>
                <w:sz w:val="17"/>
              </w:rPr>
              <w:t>本広域連合への適用</w:t>
            </w:r>
          </w:p>
        </w:tc>
      </w:tr>
      <w:tr>
        <w:trPr>
          <w:cantSplit/>
        </w:trP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rPr>
          <w:cantSplit/>
        </w:trP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推計値による試算では、美瑛町は密度要件を満たす可能性が高い。東川町・東神楽町は密度要件を満たさないと見込まれる。</w:t>
            </w:r>
          </w:p>
        </w:tc>
      </w:tr>
      <w:tr>
        <w:trPr>
          <w:cantSplit/>
        </w:trP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ないため（第2章第3節1）、⑵の判断の対象となり得る。①②に該当しない町についても、当該サービス類型について指定の対象となる可能性があ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p>
      <w:pPr>
        <w:spacing w:after="20" w:line="269" w:lineRule="auto"/>
        <w:jc w:val="right"/>
      </w:pPr>
      <w:r>
        <w:rPr>
          <w:rFonts w:ascii="游ゴシック" w:hAnsi="游ゴシック" w:eastAsia="游ゴシック"/>
          <w:b w:val="0"/>
          <w:sz w:val="17"/>
        </w:rPr>
        <w:t>基準②（75歳以上人口密度）による町別の試算</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986"/>
            <w:shd w:val="clear" w:color="auto" w:fill="DCE6F1"/>
          </w:tcPr>
          <w:p>
            <w:pPr>
              <w:spacing w:before="0"/>
              <w:jc w:val="center"/>
            </w:pPr>
            <w:r/>
            <w:r>
              <w:rPr>
                <w:rFonts w:ascii="游ゴシック" w:hAnsi="游ゴシック" w:eastAsia="游ゴシック"/>
                <w:b/>
                <w:sz w:val="17"/>
              </w:rPr>
              <w:t>町</w:t>
            </w:r>
          </w:p>
        </w:tc>
        <w:tc>
          <w:tcPr>
            <w:tcW w:type="dxa" w:w="1096"/>
            <w:shd w:val="clear" w:color="auto" w:fill="DCE6F1"/>
          </w:tcPr>
          <w:p>
            <w:pPr>
              <w:jc w:val="center"/>
            </w:pPr>
            <w:r/>
            <w:r>
              <w:rPr>
                <w:rFonts w:ascii="游ゴシック" w:hAnsi="游ゴシック" w:eastAsia="游ゴシック"/>
                <w:b/>
                <w:sz w:val="17"/>
              </w:rPr>
              <w:t>面積</w:t>
            </w:r>
          </w:p>
        </w:tc>
        <w:tc>
          <w:tcPr>
            <w:tcW w:type="dxa" w:w="1205"/>
            <w:shd w:val="clear" w:color="auto" w:fill="DCE6F1"/>
          </w:tcPr>
          <w:p>
            <w:pPr>
              <w:jc w:val="center"/>
            </w:pPr>
            <w:r/>
            <w:r>
              <w:rPr>
                <w:rFonts w:ascii="游ゴシック" w:hAnsi="游ゴシック" w:eastAsia="游ゴシック"/>
                <w:b/>
                <w:sz w:val="17"/>
              </w:rPr>
              <w:t>5人／km²の閾値</w:t>
            </w:r>
          </w:p>
        </w:tc>
        <w:tc>
          <w:tcPr>
            <w:tcW w:type="dxa" w:w="1424"/>
            <w:shd w:val="clear" w:color="auto" w:fill="DCE6F1"/>
          </w:tcPr>
          <w:p>
            <w:pPr>
              <w:jc w:val="center"/>
            </w:pPr>
            <w:r/>
            <w:r>
              <w:rPr>
                <w:rFonts w:ascii="游ゴシック" w:hAnsi="游ゴシック" w:eastAsia="游ゴシック"/>
                <w:b/>
                <w:sz w:val="17"/>
              </w:rPr>
              <w:t>75歳以上人口（推計）</w:t>
            </w:r>
          </w:p>
        </w:tc>
        <w:tc>
          <w:tcPr>
            <w:tcW w:type="dxa" w:w="1315"/>
            <w:shd w:val="clear" w:color="auto" w:fill="DCE6F1"/>
          </w:tcPr>
          <w:p>
            <w:pPr>
              <w:jc w:val="center"/>
            </w:pPr>
            <w:r/>
            <w:r>
              <w:rPr>
                <w:rFonts w:ascii="游ゴシック" w:hAnsi="游ゴシック" w:eastAsia="游ゴシック"/>
                <w:b/>
                <w:sz w:val="17"/>
              </w:rPr>
              <w:t>密度</w:t>
            </w:r>
          </w:p>
        </w:tc>
        <w:tc>
          <w:tcPr>
            <w:tcW w:type="dxa" w:w="3725"/>
            <w:shd w:val="clear" w:color="auto" w:fill="DCE6F1"/>
          </w:tcPr>
          <w:p>
            <w:pPr>
              <w:jc w:val="center"/>
            </w:pPr>
            <w:r/>
            <w:r>
              <w:rPr>
                <w:rFonts w:ascii="游ゴシック" w:hAnsi="游ゴシック" w:eastAsia="游ゴシック"/>
                <w:b/>
                <w:sz w:val="17"/>
              </w:rPr>
              <w:t>基準②に係る試算</w:t>
            </w:r>
          </w:p>
        </w:tc>
      </w:tr>
      <w:tr>
        <w:trPr>
          <w:cantSplit/>
        </w:trP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密度要件を満たす可能性が高い。推計値は閾値を大きく下回り、65歳以上人口が約3,675人であることからも、確定値により判定が変わる余地は小さいと考えられる。</w:t>
            </w:r>
          </w:p>
        </w:tc>
      </w:tr>
      <w:tr>
        <w:trPr>
          <w:cantSplit/>
        </w:trP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密度要件を満たさないと見込まれる。推計値は閾値を21〜25％上回るが、確定値による検証を要する。</w:t>
            </w:r>
          </w:p>
        </w:tc>
      </w:tr>
      <w:tr>
        <w:trPr>
          <w:cantSplit/>
        </w:trP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密度要件を満たさないと見込まれる。推計値は閾値を4倍以上上回る。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line="269" w:lineRule="auto"/>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line="269" w:lineRule="auto"/>
      </w:pPr>
      <w:r>
        <w:rPr>
          <w:rFonts w:ascii="游ゴシック" w:hAnsi="游ゴシック" w:eastAsia="游ゴシック"/>
          <w:b w:val="0"/>
          <w:sz w:val="17"/>
        </w:rPr>
        <w:t>注）本表の75歳以上人口は按分による推計値であり、密度及び判定はいずれも試算です。また、基準は令和8年6月29日の社会保障審議会介護保険部会に素案として示されたものであり、省令等により確定したものではありません。最終的な対象地域は、確定した基準及び構成町の意向を踏まえて北海道が定めるものであり、本計画はその指定の結果により確認します［要確認］。基準①の根拠となる特別地域加算の対象地域の告示を確認できていないため、構成3町が①に該当するかどうかの判定は本計画では行っていません［要確認］。指定に係る構成町の意向の表明についても、基準及び手続が確定していないため本計画では行わないものとし、省令等が確定した時点で3町と協議して定めます［要協議］。</w:t>
        <w:br/>
        <w:t>注）介護報酬上、交通の便が悪い地域における経営の安定等を目的として①特別地域加算②中山間地域等における小規模事業所加算③中山間地域等に居住する者へのサービス提供加算の3種類が設けられており、いずれも区分支給限度基準額の対象外とされています。地域の区分は、厚生労働大臣が定める中山間地域等の地域に関する告示と、いわゆる特別地域加算の対象地域に関する告示の2つによります。本計画は、いずれの告示も確認できていないため、構成3町が対象であるかどうかの判定を行っておらず、第6章第2節の1人1月あたり給付費は令和7年度の実績（算定されている加算を含みます）によっています［要確認］。</w:t>
        <w:b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社会福祉法等の一部を改正する法律（令和8年法律第51号）</w:t>
      </w:r>
    </w:p>
    <w:p>
      <w:pPr>
        <w:spacing w:after="80" w:line="269" w:lineRule="auto"/>
      </w:pPr>
      <w:r>
        <w:rPr>
          <w:rFonts w:ascii="游ゴシック" w:hAnsi="游ゴシック" w:eastAsia="游ゴシック"/>
          <w:b w:val="0"/>
          <w:sz w:val="21"/>
        </w:rPr>
        <w:t>令和8年に社会福祉法等の一部を改正する法律（令和8年法律第51号）が公布され（令和8年6月25日公布）、介護保険法についても改正が行われました。施行は原則として令和9年4月1日であり、第10期計画の初年度から適用されます。ただし、法律案要綱 第10の1（附則第1条関係）は、次の事項について別の日から施行することとしています。既に公布の日から施行されている1件を除き、いずれも第10期計画の期間中に施行されるものです。</w:t>
      </w:r>
    </w:p>
    <w:p>
      <w:pPr>
        <w:keepNext/>
        <w:spacing w:after="60" w:line="269" w:lineRule="auto" w:before="160"/>
      </w:pPr>
      <w:r>
        <w:rPr>
          <w:rFonts w:ascii="游ゴシック" w:hAnsi="游ゴシック" w:eastAsia="游ゴシック"/>
          <w:b/>
          <w:sz w:val="20"/>
        </w:rPr>
        <w:t>【施行の日】</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区分</w:t>
            </w:r>
          </w:p>
        </w:tc>
        <w:tc>
          <w:tcPr>
            <w:tcW w:type="dxa" w:w="2739"/>
            <w:shd w:val="clear" w:color="auto" w:fill="DCE6F1"/>
          </w:tcPr>
          <w:p>
            <w:pPr>
              <w:jc w:val="center"/>
            </w:pPr>
            <w:r/>
            <w:r>
              <w:rPr>
                <w:rFonts w:ascii="游ゴシック" w:hAnsi="游ゴシック" w:eastAsia="游ゴシック"/>
                <w:b/>
                <w:sz w:val="17"/>
              </w:rPr>
              <w:t>施行の日</w:t>
            </w:r>
          </w:p>
        </w:tc>
        <w:tc>
          <w:tcPr>
            <w:tcW w:type="dxa" w:w="3835"/>
            <w:shd w:val="clear" w:color="auto" w:fill="DCE6F1"/>
          </w:tcPr>
          <w:p>
            <w:pPr>
              <w:jc w:val="center"/>
            </w:pPr>
            <w:r/>
            <w:r>
              <w:rPr>
                <w:rFonts w:ascii="游ゴシック" w:hAnsi="游ゴシック" w:eastAsia="游ゴシック"/>
                <w:b/>
                <w:sz w:val="17"/>
              </w:rPr>
              <w:t>本計画に関わる主な事項</w:t>
            </w:r>
          </w:p>
        </w:tc>
        <w:tc>
          <w:tcPr>
            <w:tcW w:type="dxa" w:w="2301"/>
            <w:shd w:val="clear" w:color="auto" w:fill="DCE6F1"/>
          </w:tcPr>
          <w:p>
            <w:pPr>
              <w:jc w:val="center"/>
            </w:pPr>
            <w:r/>
            <w:r>
              <w:rPr>
                <w:rFonts w:ascii="游ゴシック" w:hAnsi="游ゴシック" w:eastAsia="游ゴシック"/>
                <w:b/>
                <w:sz w:val="17"/>
              </w:rPr>
              <w:t>期限の目安</w:t>
            </w:r>
          </w:p>
        </w:tc>
      </w:tr>
      <w:tr>
        <w:trPr>
          <w:cantSplit/>
        </w:trPr>
        <w:tc>
          <w:tcPr>
            <w:tcW w:type="dxa" w:w="877"/>
          </w:tcPr>
          <w:p>
            <w:r/>
            <w:r>
              <w:rPr>
                <w:rFonts w:ascii="游ゴシック" w:hAnsi="游ゴシック" w:eastAsia="游ゴシック"/>
                <w:sz w:val="17"/>
              </w:rPr>
              <w:t>原則</w:t>
            </w:r>
          </w:p>
        </w:tc>
        <w:tc>
          <w:tcPr>
            <w:tcW w:type="dxa" w:w="2739"/>
          </w:tcPr>
          <w:p>
            <w:r/>
            <w:r>
              <w:rPr>
                <w:rFonts w:ascii="游ゴシック" w:hAnsi="游ゴシック" w:eastAsia="游ゴシック"/>
                <w:sz w:val="17"/>
              </w:rPr>
              <w:t>令和9年4月1日</w:t>
            </w:r>
          </w:p>
        </w:tc>
        <w:tc>
          <w:tcPr>
            <w:tcW w:type="dxa" w:w="3835"/>
          </w:tcPr>
          <w:p>
            <w:r/>
            <w:r>
              <w:rPr>
                <w:rFonts w:ascii="游ゴシック" w:hAnsi="游ゴシック" w:eastAsia="游ゴシック"/>
                <w:sz w:val="17"/>
              </w:rPr>
              <w:t>特定地域居宅サービス及び特定地域居宅サービス等事業の創設／夜間対応型訪問介護の廃止／特定福祉用具販売に係る費用の額の見直し／要介護認定等の申請の代行の拡大／指定介護老人福祉施設等の指定の辞退／特定地域における介護老人保健施設等の開設許可の特例／介護予防・日常生活支援総合事業の見直し／第1号介護予防支援事業の委託／地域ケア会議の見直し／計画の記載事項の見直し／協議会の設置／国及び都道府県の責務</w:t>
            </w:r>
          </w:p>
        </w:tc>
        <w:tc>
          <w:tcPr>
            <w:tcW w:type="dxa" w:w="2301"/>
          </w:tcPr>
          <w:p>
            <w:r/>
            <w:r>
              <w:rPr>
                <w:rFonts w:ascii="游ゴシック" w:hAnsi="游ゴシック" w:eastAsia="游ゴシック"/>
                <w:sz w:val="17"/>
              </w:rPr>
              <w:t>第10期計画の初年度</w:t>
            </w:r>
          </w:p>
        </w:tc>
      </w:tr>
      <w:tr>
        <w:trPr>
          <w:cantSplit/>
        </w:trPr>
        <w:tc>
          <w:tcPr>
            <w:tcW w:type="dxa" w:w="877"/>
          </w:tcPr>
          <w:p>
            <w:r/>
            <w:r>
              <w:rPr>
                <w:rFonts w:ascii="游ゴシック" w:hAnsi="游ゴシック" w:eastAsia="游ゴシック"/>
                <w:sz w:val="17"/>
              </w:rPr>
              <w:t>（1）</w:t>
            </w:r>
          </w:p>
        </w:tc>
        <w:tc>
          <w:tcPr>
            <w:tcW w:type="dxa" w:w="2739"/>
          </w:tcPr>
          <w:p>
            <w:r/>
            <w:r>
              <w:rPr>
                <w:rFonts w:ascii="游ゴシック" w:hAnsi="游ゴシック" w:eastAsia="游ゴシック"/>
                <w:sz w:val="17"/>
              </w:rPr>
              <w:t>公布の日</w:t>
            </w:r>
          </w:p>
        </w:tc>
        <w:tc>
          <w:tcPr>
            <w:tcW w:type="dxa" w:w="3835"/>
          </w:tcPr>
          <w:p>
            <w:r/>
            <w:r>
              <w:rPr>
                <w:rFonts w:ascii="游ゴシック" w:hAnsi="游ゴシック" w:eastAsia="游ゴシック"/>
                <w:sz w:val="17"/>
              </w:rPr>
              <w:t>介護福祉士の養成施設等を卒業した者に係る経過措置の令和13年度卒業者までの延長（第8）</w:t>
            </w:r>
          </w:p>
        </w:tc>
        <w:tc>
          <w:tcPr>
            <w:tcW w:type="dxa" w:w="2301"/>
          </w:tcPr>
          <w:p>
            <w:r/>
            <w:r>
              <w:rPr>
                <w:rFonts w:ascii="游ゴシック" w:hAnsi="游ゴシック" w:eastAsia="游ゴシック"/>
                <w:sz w:val="17"/>
              </w:rPr>
              <w:t>既に施行されている</w:t>
            </w:r>
          </w:p>
        </w:tc>
      </w:tr>
      <w:tr>
        <w:trPr>
          <w:cantSplit/>
        </w:trPr>
        <w:tc>
          <w:tcPr>
            <w:tcW w:type="dxa" w:w="877"/>
          </w:tcPr>
          <w:p>
            <w:r/>
            <w:r>
              <w:rPr>
                <w:rFonts w:ascii="游ゴシック" w:hAnsi="游ゴシック" w:eastAsia="游ゴシック"/>
                <w:sz w:val="17"/>
              </w:rPr>
              <w:t>（2）</w:t>
            </w:r>
          </w:p>
        </w:tc>
        <w:tc>
          <w:tcPr>
            <w:tcW w:type="dxa" w:w="2739"/>
          </w:tcPr>
          <w:p>
            <w:r/>
            <w:r>
              <w:rPr>
                <w:rFonts w:ascii="游ゴシック" w:hAnsi="游ゴシック" w:eastAsia="游ゴシック"/>
                <w:sz w:val="17"/>
              </w:rPr>
              <w:t>公布の日から起算して1年6月を超えない範囲内において政令で定める日</w:t>
            </w:r>
          </w:p>
        </w:tc>
        <w:tc>
          <w:tcPr>
            <w:tcW w:type="dxa" w:w="3835"/>
          </w:tcPr>
          <w:p>
            <w:r/>
            <w:r>
              <w:rPr>
                <w:rFonts w:ascii="游ゴシック" w:hAnsi="游ゴシック" w:eastAsia="游ゴシック"/>
                <w:sz w:val="17"/>
              </w:rPr>
              <w:t>介護支援専門員の資格に係る更新制の廃止、研修の見直し、事業者による氏名の報告及び研修の受講の機会の確保</w:t>
            </w:r>
          </w:p>
        </w:tc>
        <w:tc>
          <w:tcPr>
            <w:tcW w:type="dxa" w:w="2301"/>
          </w:tcPr>
          <w:p>
            <w:r/>
            <w:r>
              <w:rPr>
                <w:rFonts w:ascii="游ゴシック" w:hAnsi="游ゴシック" w:eastAsia="游ゴシック"/>
                <w:sz w:val="17"/>
              </w:rPr>
              <w:t>令和9年12月まで（第10期の初年度中）</w:t>
            </w:r>
          </w:p>
        </w:tc>
      </w:tr>
      <w:tr>
        <w:trPr>
          <w:cantSplit/>
        </w:trPr>
        <w:tc>
          <w:tcPr>
            <w:tcW w:type="dxa" w:w="877"/>
          </w:tcPr>
          <w:p>
            <w:r/>
            <w:r>
              <w:rPr>
                <w:rFonts w:ascii="游ゴシック" w:hAnsi="游ゴシック" w:eastAsia="游ゴシック"/>
                <w:sz w:val="17"/>
              </w:rPr>
              <w:t>（3）</w:t>
            </w:r>
          </w:p>
        </w:tc>
        <w:tc>
          <w:tcPr>
            <w:tcW w:type="dxa" w:w="2739"/>
          </w:tcPr>
          <w:p>
            <w:r/>
            <w:r>
              <w:rPr>
                <w:rFonts w:ascii="游ゴシック" w:hAnsi="游ゴシック" w:eastAsia="游ゴシック"/>
                <w:sz w:val="17"/>
              </w:rPr>
              <w:t>公布の日から起算して2年を超えない範囲内において政令で定める日</w:t>
            </w:r>
          </w:p>
        </w:tc>
        <w:tc>
          <w:tcPr>
            <w:tcW w:type="dxa" w:w="3835"/>
          </w:tcPr>
          <w:p>
            <w:r/>
            <w:r>
              <w:rPr>
                <w:rFonts w:ascii="游ゴシック" w:hAnsi="游ゴシック" w:eastAsia="游ゴシック"/>
                <w:sz w:val="17"/>
              </w:rPr>
              <w:t>特定施設の定義の改正（第2の3）／計画の作成に当たり勘案する事項の一部（第2の14（3）の一部）／有料老人ホームの設置の届出等の見直し及び登録制度の創設（第6の3・4）</w:t>
            </w:r>
          </w:p>
        </w:tc>
        <w:tc>
          <w:tcPr>
            <w:tcW w:type="dxa" w:w="2301"/>
          </w:tcPr>
          <w:p>
            <w:r/>
            <w:r>
              <w:rPr>
                <w:rFonts w:ascii="游ゴシック" w:hAnsi="游ゴシック" w:eastAsia="游ゴシック"/>
                <w:sz w:val="17"/>
              </w:rPr>
              <w:t>令和10年6月まで（第10期の2年度目）</w:t>
            </w:r>
          </w:p>
        </w:tc>
      </w:tr>
      <w:tr>
        <w:trPr>
          <w:cantSplit/>
        </w:trPr>
        <w:tc>
          <w:tcPr>
            <w:tcW w:type="dxa" w:w="877"/>
          </w:tcPr>
          <w:p>
            <w:r/>
            <w:r>
              <w:rPr>
                <w:rFonts w:ascii="游ゴシック" w:hAnsi="游ゴシック" w:eastAsia="游ゴシック"/>
                <w:sz w:val="17"/>
              </w:rPr>
              <w:t>（4）</w:t>
            </w:r>
          </w:p>
        </w:tc>
        <w:tc>
          <w:tcPr>
            <w:tcW w:type="dxa" w:w="2739"/>
          </w:tcPr>
          <w:p>
            <w:r/>
            <w:r>
              <w:rPr>
                <w:rFonts w:ascii="游ゴシック" w:hAnsi="游ゴシック" w:eastAsia="游ゴシック"/>
                <w:sz w:val="17"/>
              </w:rPr>
              <w:t>公布の日から起算して3年を超えない範囲内において政令で定める日</w:t>
            </w:r>
          </w:p>
        </w:tc>
        <w:tc>
          <w:tcPr>
            <w:tcW w:type="dxa" w:w="3835"/>
          </w:tcPr>
          <w:p>
            <w:r/>
            <w:r>
              <w:rPr>
                <w:rFonts w:ascii="游ゴシック" w:hAnsi="游ゴシック" w:eastAsia="游ゴシック"/>
                <w:sz w:val="17"/>
              </w:rPr>
              <w:t>被保険者証の添付、記載、返付等に関する規定の整備（第2の2（3））／登録施設介護支援及び登録施設介護予防支援の創設等（第2の16）</w:t>
            </w:r>
          </w:p>
        </w:tc>
        <w:tc>
          <w:tcPr>
            <w:tcW w:type="dxa" w:w="2301"/>
          </w:tcPr>
          <w:p>
            <w:r/>
            <w:r>
              <w:rPr>
                <w:rFonts w:ascii="游ゴシック" w:hAnsi="游ゴシック" w:eastAsia="游ゴシック"/>
                <w:sz w:val="17"/>
              </w:rPr>
              <w:t>令和11年6月まで（第10期の最終年度）</w:t>
            </w:r>
          </w:p>
        </w:tc>
      </w:tr>
    </w:tbl>
    <w:p>
      <w:pPr>
        <w:spacing w:after="160" w:line="269" w:lineRule="auto"/>
      </w:pPr>
      <w:r>
        <w:rPr>
          <w:rFonts w:ascii="游ゴシック" w:hAnsi="游ゴシック" w:eastAsia="游ゴシック"/>
          <w:b w:val="0"/>
          <w:sz w:val="17"/>
        </w:rPr>
        <w:t>資料：社会福祉法等の一部を改正する法律案要綱 第10の1（附則第1条関係）</w:t>
        <w:br/>
        <w:t>注）期限の目安は、公布の日（令和8年6月25日）から要綱が定める期間を加えたものです。実際の施行の日は政令により定まります［要確認］。</w:t>
      </w:r>
    </w:p>
    <w:p>
      <w:pPr>
        <w:spacing w:after="80" w:line="269" w:lineRule="auto"/>
      </w:pPr>
      <w:r>
        <w:rPr>
          <w:rFonts w:ascii="游ゴシック" w:hAnsi="游ゴシック" w:eastAsia="游ゴシック"/>
          <w:b w:val="0"/>
          <w:sz w:val="20"/>
        </w:rPr>
        <w:t>本計画に関係する介護保険法の改正事項は次のとおりです。</w:t>
      </w:r>
    </w:p>
    <w:p>
      <w:pPr>
        <w:keepNext/>
        <w:spacing w:after="60" w:line="269" w:lineRule="auto" w:before="160"/>
      </w:pPr>
      <w:r>
        <w:rPr>
          <w:rFonts w:ascii="游ゴシック" w:hAnsi="游ゴシック" w:eastAsia="游ゴシック"/>
          <w:b/>
          <w:sz w:val="20"/>
        </w:rPr>
        <w:t>【介護保険法の改正（要綱 第2）】</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改正事項</w:t>
            </w:r>
          </w:p>
        </w:tc>
        <w:tc>
          <w:tcPr>
            <w:tcW w:type="dxa" w:w="3498"/>
            <w:shd w:val="clear" w:color="auto" w:fill="DCE6F1"/>
          </w:tcPr>
          <w:p>
            <w:pPr>
              <w:jc w:val="center"/>
            </w:pPr>
            <w:r/>
            <w:r>
              <w:rPr>
                <w:rFonts w:ascii="游ゴシック" w:hAnsi="游ゴシック" w:eastAsia="游ゴシック"/>
                <w:b/>
                <w:sz w:val="17"/>
              </w:rPr>
              <w:t>内容</w:t>
            </w:r>
          </w:p>
        </w:tc>
        <w:tc>
          <w:tcPr>
            <w:tcW w:type="dxa" w:w="1378"/>
            <w:shd w:val="clear" w:color="auto" w:fill="DCE6F1"/>
          </w:tcPr>
          <w:p>
            <w:pPr>
              <w:jc w:val="center"/>
            </w:pPr>
            <w:r/>
            <w:r>
              <w:rPr>
                <w:rFonts w:ascii="游ゴシック" w:hAnsi="游ゴシック" w:eastAsia="游ゴシック"/>
                <w:b/>
                <w:sz w:val="17"/>
              </w:rPr>
              <w:t>施行</w:t>
            </w:r>
          </w:p>
        </w:tc>
        <w:tc>
          <w:tcPr>
            <w:tcW w:type="dxa" w:w="27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120"/>
          </w:tcPr>
          <w:p>
            <w:r/>
            <w:r>
              <w:rPr>
                <w:rFonts w:ascii="游ゴシック" w:hAnsi="游ゴシック" w:eastAsia="游ゴシック"/>
                <w:sz w:val="17"/>
              </w:rPr>
              <w:t>特定地域居宅サービス及び特定地域居宅サービス等事業の創設（要綱 第2の6）</w:t>
            </w:r>
          </w:p>
        </w:tc>
        <w:tc>
          <w:tcPr>
            <w:tcW w:type="dxa" w:w="3498"/>
          </w:tcPr>
          <w:p>
            <w:r/>
            <w:r>
              <w:rPr>
                <w:rFonts w:ascii="游ゴシック" w:hAnsi="游ゴシック" w:eastAsia="游ゴシック"/>
                <w:sz w:val="17"/>
              </w:rPr>
              <w:t>特定地域（人口の減少その他の厚生労働省令で定める基準に該当する地域として都道府県が定めるもの）に所在する事業所のサービスについて、都道府県の条例で定める基準による特例のサービス類型を設ける。費用の額は、厚生労働大臣が定める基準により算定した費用の額の100分の90に相当する額を基準として市町村が定める。あわせて、その区域内に特定地域がある市町村は、地域支援事業として特定地域居宅サービス等事業（要介護者に対する訪問介護・訪問入浴介護・通所介護・短期入所生活介護、要支援者に対する介護予防訪問入浴介護・介護予防短期入所生活介護の6区分）を行うことができる。費用負担は介護予防・日常生活支援総合事業と同様とする。</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前記1の整理のとおり、24時間対応サービスの確保方策の選択肢として検討します（第6章第4節1）。対象となる6区分、費用の額の基準及び費用負担の枠組みは法律に定められていますが、特定地域の基準（厚生労働省令）、都道府県が定める区域及び費用の額の基準（厚生労働大臣）が定まっていないため、事業費を算定していません（第6章第3節2）。</w:t>
            </w:r>
          </w:p>
        </w:tc>
      </w:tr>
      <w:tr>
        <w:trPr>
          <w:cantSplit/>
        </w:trPr>
        <w:tc>
          <w:tcPr>
            <w:tcW w:type="dxa" w:w="2120"/>
          </w:tcPr>
          <w:p>
            <w:r/>
            <w:r>
              <w:rPr>
                <w:rFonts w:ascii="游ゴシック" w:hAnsi="游ゴシック" w:eastAsia="游ゴシック"/>
                <w:sz w:val="17"/>
              </w:rPr>
              <w:t>夜間対応型訪問介護の廃止と定期巡回・随時対応型訪問介護看護への統合（要綱 第2の4）</w:t>
            </w:r>
          </w:p>
        </w:tc>
        <w:tc>
          <w:tcPr>
            <w:tcW w:type="dxa" w:w="3498"/>
          </w:tcPr>
          <w:p>
            <w:r/>
            <w:r>
              <w:rPr>
                <w:rFonts w:ascii="游ゴシック" w:hAnsi="游ゴシック" w:eastAsia="游ゴシック"/>
                <w:sz w:val="17"/>
              </w:rPr>
              <w:t>夜間対応型訪問介護を廃止し、定期巡回・随時対応型訪問介護看護に統合する。</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サービス種別の区分が変わるため、第6章第2節の見込量は統合後の区分により算定します。区域内にはいずれの事業所も存在しないため、実績への影響はありません。報酬上の経過措置については第9節6 注2のとおりです。</w:t>
            </w:r>
          </w:p>
        </w:tc>
      </w:tr>
      <w:tr>
        <w:trPr>
          <w:cantSplit/>
        </w:trPr>
        <w:tc>
          <w:tcPr>
            <w:tcW w:type="dxa" w:w="2120"/>
          </w:tcPr>
          <w:p>
            <w:r/>
            <w:r>
              <w:rPr>
                <w:rFonts w:ascii="游ゴシック" w:hAnsi="游ゴシック" w:eastAsia="游ゴシック"/>
                <w:sz w:val="17"/>
              </w:rPr>
              <w:t>介護保険事業計画の記載事項の見直し（要綱 第2の14）</w:t>
            </w:r>
          </w:p>
        </w:tc>
        <w:tc>
          <w:tcPr>
            <w:tcW w:type="dxa" w:w="3498"/>
          </w:tcPr>
          <w:p>
            <w:r/>
            <w:r>
              <w:rPr>
                <w:rFonts w:ascii="游ゴシック" w:hAnsi="游ゴシック" w:eastAsia="游ゴシック"/>
                <w:sz w:val="17"/>
              </w:rPr>
              <w:t>次の事項を定めるものとする（第117条第2項第3号・第4号）。①介護給付等対象サービスの種類ごとの量及び地域支援事業の量に関する中長期的な推計　②介護給付等対象サービスを提供する体制の確保及び地域支援事業の実施に関し、中長期的な観点から市町村が取り組むべき施策に関する事項。次の事項を定めるよう努めるものとする（第117条第3項第4号・第5号）。③生産性の向上、介護支援専門員その他の従事者の確保及び資質の向上その他の質の高いサービスの提供の確保と安定した経営基盤の確立の双方の実現を図る取組に資する都道府県と連携した取組　④介護支援専門員その他の地域支援事業に従事する者の確保及び資質の向上に資する都道府県と連携した取組　⑤地域支援事業の実施における生産性の向上に資する都道府県と連携した取組。あわせて、第2項第1号及び第2号並びに①を定めるに当たっては、区域ごとの有料老人ホーム及び登録有料老人ホーム並びに登録住宅（サービス付き高齢者向け住宅）のそれぞれの入居定員総数並びに都道府県が定める区域ごとの医療と介護の連携の状況を勘案しなければならないものとし（第117条第5項）、①を定め、又は変更しようとするときは、あらかじめ、都道府県の意見を聴かなければならないものとする（第117条第14項）。</w:t>
            </w:r>
          </w:p>
        </w:tc>
        <w:tc>
          <w:tcPr>
            <w:tcW w:type="dxa" w:w="1378"/>
          </w:tcPr>
          <w:p>
            <w:r/>
            <w:r>
              <w:rPr>
                <w:rFonts w:ascii="游ゴシック" w:hAnsi="游ゴシック" w:eastAsia="游ゴシック"/>
                <w:sz w:val="17"/>
              </w:rPr>
              <w:t>令和9年4月1日（第5項の一部は公布の日から起算して2年を超えない範囲内において政令で定める日）</w:t>
            </w:r>
          </w:p>
        </w:tc>
        <w:tc>
          <w:tcPr>
            <w:tcW w:type="dxa" w:w="2756"/>
          </w:tcPr>
          <w:p>
            <w:r/>
            <w:r>
              <w:rPr>
                <w:rFonts w:ascii="游ゴシック" w:hAnsi="游ゴシック" w:eastAsia="游ゴシック"/>
                <w:sz w:val="17"/>
              </w:rPr>
              <w:t>①は第2章第8節に全体を、サービスの種類ごとの量を第6章第2節に、給付費を第6章第3節に、地域支援事業の量を第6章第3節2に置きます。②は第6章第5節及び第6章第4節1に置きます。③から⑤までは第5章 基本目標4及び基本目標2に置きます。第5項の勘案については第2章第3節及び第6章第1節に、第14項の手続については第1章第5節に置きます。</w:t>
            </w:r>
          </w:p>
        </w:tc>
      </w:tr>
      <w:tr>
        <w:trPr>
          <w:cantSplit/>
        </w:trPr>
        <w:tc>
          <w:tcPr>
            <w:tcW w:type="dxa" w:w="2120"/>
          </w:tcPr>
          <w:p>
            <w:r/>
            <w:r>
              <w:rPr>
                <w:rFonts w:ascii="游ゴシック" w:hAnsi="游ゴシック" w:eastAsia="游ゴシック"/>
                <w:sz w:val="17"/>
              </w:rPr>
              <w:t>介護予防・日常生活支援総合事業の見直し（要綱 第2の11）</w:t>
            </w:r>
          </w:p>
        </w:tc>
        <w:tc>
          <w:tcPr>
            <w:tcW w:type="dxa" w:w="3498"/>
          </w:tcPr>
          <w:p>
            <w:r/>
            <w:r>
              <w:rPr>
                <w:rFonts w:ascii="游ゴシック" w:hAnsi="游ゴシック" w:eastAsia="游ゴシック"/>
                <w:sz w:val="17"/>
              </w:rPr>
              <w:t>市町村が地域支援事業として行う第1号被保険者に対する事業として、要介護状態等の予防等とともに地域住民相互の交流を促進することを目的として、厚生労働省令で定める基準に従って、介護予防に必要な事業その他厚生労働省令で定める事業を一体的に実施するための拠点を運営する事業を位置づける（第115条の45第1項第2号）。</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第5章 基本目標2の介護予防・生活支援の施策に反映します。拠点を運営する事業の量及び費用は、厚生労働省令で定める基準が示された時点で算定します（第6章第3節2）［要協議］。</w:t>
            </w:r>
          </w:p>
        </w:tc>
      </w:tr>
      <w:tr>
        <w:trPr>
          <w:cantSplit/>
        </w:trPr>
        <w:tc>
          <w:tcPr>
            <w:tcW w:type="dxa" w:w="2120"/>
          </w:tcPr>
          <w:p>
            <w:r/>
            <w:r>
              <w:rPr>
                <w:rFonts w:ascii="游ゴシック" w:hAnsi="游ゴシック" w:eastAsia="游ゴシック"/>
                <w:sz w:val="17"/>
              </w:rPr>
              <w:t>第1号介護予防支援事業の委託の見直し（要綱 第2の12）</w:t>
            </w:r>
          </w:p>
        </w:tc>
        <w:tc>
          <w:tcPr>
            <w:tcW w:type="dxa" w:w="3498"/>
          </w:tcPr>
          <w:p>
            <w:r/>
            <w:r>
              <w:rPr>
                <w:rFonts w:ascii="游ゴシック" w:hAnsi="游ゴシック" w:eastAsia="游ゴシック"/>
                <w:sz w:val="17"/>
              </w:rPr>
              <w:t>市町村が老人介護支援センターの設置者等に一括して委託しなければならないとされている事業から第1号介護予防支援事業を除き、居宅要支援被保険者に係るものに限らず、厚生労働省令で定める基準に適合する者に委託することができることとする（第115条の47第2項・第5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地域包括支援センターの業務負担の軽減に資するため、委託の可否及び委託先を構成3町と協議します［要協議］。</w:t>
            </w:r>
          </w:p>
        </w:tc>
      </w:tr>
      <w:tr>
        <w:trPr>
          <w:cantSplit/>
        </w:trPr>
        <w:tc>
          <w:tcPr>
            <w:tcW w:type="dxa" w:w="2120"/>
          </w:tcPr>
          <w:p>
            <w:r/>
            <w:r>
              <w:rPr>
                <w:rFonts w:ascii="游ゴシック" w:hAnsi="游ゴシック" w:eastAsia="游ゴシック"/>
                <w:sz w:val="17"/>
              </w:rPr>
              <w:t>地域ケア会議の見直し（要綱 第2の13）</w:t>
            </w:r>
          </w:p>
        </w:tc>
        <w:tc>
          <w:tcPr>
            <w:tcW w:type="dxa" w:w="3498"/>
          </w:tcPr>
          <w:p>
            <w:r/>
            <w:r>
              <w:rPr>
                <w:rFonts w:ascii="游ゴシック" w:hAnsi="游ゴシック" w:eastAsia="游ゴシック"/>
                <w:sz w:val="17"/>
              </w:rPr>
              <w:t>介護保険法第115条の48第1項に規定する会議（地域ケア会議。法律案要綱は本条の会議を「支援会議」と呼んでいる。）について、社会福祉法の支援会議、障害者総合支援法の支援協議会、住宅確保要配慮者に対する賃貸住宅の供給の促進に関する法律の支援協議会、生活困窮者自立支援法の支援会議その他の会議が組織され、又は置かれているときは、これらの会議と相互に連携を図るよう努めなければならないものとする（同条第5項）。会議の実施の一部を地域包括支援センターの設置者に委託することができるものとし（同条第6項）、運営に当たり包括的支援事業との連携を図ることその他地域の住民の意見を反映させるために必要な措置を講ずるよう努めなければならないものとする（同条第7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第5章 基本目標1の地域ケア会議の施策に反映します。他の法律に基づく会議の設置の状況は構成3町により異なるため、連携の方法を3町と協議して定めます［要協議］。</w:t>
            </w:r>
          </w:p>
        </w:tc>
      </w:tr>
      <w:tr>
        <w:trPr>
          <w:cantSplit/>
        </w:trPr>
        <w:tc>
          <w:tcPr>
            <w:tcW w:type="dxa" w:w="2120"/>
          </w:tcPr>
          <w:p>
            <w:r/>
            <w:r>
              <w:rPr>
                <w:rFonts w:ascii="游ゴシック" w:hAnsi="游ゴシック" w:eastAsia="游ゴシック"/>
                <w:sz w:val="17"/>
              </w:rPr>
              <w:t>有料老人ホームに係る登録制度の創設と登録施設介護（予防）支援の創設（要綱 第2の3・第2の16、第6の3・4）</w:t>
            </w:r>
          </w:p>
        </w:tc>
        <w:tc>
          <w:tcPr>
            <w:tcW w:type="dxa" w:w="3498"/>
          </w:tcPr>
          <w:p>
            <w:r/>
            <w:r>
              <w:rPr>
                <w:rFonts w:ascii="游ゴシック" w:hAnsi="游ゴシック" w:eastAsia="游ゴシック"/>
                <w:sz w:val="17"/>
              </w:rPr>
              <w:t>一定の要件に該当する有料老人ホームについて都道府県知事の登録制を導入し（5年ごとの更新。登録をしたときは所在地の市町村長に通知する）、登録有料老人ホームを特定施設の定義に加える（第8条第11項）。あわせて、登録有料老人ホームの居室において介護又は支援を受ける者に対する登録施設介護支援及び登録施設介護予防支援を創設し、介護給付及び予防給付に登録施設介護サービス計画費等を追加する。費用の額は、厚生労働大臣が定める基準により算定した費用の額の100分の90に相当する額とする。登録施設介護予防支援は、地域包括支援センターの職員及び指定登録施設介護支援を行う事業所の従業者のうち厚生労働省令で定める者が行う。</w:t>
            </w:r>
          </w:p>
        </w:tc>
        <w:tc>
          <w:tcPr>
            <w:tcW w:type="dxa" w:w="1378"/>
          </w:tcPr>
          <w:p>
            <w:r/>
            <w:r>
              <w:rPr>
                <w:rFonts w:ascii="游ゴシック" w:hAnsi="游ゴシック" w:eastAsia="游ゴシック"/>
                <w:sz w:val="17"/>
              </w:rPr>
              <w:t>特定施設の定義及び登録制度は公布の日から起算して2年、登録施設介護（予防）支援は3年を超えない範囲内において政令で定める日</w:t>
            </w:r>
          </w:p>
        </w:tc>
        <w:tc>
          <w:tcPr>
            <w:tcW w:type="dxa" w:w="275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基本目標3に住まいの施策を置きます。ケアプラン点検の対象にも影響するため、ケアプラン点検実施要領で取り扱います。見込量における扱いは第6章第2節 注3のとおりです。特定施設の定義の改正により特定施設入居者生活介護の対象となる施設の範囲が変わり得るため、区域内3施設の扱いを確認します［要確認］。登録施設介護予防支援を地域包括支援センターの職員が行うことは包括的支援事業の業務量に関わります［要協議］。</w:t>
            </w:r>
          </w:p>
        </w:tc>
      </w:tr>
      <w:tr>
        <w:trPr>
          <w:cantSplit/>
        </w:trPr>
        <w:tc>
          <w:tcPr>
            <w:tcW w:type="dxa" w:w="2120"/>
          </w:tcPr>
          <w:p>
            <w:r/>
            <w:r>
              <w:rPr>
                <w:rFonts w:ascii="游ゴシック" w:hAnsi="游ゴシック" w:eastAsia="游ゴシック"/>
                <w:sz w:val="17"/>
              </w:rPr>
              <w:t>介護支援専門員の資格に係る更新制の廃止、研修の見直し等（要綱 第2の8）</w:t>
            </w:r>
          </w:p>
        </w:tc>
        <w:tc>
          <w:tcPr>
            <w:tcW w:type="dxa" w:w="3498"/>
          </w:tcPr>
          <w:p>
            <w:r/>
            <w:r>
              <w:rPr>
                <w:rFonts w:ascii="游ゴシック" w:hAnsi="游ゴシック" w:eastAsia="游ゴシック"/>
                <w:sz w:val="17"/>
              </w:rPr>
              <w:t>介護支援専門員証の有効期間及びその更新のための研修を廃止する。介護支援専門員は、資質の保持及び向上を図るため、都道府県知事が行う研修を受けるものとし、正当な理由なく受けていないときは受講命令、命令に従わない場合は1年以内の業務の禁止の対象となる。事業者又は施設の開設者は、介護支援専門員を業務に従事させたとき、又は従事しなくなったときは、その氏名等を都道府県知事に報告しなければならず、研修の受講の機会を確保するための措置をとらなければならない（第69条の40第1項・第2項）。報告をせず又は措置をとっていないときは勧告・公表・命令の対象となり、命令に違反したときは指定又は許可に係る都道府県知事又は市町村長に違反の内容が通知される。</w:t>
            </w:r>
          </w:p>
        </w:tc>
        <w:tc>
          <w:tcPr>
            <w:tcW w:type="dxa" w:w="1378"/>
          </w:tcPr>
          <w:p>
            <w:r/>
            <w:r>
              <w:rPr>
                <w:rFonts w:ascii="游ゴシック" w:hAnsi="游ゴシック" w:eastAsia="游ゴシック"/>
                <w:sz w:val="17"/>
              </w:rPr>
              <w:t>公布の日から起算して1年6月を超えない範囲内において政令で定める日</w:t>
            </w:r>
          </w:p>
        </w:tc>
        <w:tc>
          <w:tcPr>
            <w:tcW w:type="dxa" w:w="2756"/>
          </w:tcPr>
          <w:p>
            <w:r/>
            <w:r>
              <w:rPr>
                <w:rFonts w:ascii="游ゴシック" w:hAnsi="游ゴシック" w:eastAsia="游ゴシック"/>
                <w:sz w:val="17"/>
              </w:rPr>
              <w:t>第5章 基本目標4の人材の確保及び資質の向上の施策に反映します。事業者の報告義務及び研修の受講の機会の確保の措置は、区域内の事業所に新たに生ずる義務であるため、施行までの間に周知します。地域密着型サービス事業者について命令違反の通知を受ける立場となるため、北海道との連絡の方法を確認します［要確認］。</w:t>
            </w:r>
          </w:p>
        </w:tc>
      </w:tr>
      <w:tr>
        <w:trPr>
          <w:cantSplit/>
        </w:trPr>
        <w:tc>
          <w:tcPr>
            <w:tcW w:type="dxa" w:w="2120"/>
          </w:tcPr>
          <w:p>
            <w:r/>
            <w:r>
              <w:rPr>
                <w:rFonts w:ascii="游ゴシック" w:hAnsi="游ゴシック" w:eastAsia="游ゴシック"/>
                <w:sz w:val="17"/>
              </w:rPr>
              <w:t>介護人材の確保及び生産性向上の推進（要綱 第2の1・第2の15）</w:t>
            </w:r>
          </w:p>
        </w:tc>
        <w:tc>
          <w:tcPr>
            <w:tcW w:type="dxa" w:w="3498"/>
          </w:tcPr>
          <w:p>
            <w:r/>
            <w:r>
              <w:rPr>
                <w:rFonts w:ascii="游ゴシック" w:hAnsi="游ゴシック" w:eastAsia="游ゴシック"/>
                <w:sz w:val="17"/>
              </w:rPr>
              <w:t>国は、業務の効率化、質の向上その他の生産性の向上、従事者の確保及び資質の向上その他の質の高い介護サービスの提供の確保とその提供のための安定した経営基盤の確立の双方の実現を図る取組の推進に関する施策を講じなければならないものとし（第5条第2項）、都道府県は、助言及び援助をするに当たってはその取組が促進されるようにしなければならないものとする（第5条第4項）。都道府県は、その取組を促進するため、市町村、公共職業安定所、都道府県福祉人材センター、介護労働安定センター、介護サービス事業者を構成員とする団体、教育機関その他の関係機関により構成される協議会を置くものとする（第120条の3）。</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協議会を置くのは北海道であり、市町村は構成員として参画するものとされています。第2章第6節に介護人材の状況を、第5章 基本目標4に人材の確保及び生産性向上の施策を置きます。本広域連合と構成3町のいずれが参画するかを含め、北海道における協議会の設置の状況は確認できていません［要協議］。</w:t>
            </w:r>
          </w:p>
        </w:tc>
      </w:tr>
      <w:tr>
        <w:trPr>
          <w:cantSplit/>
        </w:trPr>
        <w:tc>
          <w:tcPr>
            <w:tcW w:type="dxa" w:w="2120"/>
          </w:tcPr>
          <w:p>
            <w:r/>
            <w:r>
              <w:rPr>
                <w:rFonts w:ascii="游ゴシック" w:hAnsi="游ゴシック" w:eastAsia="游ゴシック"/>
                <w:sz w:val="17"/>
              </w:rPr>
              <w:t>特定福祉用具販売に係る費用の額の見直し（要綱 第2の7）</w:t>
            </w:r>
          </w:p>
        </w:tc>
        <w:tc>
          <w:tcPr>
            <w:tcW w:type="dxa" w:w="3498"/>
          </w:tcPr>
          <w:p>
            <w:r/>
            <w:r>
              <w:rPr>
                <w:rFonts w:ascii="游ゴシック" w:hAnsi="游ゴシック" w:eastAsia="游ゴシック"/>
                <w:sz w:val="17"/>
              </w:rPr>
              <w:t>居宅介護福祉用具購入費の額を、特定福祉用具の種目、販売する事業所の所在する地域等を勘案して算定される購入に要する平均的な費用の額を勘案して厚生労働大臣が定める基準により算定した費用の額（現に要した費用の額を超えるときは現に要した費用の額）の100分の90に相当する額とする（第44条第3項）。介護予防福祉用具購入費も同様とする（第56条第3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基準となる額が新たに定められるものです。厚生労働大臣が定める基準が示されていないため、本計画の見込量及び給付費は令和7年度の実績によっています（第6章第2節 注1-1）。</w:t>
            </w:r>
          </w:p>
        </w:tc>
      </w:tr>
      <w:tr>
        <w:trPr>
          <w:cantSplit/>
        </w:trPr>
        <w:tc>
          <w:tcPr>
            <w:tcW w:type="dxa" w:w="2120"/>
          </w:tcPr>
          <w:p>
            <w:r/>
            <w:r>
              <w:rPr>
                <w:rFonts w:ascii="游ゴシック" w:hAnsi="游ゴシック" w:eastAsia="游ゴシック"/>
                <w:sz w:val="17"/>
              </w:rPr>
              <w:t>指定介護老人福祉施設等の指定の辞退（要綱 第2の9）</w:t>
            </w:r>
          </w:p>
        </w:tc>
        <w:tc>
          <w:tcPr>
            <w:tcW w:type="dxa" w:w="3498"/>
          </w:tcPr>
          <w:p>
            <w:r/>
            <w:r>
              <w:rPr>
                <w:rFonts w:ascii="游ゴシック" w:hAnsi="游ゴシック" w:eastAsia="游ゴシック"/>
                <w:sz w:val="17"/>
              </w:rPr>
              <w:t>指定介護老人福祉施設等は、1月以上の予告期間を設けてその指定を辞退することができるものとする（第78条の8、第91条）。</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施設サービスの供給量に関わるため、第6章第4節2及び第6章第5節に整備の考え方を置きます。</w:t>
            </w:r>
          </w:p>
        </w:tc>
      </w:tr>
      <w:tr>
        <w:trPr>
          <w:cantSplit/>
        </w:trPr>
        <w:tc>
          <w:tcPr>
            <w:tcW w:type="dxa" w:w="2120"/>
          </w:tcPr>
          <w:p>
            <w:r/>
            <w:r>
              <w:rPr>
                <w:rFonts w:ascii="游ゴシック" w:hAnsi="游ゴシック" w:eastAsia="游ゴシック"/>
                <w:sz w:val="17"/>
              </w:rPr>
              <w:t>要介護認定等の申請に関する手続の代行の拡大（要綱 第2の5）</w:t>
            </w:r>
          </w:p>
        </w:tc>
        <w:tc>
          <w:tcPr>
            <w:tcW w:type="dxa" w:w="3498"/>
          </w:tcPr>
          <w:p>
            <w:r/>
            <w:r>
              <w:rPr>
                <w:rFonts w:ascii="游ゴシック" w:hAnsi="游ゴシック" w:eastAsia="游ゴシック"/>
                <w:sz w:val="17"/>
              </w:rPr>
              <w:t>要介護認定等の申請に関する手続を代わって行わせることができる者として、特定施設入居者生活介護を行う指定居宅サービス事業者、小規模多機能型居宅介護・認知症対応型共同生活介護・地域密着型特定施設入居者生活介護・複合型サービスを行う指定地域密着型サービス事業者、特定地域介護老人福祉施設、介護老人保健施設、介護医療院並びに介護予防の事業者を追加する（第27条第1項、第32条第1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申請の経路が増えるため、認定に要する期間の短縮に資するものです。第2章第1節3及び第5章 基本目標5に反映します。</w:t>
            </w:r>
          </w:p>
        </w:tc>
      </w:tr>
      <w:tr>
        <w:trPr>
          <w:cantSplit/>
        </w:trPr>
        <w:tc>
          <w:tcPr>
            <w:tcW w:type="dxa" w:w="2120"/>
          </w:tcPr>
          <w:p>
            <w:r/>
            <w:r>
              <w:rPr>
                <w:rFonts w:ascii="游ゴシック" w:hAnsi="游ゴシック" w:eastAsia="游ゴシック"/>
                <w:sz w:val="17"/>
              </w:rPr>
              <w:t>電子資格確認の導入及び被保険者証に関する規定の整備（要綱 第2の2）</w:t>
            </w:r>
          </w:p>
        </w:tc>
        <w:tc>
          <w:tcPr>
            <w:tcW w:type="dxa" w:w="3498"/>
          </w:tcPr>
          <w:p>
            <w:r/>
            <w:r>
              <w:rPr>
                <w:rFonts w:ascii="游ゴシック" w:hAnsi="游ゴシック" w:eastAsia="游ゴシック"/>
                <w:sz w:val="17"/>
              </w:rPr>
              <w:t>被保険者証の提示等に電子資格確認（個人番号カードの利用者証明用電子証明書により資格に係る情報の照会を行う方法等）を加える（第7条第10項）。資格を喪失したときの被保険者証の返還等の措置を定める（第12条第4項）。被保険者証の添付、記載、返付等に関する規定の整備を行う（第27条等）。</w:t>
            </w:r>
          </w:p>
        </w:tc>
        <w:tc>
          <w:tcPr>
            <w:tcW w:type="dxa" w:w="1378"/>
          </w:tcPr>
          <w:p>
            <w:r/>
            <w:r>
              <w:rPr>
                <w:rFonts w:ascii="游ゴシック" w:hAnsi="游ゴシック" w:eastAsia="游ゴシック"/>
                <w:sz w:val="17"/>
              </w:rPr>
              <w:t>令和9年4月1日（被保険者証の添付、記載、返付等に関する規定の整備は公布の日から起算して3年を超えない範囲内において政令で定める日）</w:t>
            </w:r>
          </w:p>
        </w:tc>
        <w:tc>
          <w:tcPr>
            <w:tcW w:type="dxa" w:w="2756"/>
          </w:tcPr>
          <w:p>
            <w:r/>
            <w:r>
              <w:rPr>
                <w:rFonts w:ascii="游ゴシック" w:hAnsi="游ゴシック" w:eastAsia="游ゴシック"/>
                <w:sz w:val="17"/>
              </w:rPr>
              <w:t>第5章 基本目標5の保険運営の施策に反映します。介護保険事務システムの対応を要するため、介護情報基盤への対応（第9節5）と併せて工程を定めます［要協議］。</w:t>
            </w:r>
          </w:p>
        </w:tc>
      </w:tr>
    </w:tbl>
    <w:p>
      <w:pPr>
        <w:keepNext/>
        <w:spacing w:after="60" w:line="269" w:lineRule="auto" w:before="160"/>
      </w:pPr>
      <w:r>
        <w:rPr>
          <w:rFonts w:ascii="游ゴシック" w:hAnsi="游ゴシック" w:eastAsia="游ゴシック"/>
          <w:b/>
          <w:sz w:val="20"/>
        </w:rPr>
        <w:t>【社会福祉法その他の法律の改正（要綱 第1・第6から第8まで）】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改正事項</w:t>
            </w:r>
          </w:p>
        </w:tc>
        <w:tc>
          <w:tcPr>
            <w:tcW w:type="dxa" w:w="3498"/>
            <w:shd w:val="clear" w:color="auto" w:fill="DCE6F1"/>
          </w:tcPr>
          <w:p>
            <w:pPr>
              <w:jc w:val="center"/>
            </w:pPr>
            <w:r/>
            <w:r>
              <w:rPr>
                <w:rFonts w:ascii="游ゴシック" w:hAnsi="游ゴシック" w:eastAsia="游ゴシック"/>
                <w:b/>
                <w:sz w:val="17"/>
              </w:rPr>
              <w:t>内容</w:t>
            </w:r>
          </w:p>
        </w:tc>
        <w:tc>
          <w:tcPr>
            <w:tcW w:type="dxa" w:w="1378"/>
            <w:shd w:val="clear" w:color="auto" w:fill="DCE6F1"/>
          </w:tcPr>
          <w:p>
            <w:pPr>
              <w:jc w:val="center"/>
            </w:pPr>
            <w:r/>
            <w:r>
              <w:rPr>
                <w:rFonts w:ascii="游ゴシック" w:hAnsi="游ゴシック" w:eastAsia="游ゴシック"/>
                <w:b/>
                <w:sz w:val="17"/>
              </w:rPr>
              <w:t>施行</w:t>
            </w:r>
          </w:p>
        </w:tc>
        <w:tc>
          <w:tcPr>
            <w:tcW w:type="dxa" w:w="27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120"/>
          </w:tcPr>
          <w:p>
            <w:r/>
            <w:r>
              <w:rPr>
                <w:rFonts w:ascii="游ゴシック" w:hAnsi="游ゴシック" w:eastAsia="游ゴシック"/>
                <w:sz w:val="17"/>
              </w:rPr>
              <w:t>成年後見制度等の適切な利用の支援（要綱 第1の4（5））</w:t>
            </w:r>
          </w:p>
        </w:tc>
        <w:tc>
          <w:tcPr>
            <w:tcW w:type="dxa" w:w="3498"/>
          </w:tcPr>
          <w:p>
            <w:r/>
            <w:r>
              <w:rPr>
                <w:rFonts w:ascii="游ゴシック" w:hAnsi="游ゴシック" w:eastAsia="游ゴシック"/>
                <w:sz w:val="17"/>
              </w:rPr>
              <w:t>市町村は、高齢者及び障害者による成年後見制度又は介護保険法第115条の45第2項第2号に掲げる事業（権利擁護事業）等の適切な利用の支援のため、権利利益の擁護に係る支援に従事する者に対する相談・助言及び関係機関等との連絡調整等の事務の実施に努めるものとする（社会福祉法第106条の15第1項）。中核的な役割を担う機関として地域権利擁護相談支援センターを設置することができるものとし（同法第106条の16）、関係機関等により構成される会議を組織することができるものとする（同法第106条の17）。</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権利擁護事業は包括的支援事業であり、構成3町が実施しています。第5章 基本目標1の権利擁護の施策に反映します。地域権利擁護相談支援センターの設置及び会議の組織については、3町の成年後見制度の利用の促進に関する計画との関係を整理して定めます［要協議］。</w:t>
            </w:r>
          </w:p>
        </w:tc>
      </w:tr>
      <w:tr>
        <w:trPr>
          <w:cantSplit/>
        </w:trPr>
        <w:tc>
          <w:tcPr>
            <w:tcW w:type="dxa" w:w="2120"/>
          </w:tcPr>
          <w:p>
            <w:r/>
            <w:r>
              <w:rPr>
                <w:rFonts w:ascii="游ゴシック" w:hAnsi="游ゴシック" w:eastAsia="游ゴシック"/>
                <w:sz w:val="17"/>
              </w:rPr>
              <w:t>小規模市町村地域支援連携協働体制整備事業の創設（要綱 第1の4（3））</w:t>
            </w:r>
          </w:p>
        </w:tc>
        <w:tc>
          <w:tcPr>
            <w:tcW w:type="dxa" w:w="3498"/>
          </w:tcPr>
          <w:p>
            <w:r/>
            <w:r>
              <w:rPr>
                <w:rFonts w:ascii="游ゴシック" w:hAnsi="游ゴシック" w:eastAsia="游ゴシック"/>
                <w:sz w:val="17"/>
              </w:rPr>
              <w:t>小規模市町村（その人口規模、その人口の減少の状況等からみて福祉サービスを提供する体制の確保に支障を生じ、又は生ずるおそれがあると認められる市町村として厚生労働省令で定める基準に該当するもの）は、社会福祉法に基づく事業及び関係法律に基づく事業を一体のものとして実施することにより、包括的な支援体制を一体的に整備する事業を行うことができるものとする（社会福祉法第106条の6）。費用は小規模市町村の支弁とし、国及び都道府県は交付金を交付する。実施する場合は、関係法律に基づく事業についての市町村の支弁に係る費用から当該事業の実施に要する費用を除くものとする（同法第106条の12）。</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関係法律に基づく事業」に介護保険法の包括的支援事業が含まれるかは厚生労働省令により定まります。含まれ、かつ構成3町が小規模市町村に該当する場合は、地域支援事業費の支弁の構造が変わり得るため、第6章第6節の保険料収納必要額の算定に影響します［要確認］。</w:t>
            </w:r>
          </w:p>
        </w:tc>
      </w:tr>
      <w:tr>
        <w:trPr>
          <w:cantSplit/>
        </w:trPr>
        <w:tc>
          <w:tcPr>
            <w:tcW w:type="dxa" w:w="2120"/>
          </w:tcPr>
          <w:p>
            <w:r/>
            <w:r>
              <w:rPr>
                <w:rFonts w:ascii="游ゴシック" w:hAnsi="游ゴシック" w:eastAsia="游ゴシック"/>
                <w:sz w:val="17"/>
              </w:rPr>
              <w:t>災害時福祉業務従事者の登録（要綱 第1の4（7））</w:t>
            </w:r>
          </w:p>
        </w:tc>
        <w:tc>
          <w:tcPr>
            <w:tcW w:type="dxa" w:w="3498"/>
          </w:tcPr>
          <w:p>
            <w:r/>
            <w:r>
              <w:rPr>
                <w:rFonts w:ascii="游ゴシック" w:hAnsi="游ゴシック" w:eastAsia="游ゴシック"/>
                <w:sz w:val="17"/>
              </w:rPr>
              <w:t>厚生労働大臣は、都道府県知事の求めに応じて、災害が発生した区域に派遣されて災害時における福祉サービスの提供を行う旨の承諾をした者（介護福祉士、介護支援専門員、社会福祉士等であって厚生労働大臣が実施する研修の課程を修了したもの等に限る。）を災害時福祉業務従事者として登録するものとする（社会福祉法第108条の2）。都道府県知事は、災害が発生した場合に従事することを要請することができるものとする（同法第108条の6）。</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区域内の事業所の従事者が登録の対象となり得ます。第5章 基本目標5の災害・感染症対策の施策に反映します。</w:t>
            </w:r>
          </w:p>
        </w:tc>
      </w:tr>
      <w:tr>
        <w:trPr>
          <w:cantSplit/>
        </w:trPr>
        <w:tc>
          <w:tcPr>
            <w:tcW w:type="dxa" w:w="2120"/>
          </w:tcPr>
          <w:p>
            <w:r/>
            <w:r>
              <w:rPr>
                <w:rFonts w:ascii="游ゴシック" w:hAnsi="游ゴシック" w:eastAsia="游ゴシック"/>
                <w:sz w:val="17"/>
              </w:rPr>
              <w:t>市町村老人福祉計画及び市町村地域福祉計画の記載事項（要綱 第6の1、第1の4（6））</w:t>
            </w:r>
          </w:p>
        </w:tc>
        <w:tc>
          <w:tcPr>
            <w:tcW w:type="dxa" w:w="3498"/>
          </w:tcPr>
          <w:p>
            <w:r/>
            <w:r>
              <w:rPr>
                <w:rFonts w:ascii="游ゴシック" w:hAnsi="游ゴシック" w:eastAsia="游ゴシック"/>
                <w:sz w:val="17"/>
              </w:rPr>
              <w:t>市町村老人福祉計画について、老人福祉事業その他の老人の生活に直接影響を及ぼす事業を営む者と支援関係機関との連携に関する事項を定めるよう努めるものとする（老人福祉法第20条の8第3項第3号）。市町村地域福祉計画について、保健医療、労働、教育、住まい、地域再生及び防災に関する施策その他の関連施策との連携に関する事項を定めるものとする（社会福祉法第107条第1項第6号）。</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いずれも構成3町が策定する計画です。市町村老人福祉計画は介護保険事業計画と一体のものとして作成するものであるため、第1章第2節及び第8節に関係を示します。</w:t>
            </w:r>
          </w:p>
        </w:tc>
      </w:tr>
      <w:tr>
        <w:trPr>
          <w:cantSplit/>
        </w:trPr>
        <w:tc>
          <w:tcPr>
            <w:tcW w:type="dxa" w:w="2120"/>
          </w:tcPr>
          <w:p>
            <w:r/>
            <w:r>
              <w:rPr>
                <w:rFonts w:ascii="游ゴシック" w:hAnsi="游ゴシック" w:eastAsia="游ゴシック"/>
                <w:sz w:val="17"/>
              </w:rPr>
              <w:t>介護福祉士に関する改正（要綱 第7・第8）</w:t>
            </w:r>
          </w:p>
        </w:tc>
        <w:tc>
          <w:tcPr>
            <w:tcW w:type="dxa" w:w="3498"/>
          </w:tcPr>
          <w:p>
            <w:r/>
            <w:r>
              <w:rPr>
                <w:rFonts w:ascii="游ゴシック" w:hAnsi="游ゴシック" w:eastAsia="游ゴシック"/>
                <w:sz w:val="17"/>
              </w:rPr>
              <w:t>介護福祉士の養成施設等を卒業した者であって介護福祉士でないものに付与される准介護福祉士の資格を廃止する。養成施設等を卒業した者が卒業の翌年度から5年間介護福祉士となる資格を有するものとする経過措置の対象を、平成29年度から令和13年度までの間に卒業した者に広げる（従前は令和8年度までの間に卒業した者）。</w:t>
            </w:r>
          </w:p>
        </w:tc>
        <w:tc>
          <w:tcPr>
            <w:tcW w:type="dxa" w:w="1378"/>
          </w:tcPr>
          <w:p>
            <w:r/>
            <w:r>
              <w:rPr>
                <w:rFonts w:ascii="游ゴシック" w:hAnsi="游ゴシック" w:eastAsia="游ゴシック"/>
                <w:sz w:val="17"/>
              </w:rPr>
              <w:t>准介護福祉士の資格の廃止は令和9年4月1日、経過措置の延長は公布の日</w:t>
            </w:r>
          </w:p>
        </w:tc>
        <w:tc>
          <w:tcPr>
            <w:tcW w:type="dxa" w:w="2756"/>
          </w:tcPr>
          <w:p>
            <w:r/>
            <w:r>
              <w:rPr>
                <w:rFonts w:ascii="游ゴシック" w:hAnsi="游ゴシック" w:eastAsia="游ゴシック"/>
                <w:sz w:val="17"/>
              </w:rPr>
              <w:t>第10期計画の期間中の介護福祉士の資格の取得に関わります。第2章第6節及び第5章 基本目標4に反映します。</w:t>
            </w:r>
          </w:p>
        </w:tc>
      </w:tr>
    </w:tbl>
    <w:p>
      <w:pPr>
        <w:spacing w:after="160" w:line="269" w:lineRule="auto"/>
      </w:pPr>
      <w:r>
        <w:rPr>
          <w:rFonts w:ascii="游ゴシック" w:hAnsi="游ゴシック" w:eastAsia="游ゴシック"/>
          <w:b w:val="0"/>
          <w:sz w:val="17"/>
        </w:rPr>
        <w:t>資料：社会福祉法等の一部を改正する法律案要綱（令和8年10月14日に確認）</w:t>
        <w:br/>
        <w:t>注）要綱は改正事項の要旨を示すものであり、改正後の条文及び附則の経過措置の内容を確認できていないため、項番号及び号番号は要綱の記載によっています［要確認］。</w:t>
      </w:r>
    </w:p>
    <w:p>
      <w:pPr>
        <w:pStyle w:val="Heading3"/>
        <w:spacing w:before="180" w:after="100"/>
      </w:pPr>
      <w:r>
        <w:rPr>
          <w:rFonts w:ascii="游ゴシック" w:hAnsi="游ゴシック" w:eastAsia="游ゴシック"/>
          <w:sz w:val="22"/>
        </w:rPr>
        <w:t>3 医療計画等との整合</w:t>
      </w:r>
    </w:p>
    <w:p>
      <w:pPr>
        <w:spacing w:after="80" w:line="269" w:lineRule="auto"/>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line="269" w:lineRule="auto"/>
      </w:pPr>
      <w:r>
        <w:rPr>
          <w:rFonts w:ascii="游ゴシック" w:hAnsi="游ゴシック" w:eastAsia="游ゴシック"/>
          <w:b w:val="0"/>
          <w:sz w:val="17"/>
        </w:rPr>
        <w:t>出典：厚生労働省 介護保険最新情報Vol.1525（令和8年7月14日）　https://www.mhlw.go.jp/content/001722971.pdf</w:t>
      </w:r>
    </w:p>
    <w:p>
      <w:pPr>
        <w:pStyle w:val="Heading3"/>
        <w:spacing w:before="180" w:after="100"/>
      </w:pPr>
      <w:r>
        <w:rPr>
          <w:rFonts w:ascii="游ゴシック" w:hAnsi="游ゴシック" w:eastAsia="游ゴシック"/>
          <w:sz w:val="22"/>
        </w:rPr>
        <w:t>4 令和8年3月の全国課長会議において示された事項</w:t>
      </w:r>
    </w:p>
    <w:p>
      <w:pPr>
        <w:spacing w:after="80" w:line="269" w:lineRule="auto"/>
      </w:pPr>
      <w:r>
        <w:rPr>
          <w:rFonts w:ascii="游ゴシック" w:hAnsi="游ゴシック" w:eastAsia="游ゴシック"/>
          <w:b w:val="0"/>
          <w:sz w:val="21"/>
        </w:rPr>
        <w:t>令和8年3月の全国介護保険・高齢者保健福祉担当課長会議において、第10期計画の期間に施行され、又は計画の算定に影響する事項が示されました。本計画に関係するものは次のとおりです。いずれも政令・省令・告示又は事務連絡が示された時点で再照合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773"/>
            <w:shd w:val="clear" w:color="auto" w:fill="DCE6F1"/>
          </w:tcPr>
          <w:p>
            <w:pPr>
              <w:spacing w:before="0"/>
              <w:jc w:val="center"/>
            </w:pPr>
            <w:r/>
            <w:r>
              <w:rPr>
                <w:rFonts w:ascii="游ゴシック" w:hAnsi="游ゴシック" w:eastAsia="游ゴシック"/>
                <w:b/>
                <w:sz w:val="17"/>
              </w:rPr>
              <w:t>事項</w:t>
            </w:r>
          </w:p>
        </w:tc>
        <w:tc>
          <w:tcPr>
            <w:tcW w:type="dxa" w:w="3546"/>
            <w:shd w:val="clear" w:color="auto" w:fill="DCE6F1"/>
          </w:tcPr>
          <w:p>
            <w:pPr>
              <w:jc w:val="center"/>
            </w:pPr>
            <w:r/>
            <w:r>
              <w:rPr>
                <w:rFonts w:ascii="游ゴシック" w:hAnsi="游ゴシック" w:eastAsia="游ゴシック"/>
                <w:b/>
                <w:sz w:val="17"/>
              </w:rPr>
              <w:t>内容</w:t>
            </w:r>
          </w:p>
        </w:tc>
        <w:tc>
          <w:tcPr>
            <w:tcW w:type="dxa" w:w="1674"/>
            <w:shd w:val="clear" w:color="auto" w:fill="DCE6F1"/>
          </w:tcPr>
          <w:p>
            <w:pPr>
              <w:jc w:val="center"/>
            </w:pPr>
            <w:r/>
            <w:r>
              <w:rPr>
                <w:rFonts w:ascii="游ゴシック" w:hAnsi="游ゴシック" w:eastAsia="游ゴシック"/>
                <w:b/>
                <w:sz w:val="17"/>
              </w:rPr>
              <w:t>施行等の時期</w:t>
            </w:r>
          </w:p>
        </w:tc>
        <w:tc>
          <w:tcPr>
            <w:tcW w:type="dxa" w:w="2758"/>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773"/>
          </w:tcPr>
          <w:p>
            <w:r/>
            <w:r>
              <w:rPr>
                <w:rFonts w:ascii="游ゴシック" w:hAnsi="游ゴシック" w:eastAsia="游ゴシック"/>
                <w:sz w:val="17"/>
              </w:rPr>
              <w:t>調整交付金の年齢区分の細分化</w:t>
            </w:r>
          </w:p>
        </w:tc>
        <w:tc>
          <w:tcPr>
            <w:tcW w:type="dxa" w:w="3546"/>
          </w:tcPr>
          <w:p>
            <w:r/>
            <w:r>
              <w:rPr>
                <w:rFonts w:ascii="游ゴシック" w:hAnsi="游ゴシック" w:eastAsia="游ゴシック"/>
                <w:sz w:val="17"/>
              </w:rPr>
              <w:t>普通調整交付金の算定に用いる第1号被保険者の年齢階級別構成割合について、現行の3区分（65〜74歳、75〜84歳、85歳以上）を5歳刻みの7区分（65〜69歳、70〜74歳、75〜79歳、80〜84歳、85〜89歳、90〜94歳、95歳以上）に変更する。過去の制度改正と同様に激変緩和措置を設け、現行の3区分による計算と7区分による計算を2分の1ずつ組み合わせる。</w:t>
            </w:r>
          </w:p>
        </w:tc>
        <w:tc>
          <w:tcPr>
            <w:tcW w:type="dxa" w:w="1674"/>
          </w:tcPr>
          <w:p>
            <w:r/>
            <w:r>
              <w:rPr>
                <w:rFonts w:ascii="游ゴシック" w:hAnsi="游ゴシック" w:eastAsia="游ゴシック"/>
                <w:sz w:val="17"/>
              </w:rPr>
              <w:t>令和9年4月の事業状況報告から7区分で報告し、令和10年度の財政調整交付金から適用（予定）</w:t>
            </w:r>
          </w:p>
        </w:tc>
        <w:tc>
          <w:tcPr>
            <w:tcW w:type="dxa" w:w="2758"/>
          </w:tcPr>
          <w:p>
            <w:r/>
            <w:r>
              <w:rPr>
                <w:rFonts w:ascii="游ゴシック" w:hAnsi="游ゴシック" w:eastAsia="游ゴシック"/>
                <w:sz w:val="17"/>
              </w:rPr>
              <w:t>第6章第6節の保険料試算は、第9期と同水準の見込交付割合により算定しています。令和10年度以降の交付割合が変動する要素であるため、国から交付割合が示された時点で再算定します［要確認］。この見直しにより交付額が増加する保険者について、一定の取組を実施していない場合に増加額の一部を減額する仕組みが示されています（第5項）。</w:t>
            </w:r>
          </w:p>
        </w:tc>
      </w:tr>
      <w:tr>
        <w:trPr>
          <w:cantSplit/>
        </w:trPr>
        <w:tc>
          <w:tcPr>
            <w:tcW w:type="dxa" w:w="1773"/>
          </w:tcPr>
          <w:p>
            <w:r/>
            <w:r>
              <w:rPr>
                <w:rFonts w:ascii="游ゴシック" w:hAnsi="游ゴシック" w:eastAsia="游ゴシック"/>
                <w:sz w:val="17"/>
              </w:rPr>
              <w:t>介護保険料等における基準額の調整</w:t>
            </w:r>
          </w:p>
        </w:tc>
        <w:tc>
          <w:tcPr>
            <w:tcW w:type="dxa" w:w="3546"/>
          </w:tcPr>
          <w:p>
            <w:r/>
            <w:r>
              <w:rPr>
                <w:rFonts w:ascii="游ゴシック" w:hAnsi="游ゴシック" w:eastAsia="游ゴシック"/>
                <w:sz w:val="17"/>
              </w:rPr>
              <w:t>保険料段階のうち第1、第2、第4、第5段階の設定に用いる年金収入等の基準額を、老齢基礎年金（満額）の上昇を踏まえ、80.9万円から82.65万円に改める政令改正が行われた。高額介護（予防）サービス費及び補足給付についても同様の見直しを行うことが予定されている。基準額は、今後、基本的には毎年見直したうえで、必要に応じ改正することが想定されている。</w:t>
            </w:r>
          </w:p>
        </w:tc>
        <w:tc>
          <w:tcPr>
            <w:tcW w:type="dxa" w:w="1674"/>
          </w:tcPr>
          <w:p>
            <w:r/>
            <w:r>
              <w:rPr>
                <w:rFonts w:ascii="游ゴシック" w:hAnsi="游ゴシック" w:eastAsia="游ゴシック"/>
                <w:sz w:val="17"/>
              </w:rPr>
              <w:t>政令改正済み（令和7年11月28日厚生労働省老健局長通知）。高額介護（予防）サービス費及び補足給付は令和8年8月施行の予定</w:t>
            </w:r>
          </w:p>
        </w:tc>
        <w:tc>
          <w:tcPr>
            <w:tcW w:type="dxa" w:w="2758"/>
          </w:tcPr>
          <w:p>
            <w:r/>
            <w:r>
              <w:rPr>
                <w:rFonts w:ascii="游ゴシック" w:hAnsi="游ゴシック" w:eastAsia="游ゴシック"/>
                <w:sz w:val="17"/>
              </w:rPr>
              <w:t>所得段階の区分に用いる基準額であるため、条例改正の手続を要します。第10期の所得段階は第6章第6節5により確定します［要協議］。</w:t>
            </w:r>
          </w:p>
        </w:tc>
      </w:tr>
      <w:tr>
        <w:trPr>
          <w:cantSplit/>
        </w:trPr>
        <w:tc>
          <w:tcPr>
            <w:tcW w:type="dxa" w:w="1773"/>
          </w:tcPr>
          <w:p>
            <w:r/>
            <w:r>
              <w:rPr>
                <w:rFonts w:ascii="游ゴシック" w:hAnsi="游ゴシック" w:eastAsia="游ゴシック"/>
                <w:sz w:val="17"/>
              </w:rPr>
              <w:t>令和7年度税制改正に伴う保険料段階の基準の見直し</w:t>
            </w:r>
          </w:p>
        </w:tc>
        <w:tc>
          <w:tcPr>
            <w:tcW w:type="dxa" w:w="3546"/>
          </w:tcPr>
          <w:p>
            <w:r/>
            <w:r>
              <w:rPr>
                <w:rFonts w:ascii="游ゴシック" w:hAnsi="游ゴシック" w:eastAsia="游ゴシック"/>
                <w:sz w:val="17"/>
              </w:rPr>
              <w:t>個人住民税の給与所得控除の最低保障額の引上げ（55万円から65万円）により保険料段階が下がる者が生じることを踏まえ、令和8年度の第1号保険料に限り、当該引上げの影響を遮断し、控除が従前のものであるとして保険料を算定する。</w:t>
            </w:r>
          </w:p>
        </w:tc>
        <w:tc>
          <w:tcPr>
            <w:tcW w:type="dxa" w:w="1674"/>
          </w:tcPr>
          <w:p>
            <w:r/>
            <w:r>
              <w:rPr>
                <w:rFonts w:ascii="游ゴシック" w:hAnsi="游ゴシック" w:eastAsia="游ゴシック"/>
                <w:sz w:val="17"/>
              </w:rPr>
              <w:t>令和8年度の第1号保険料</w:t>
            </w:r>
          </w:p>
        </w:tc>
        <w:tc>
          <w:tcPr>
            <w:tcW w:type="dxa" w:w="2758"/>
          </w:tcPr>
          <w:p>
            <w:r/>
            <w:r>
              <w:rPr>
                <w:rFonts w:ascii="游ゴシック" w:hAnsi="游ゴシック" w:eastAsia="游ゴシック"/>
                <w:sz w:val="17"/>
              </w:rPr>
              <w:t>第9期の最終年度に係る措置です。第10期の所得段階別の加入割合の基礎となる実績に影響するため、令和8年度の実績を確認して反映します。</w:t>
            </w:r>
          </w:p>
        </w:tc>
      </w:tr>
      <w:tr>
        <w:trPr>
          <w:cantSplit/>
        </w:trPr>
        <w:tc>
          <w:tcPr>
            <w:tcW w:type="dxa" w:w="1773"/>
          </w:tcPr>
          <w:p>
            <w:r/>
            <w:r>
              <w:rPr>
                <w:rFonts w:ascii="游ゴシック" w:hAnsi="游ゴシック" w:eastAsia="游ゴシック"/>
                <w:sz w:val="17"/>
              </w:rPr>
              <w:t>補足給付の見直し</w:t>
            </w:r>
          </w:p>
        </w:tc>
        <w:tc>
          <w:tcPr>
            <w:tcW w:type="dxa" w:w="3546"/>
          </w:tcPr>
          <w:p>
            <w:r/>
            <w:r>
              <w:rPr>
                <w:rFonts w:ascii="游ゴシック" w:hAnsi="游ゴシック" w:eastAsia="游ゴシック"/>
                <w:sz w:val="17"/>
              </w:rPr>
              <w:t>令和8年8月から、室料を徴収しない介護老人保健施設・介護医療院等を除き、第3段階②（年金収入等120万円超）の居住費の負担限度額を1日当たり100円引き上げる。あわせて食事の基準費用額を1日当たり100円、食費の負担限度額を第3段階①は30円、第3段階②は60円引き上げる。令和9年度から、第3段階①及び②をそれぞれア・イに区分し、第3段階①イ及び第3段階②イの負担限度額を引き上げる。</w:t>
            </w:r>
          </w:p>
        </w:tc>
        <w:tc>
          <w:tcPr>
            <w:tcW w:type="dxa" w:w="1674"/>
          </w:tcPr>
          <w:p>
            <w:r/>
            <w:r>
              <w:rPr>
                <w:rFonts w:ascii="游ゴシック" w:hAnsi="游ゴシック" w:eastAsia="游ゴシック"/>
                <w:sz w:val="17"/>
              </w:rPr>
              <w:t>令和8年8月（区分の細分化を伴わない見直し）及び令和9年度から（区分の細分化を伴う見直し）</w:t>
            </w:r>
          </w:p>
        </w:tc>
        <w:tc>
          <w:tcPr>
            <w:tcW w:type="dxa" w:w="2758"/>
          </w:tcPr>
          <w:p>
            <w:r/>
            <w:r>
              <w:rPr>
                <w:rFonts w:ascii="游ゴシック" w:hAnsi="游ゴシック" w:eastAsia="游ゴシック"/>
                <w:sz w:val="17"/>
              </w:rPr>
              <w:t>第6章第7節に反映します。負担限度額、対象者数及び影響額は、省令・告示等が示された時点で確認します［要確認］。</w:t>
            </w:r>
          </w:p>
        </w:tc>
      </w:tr>
      <w:tr>
        <w:trPr>
          <w:cantSplit/>
        </w:trPr>
        <w:tc>
          <w:tcPr>
            <w:tcW w:type="dxa" w:w="1773"/>
          </w:tcPr>
          <w:p>
            <w:r/>
            <w:r>
              <w:rPr>
                <w:rFonts w:ascii="游ゴシック" w:hAnsi="游ゴシック" w:eastAsia="游ゴシック"/>
                <w:sz w:val="17"/>
              </w:rPr>
              <w:t>一定以上所得基準の見直し</w:t>
            </w:r>
          </w:p>
        </w:tc>
        <w:tc>
          <w:tcPr>
            <w:tcW w:type="dxa" w:w="3546"/>
          </w:tcPr>
          <w:p>
            <w:r/>
            <w:r>
              <w:rPr>
                <w:rFonts w:ascii="游ゴシック" w:hAnsi="游ゴシック" w:eastAsia="游ゴシック"/>
                <w:sz w:val="17"/>
              </w:rPr>
              <w:t>利用者負担の一定以上所得の判断基準の在り方について、社会保障審議会介護保険部会で継続して検討し、第10期計画期間の開始（令和9年度）の前までに結論を得ることとされている。見直しの内容及び施行の時期は定まっていない。</w:t>
            </w:r>
          </w:p>
        </w:tc>
        <w:tc>
          <w:tcPr>
            <w:tcW w:type="dxa" w:w="1674"/>
          </w:tcPr>
          <w:p>
            <w:r/>
            <w:r>
              <w:rPr>
                <w:rFonts w:ascii="游ゴシック" w:hAnsi="游ゴシック" w:eastAsia="游ゴシック"/>
                <w:sz w:val="17"/>
              </w:rPr>
              <w:t>令和9年度の開始前までに結論（施行の時期は未定）</w:t>
            </w:r>
          </w:p>
        </w:tc>
        <w:tc>
          <w:tcPr>
            <w:tcW w:type="dxa" w:w="2758"/>
          </w:tcPr>
          <w:p>
            <w:r/>
            <w:r>
              <w:rPr>
                <w:rFonts w:ascii="游ゴシック" w:hAnsi="游ゴシック" w:eastAsia="游ゴシック"/>
                <w:sz w:val="17"/>
              </w:rPr>
              <w:t>利用者負担割合の変更は給付費の見込みに影響します。本計画は現行の基準により算定しており、見直しを織り込んでいません。基準及び施行の時期が示された時点で、第6章第3節の給付費及び第6章第6節の保険料収納必要額を再算定します［要確認］。</w:t>
            </w:r>
          </w:p>
        </w:tc>
      </w:tr>
      <w:tr>
        <w:trPr>
          <w:cantSplit/>
        </w:trPr>
        <w:tc>
          <w:tcPr>
            <w:tcW w:type="dxa" w:w="1773"/>
          </w:tcPr>
          <w:p>
            <w:r/>
            <w:r>
              <w:rPr>
                <w:rFonts w:ascii="游ゴシック" w:hAnsi="游ゴシック" w:eastAsia="游ゴシック"/>
                <w:sz w:val="17"/>
              </w:rPr>
              <w:t>令和8年度介護報酬改定</w:t>
            </w:r>
          </w:p>
        </w:tc>
        <w:tc>
          <w:tcPr>
            <w:tcW w:type="dxa" w:w="3546"/>
          </w:tcPr>
          <w:p>
            <w:r/>
            <w:r>
              <w:rPr>
                <w:rFonts w:ascii="游ゴシック" w:hAnsi="游ゴシック" w:eastAsia="游ゴシック"/>
                <w:sz w:val="17"/>
              </w:rPr>
              <w:t>令和9年度介護報酬改定を待たず、介護分野の職員の処遇改善、介護サービス事業者の生産性向上や協働化の促進等のため、令和8年度に介護報酬改定を行うこととされた。あわせて、都道府県の財政安定化基金に積増しを行うことができるよう所要の予算措置が行われた。介護従事者を対象とした幅広い措置に加え、生産性向上等に取り組む事業者の介護職員を対象とした上乗せ措置が実施されている。</w:t>
            </w:r>
          </w:p>
        </w:tc>
        <w:tc>
          <w:tcPr>
            <w:tcW w:type="dxa" w:w="1674"/>
          </w:tcPr>
          <w:p>
            <w:r/>
            <w:r>
              <w:rPr>
                <w:rFonts w:ascii="游ゴシック" w:hAnsi="游ゴシック" w:eastAsia="游ゴシック"/>
                <w:sz w:val="17"/>
              </w:rPr>
              <w:t>令和8年6月施行</w:t>
            </w:r>
          </w:p>
        </w:tc>
        <w:tc>
          <w:tcPr>
            <w:tcW w:type="dxa" w:w="2758"/>
          </w:tcPr>
          <w:p>
            <w:r/>
            <w:r>
              <w:rPr>
                <w:rFonts w:ascii="游ゴシック" w:hAnsi="游ゴシック" w:eastAsia="游ゴシック"/>
                <w:sz w:val="17"/>
              </w:rPr>
              <w:t>第6章第2節・第3節の見込量及び給付費は令和7年度の単価により算定しています。令和8年6月施行の改定は当該単価に反映されていないため、改定率が示された時点で令和9年度改定とあわせて反映します［要確認］。令和8年度の実績が年度を通じて確定した時点で、改定による単価の動きを確かめます。</w:t>
            </w:r>
          </w:p>
        </w:tc>
      </w:tr>
      <w:tr>
        <w:trPr>
          <w:cantSplit/>
        </w:trPr>
        <w:tc>
          <w:tcPr>
            <w:tcW w:type="dxa" w:w="1773"/>
          </w:tcPr>
          <w:p>
            <w:r/>
            <w:r>
              <w:rPr>
                <w:rFonts w:ascii="游ゴシック" w:hAnsi="游ゴシック" w:eastAsia="游ゴシック"/>
                <w:sz w:val="17"/>
              </w:rPr>
              <w:t>介護保険事業状況報告の見直し</w:t>
            </w:r>
          </w:p>
        </w:tc>
        <w:tc>
          <w:tcPr>
            <w:tcW w:type="dxa" w:w="3546"/>
          </w:tcPr>
          <w:p>
            <w:r/>
            <w:r>
              <w:rPr>
                <w:rFonts w:ascii="游ゴシック" w:hAnsi="游ゴシック" w:eastAsia="游ゴシック"/>
                <w:sz w:val="17"/>
              </w:rPr>
              <w:t>令和7年度年報及び令和8年度月報について報告様式の見直しが予定されている。</w:t>
            </w:r>
          </w:p>
        </w:tc>
        <w:tc>
          <w:tcPr>
            <w:tcW w:type="dxa" w:w="1674"/>
          </w:tcPr>
          <w:p>
            <w:r/>
            <w:r>
              <w:rPr>
                <w:rFonts w:ascii="游ゴシック" w:hAnsi="游ゴシック" w:eastAsia="游ゴシック"/>
                <w:sz w:val="17"/>
              </w:rPr>
              <w:t>令和7年度年報・令和8年度月報</w:t>
            </w:r>
          </w:p>
        </w:tc>
        <w:tc>
          <w:tcPr>
            <w:tcW w:type="dxa" w:w="2758"/>
          </w:tcPr>
          <w:p>
            <w:r/>
            <w:r>
              <w:rPr>
                <w:rFonts w:ascii="游ゴシック" w:hAnsi="游ゴシック" w:eastAsia="游ゴシック"/>
                <w:sz w:val="17"/>
              </w:rPr>
              <w:t>本計画の実績値は介護保険事業状況報告によっています。様式の変更により系列が接続しなくなる項目がないかを確認します。</w:t>
            </w:r>
          </w:p>
        </w:tc>
      </w:tr>
      <w:tr>
        <w:trPr>
          <w:cantSplit/>
        </w:trPr>
        <w:tc>
          <w:tcPr>
            <w:tcW w:type="dxa" w:w="1773"/>
          </w:tcPr>
          <w:p>
            <w:r/>
            <w:r>
              <w:rPr>
                <w:rFonts w:ascii="游ゴシック" w:hAnsi="游ゴシック" w:eastAsia="游ゴシック"/>
                <w:sz w:val="17"/>
              </w:rPr>
              <w:t>高額医療合算介護サービス費の自動償還</w:t>
            </w:r>
          </w:p>
        </w:tc>
        <w:tc>
          <w:tcPr>
            <w:tcW w:type="dxa" w:w="3546"/>
          </w:tcPr>
          <w:p>
            <w:r/>
            <w:r>
              <w:rPr>
                <w:rFonts w:ascii="游ゴシック" w:hAnsi="游ゴシック" w:eastAsia="游ゴシック"/>
                <w:sz w:val="17"/>
              </w:rPr>
              <w:t>高額医療合算介護サービス費の支給申請について、市町村及び被保険者の負担を軽減する観点から、市町村の判断により手続を簡素化することを可能とする。</w:t>
            </w:r>
          </w:p>
        </w:tc>
        <w:tc>
          <w:tcPr>
            <w:tcW w:type="dxa" w:w="1674"/>
          </w:tcPr>
          <w:p>
            <w:r/>
            <w:r>
              <w:rPr>
                <w:rFonts w:ascii="游ゴシック" w:hAnsi="游ゴシック" w:eastAsia="游ゴシック"/>
                <w:sz w:val="17"/>
              </w:rPr>
              <w:t>令和8年8月</w:t>
            </w:r>
          </w:p>
        </w:tc>
        <w:tc>
          <w:tcPr>
            <w:tcW w:type="dxa" w:w="2758"/>
          </w:tcPr>
          <w:p>
            <w:r/>
            <w:r>
              <w:rPr>
                <w:rFonts w:ascii="游ゴシック" w:hAnsi="游ゴシック" w:eastAsia="游ゴシック"/>
                <w:sz w:val="17"/>
              </w:rPr>
              <w:t>第5章 基本目標5の保険運営の施策において、構成3町と実施の可否を協議します［要協議］。</w:t>
            </w:r>
          </w:p>
        </w:tc>
      </w:tr>
      <w:tr>
        <w:trPr>
          <w:cantSplit/>
        </w:trPr>
        <w:tc>
          <w:tcPr>
            <w:tcW w:type="dxa" w:w="1773"/>
          </w:tcPr>
          <w:p>
            <w:r/>
            <w:r>
              <w:rPr>
                <w:rFonts w:ascii="游ゴシック" w:hAnsi="游ゴシック" w:eastAsia="游ゴシック"/>
                <w:sz w:val="17"/>
              </w:rPr>
              <w:t>被保険者証等の返還義務の廃止</w:t>
            </w:r>
          </w:p>
        </w:tc>
        <w:tc>
          <w:tcPr>
            <w:tcW w:type="dxa" w:w="3546"/>
          </w:tcPr>
          <w:p>
            <w:r/>
            <w:r>
              <w:rPr>
                <w:rFonts w:ascii="游ゴシック" w:hAnsi="游ゴシック" w:eastAsia="游ゴシック"/>
                <w:sz w:val="17"/>
              </w:rPr>
              <w:t>要介護・要支援認定を受けている被保険者を除き、資格喪失時の被保険者証の返還義務並びに有効期限の切れた負担割合証及び負担限度額認定証の返還義務をなくすこととされた。</w:t>
            </w:r>
          </w:p>
        </w:tc>
        <w:tc>
          <w:tcPr>
            <w:tcW w:type="dxa" w:w="1674"/>
          </w:tcPr>
          <w:p>
            <w:r/>
            <w:r>
              <w:rPr>
                <w:rFonts w:ascii="游ゴシック" w:hAnsi="游ゴシック" w:eastAsia="游ゴシック"/>
                <w:sz w:val="17"/>
              </w:rPr>
              <w:t>運用の見直し内容は今後検討</w:t>
            </w:r>
          </w:p>
        </w:tc>
        <w:tc>
          <w:tcPr>
            <w:tcW w:type="dxa" w:w="2758"/>
          </w:tcPr>
          <w:p>
            <w:r/>
            <w:r>
              <w:rPr>
                <w:rFonts w:ascii="游ゴシック" w:hAnsi="游ゴシック" w:eastAsia="游ゴシック"/>
                <w:sz w:val="17"/>
              </w:rPr>
              <w:t>第5章 基本目標5の保険運営の施策に反映します。</w:t>
            </w:r>
          </w:p>
        </w:tc>
      </w:tr>
    </w:tbl>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pPr>
        <w:pStyle w:val="Heading3"/>
        <w:spacing w:before="180" w:after="100"/>
      </w:pPr>
      <w:r>
        <w:rPr>
          <w:rFonts w:ascii="游ゴシック" w:hAnsi="游ゴシック" w:eastAsia="游ゴシック"/>
          <w:sz w:val="22"/>
        </w:rPr>
        <w:t>5 令和8年9月の社会保障審議会介護保険部会において示された事項</w:t>
      </w:r>
    </w:p>
    <w:p>
      <w:pPr>
        <w:spacing w:after="80" w:line="269" w:lineRule="auto"/>
      </w:pPr>
      <w:r>
        <w:rPr>
          <w:rFonts w:ascii="游ゴシック" w:hAnsi="游ゴシック" w:eastAsia="游ゴシック"/>
          <w:b w:val="0"/>
          <w:sz w:val="21"/>
        </w:rPr>
        <w:t>令和8年9月18日の社会保障審議会介護保険部会において、第10期計画の期間に関わる事項が示されました。制度として定まったもの、予算上の措置が予定されているもの、なお審議の段階にあるものが含まれるため、本計画における取扱いは事項ごとに分けて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93"/>
            <w:shd w:val="clear" w:color="auto" w:fill="DCE6F1"/>
          </w:tcPr>
          <w:p>
            <w:pPr>
              <w:spacing w:before="0"/>
              <w:jc w:val="center"/>
            </w:pPr>
            <w:r/>
            <w:r>
              <w:rPr>
                <w:rFonts w:ascii="游ゴシック" w:hAnsi="游ゴシック" w:eastAsia="游ゴシック"/>
                <w:b/>
                <w:sz w:val="17"/>
              </w:rPr>
              <w:t>事項</w:t>
            </w:r>
          </w:p>
        </w:tc>
        <w:tc>
          <w:tcPr>
            <w:tcW w:type="dxa" w:w="3598"/>
            <w:shd w:val="clear" w:color="auto" w:fill="DCE6F1"/>
          </w:tcPr>
          <w:p>
            <w:pPr>
              <w:jc w:val="center"/>
            </w:pPr>
            <w:r/>
            <w:r>
              <w:rPr>
                <w:rFonts w:ascii="游ゴシック" w:hAnsi="游ゴシック" w:eastAsia="游ゴシック"/>
                <w:b/>
                <w:sz w:val="17"/>
              </w:rPr>
              <w:t>内容</w:t>
            </w:r>
          </w:p>
        </w:tc>
        <w:tc>
          <w:tcPr>
            <w:tcW w:type="dxa" w:w="1704"/>
            <w:shd w:val="clear" w:color="auto" w:fill="DCE6F1"/>
          </w:tcPr>
          <w:p>
            <w:pPr>
              <w:jc w:val="center"/>
            </w:pPr>
            <w:r/>
            <w:r>
              <w:rPr>
                <w:rFonts w:ascii="游ゴシック" w:hAnsi="游ゴシック" w:eastAsia="游ゴシック"/>
                <w:b/>
                <w:sz w:val="17"/>
              </w:rPr>
              <w:t>時期</w:t>
            </w:r>
          </w:p>
        </w:tc>
        <w:tc>
          <w:tcPr>
            <w:tcW w:type="dxa" w:w="25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893"/>
          </w:tcPr>
          <w:p>
            <w:r/>
            <w:r>
              <w:rPr>
                <w:rFonts w:ascii="游ゴシック" w:hAnsi="游ゴシック" w:eastAsia="游ゴシック"/>
                <w:sz w:val="17"/>
              </w:rPr>
              <w:t>介護情報基盤の構築と活用</w:t>
            </w:r>
          </w:p>
        </w:tc>
        <w:tc>
          <w:tcPr>
            <w:tcW w:type="dxa" w:w="3598"/>
          </w:tcPr>
          <w:p>
            <w:r/>
            <w:r>
              <w:rPr>
                <w:rFonts w:ascii="游ゴシック" w:hAnsi="游ゴシック" w:eastAsia="游ゴシック"/>
                <w:sz w:val="17"/>
              </w:rPr>
              <w:t>全世代対応型の持続可能な社会保障制度を構築するための健康保険法等の一部を改正する法律（令和5年法律第31号）により、医療保険者と介護保険者が被保険者等に係る医療・介護情報の収集・提供等を行う事業を一体的に実施することとされ、介護保険者が行う当該事業は地域支援事業として位置づけられた（施行は公布の日から起算して4年を超えない範囲内において政令で定める日）。これにより、要介護認定情報、請求情報、ケアプラン等を本人、介護事業所及び医療機関等が電子的に共有する介護情報基盤が構築される。市町村が介護情報基盤を活用するためには、①介護保険事務システムの標準化対応、②介護情報基盤へデータを送信するためのシステムの改修、③介護保険事務システムから介護情報基盤へのデータ移行が必要とされる。標準化対応を令和9年度中に完了する予定の自治体が約9割であることを踏まえ、全市町村において令和10年4月1日までにデータ移行を含めて完了し、介護情報基盤の活用を開始することを目指すこととされた。</w:t>
            </w:r>
          </w:p>
        </w:tc>
        <w:tc>
          <w:tcPr>
            <w:tcW w:type="dxa" w:w="1704"/>
          </w:tcPr>
          <w:p>
            <w:r/>
            <w:r>
              <w:rPr>
                <w:rFonts w:ascii="游ゴシック" w:hAnsi="游ゴシック" w:eastAsia="游ゴシック"/>
                <w:sz w:val="17"/>
              </w:rPr>
              <w:t>標準化対応の適合基準日 令和9年1月1日、本格運用開始日 令和10年4月1日</w:t>
            </w:r>
          </w:p>
        </w:tc>
        <w:tc>
          <w:tcPr>
            <w:tcW w:type="dxa" w:w="2556"/>
          </w:tcPr>
          <w:p>
            <w:r/>
            <w:r>
              <w:rPr>
                <w:rFonts w:ascii="游ゴシック" w:hAnsi="游ゴシック" w:eastAsia="游ゴシック"/>
                <w:sz w:val="17"/>
              </w:rPr>
              <w:t>第5章 基本目標1（医療と介護の連携）及び基本目標4（データ連携）に施策として位置づけます。構成3町の介護保険事務システムの標準化対応及びデータ移行の工程を確認し、令和9年度及び令和10年度の事務の工程を定めます［要確認］。本事業が地域支援事業として位置づけられるため、施行の日以後は地域支援事業費に計上することとなります。費用の額が示されていないため、第6章第3節2の地域支援事業費には織り込んでいません［要確認］。</w:t>
            </w:r>
          </w:p>
        </w:tc>
      </w:tr>
      <w:tr>
        <w:trPr>
          <w:cantSplit/>
        </w:trPr>
        <w:tc>
          <w:tcPr>
            <w:tcW w:type="dxa" w:w="1893"/>
          </w:tcPr>
          <w:p>
            <w:r/>
            <w:r>
              <w:rPr>
                <w:rFonts w:ascii="游ゴシック" w:hAnsi="游ゴシック" w:eastAsia="游ゴシック"/>
                <w:sz w:val="17"/>
              </w:rPr>
              <w:t>ケアプランデータ連携機能の統合</w:t>
            </w:r>
          </w:p>
        </w:tc>
        <w:tc>
          <w:tcPr>
            <w:tcW w:type="dxa" w:w="3598"/>
          </w:tcPr>
          <w:p>
            <w:r/>
            <w:r>
              <w:rPr>
                <w:rFonts w:ascii="游ゴシック" w:hAnsi="游ゴシック" w:eastAsia="游ゴシック"/>
                <w:sz w:val="17"/>
              </w:rPr>
              <w:t>介護情報基盤とケアプランデータ連携機能を統合して一体的に運用する。統合後は、介護保険資格確認等WEBサービス（新システム）を利用することとなり、令和9年1月以降もケアプランのデータ連携を行うためには、介護事業所において新システムでの事業所及び管理者の登録を要する。令和9年4月以降は、介護ソフトとのAPI連携によるデータ連携が可能となる。全国の導入率は令和8年7月末日時点で53.1％である。</w:t>
            </w:r>
          </w:p>
        </w:tc>
        <w:tc>
          <w:tcPr>
            <w:tcW w:type="dxa" w:w="1704"/>
          </w:tcPr>
          <w:p>
            <w:r/>
            <w:r>
              <w:rPr>
                <w:rFonts w:ascii="游ゴシック" w:hAnsi="游ゴシック" w:eastAsia="游ゴシック"/>
                <w:sz w:val="17"/>
              </w:rPr>
              <w:t>統合 令和9年1月、API連携 令和9年4月以降</w:t>
            </w:r>
          </w:p>
        </w:tc>
        <w:tc>
          <w:tcPr>
            <w:tcW w:type="dxa" w:w="2556"/>
          </w:tcPr>
          <w:p>
            <w:r/>
            <w:r>
              <w:rPr>
                <w:rFonts w:ascii="游ゴシック" w:hAnsi="游ゴシック" w:eastAsia="游ゴシック"/>
                <w:sz w:val="17"/>
              </w:rPr>
              <w:t>第5章 基本目標4に事業として位置づけます。区域内の居宅介護支援事業所及びサービス事業所に対し、新システムへの移行の周知と登録の支援を行います。</w:t>
            </w:r>
          </w:p>
        </w:tc>
      </w:tr>
      <w:tr>
        <w:trPr>
          <w:cantSplit/>
        </w:trPr>
        <w:tc>
          <w:tcPr>
            <w:tcW w:type="dxa" w:w="1893"/>
          </w:tcPr>
          <w:p>
            <w:r/>
            <w:r>
              <w:rPr>
                <w:rFonts w:ascii="游ゴシック" w:hAnsi="游ゴシック" w:eastAsia="游ゴシック"/>
                <w:sz w:val="17"/>
              </w:rPr>
              <w:t>介護サービス事業者経営情報データベース</w:t>
            </w:r>
          </w:p>
        </w:tc>
        <w:tc>
          <w:tcPr>
            <w:tcW w:type="dxa" w:w="3598"/>
          </w:tcPr>
          <w:p>
            <w:r/>
            <w:r>
              <w:rPr>
                <w:rFonts w:ascii="游ゴシック" w:hAnsi="游ゴシック" w:eastAsia="游ゴシック"/>
                <w:sz w:val="17"/>
              </w:rPr>
              <w:t>介護サービス事業者の経営情報の報告が義務づけられ、国において分析結果が公表される。令和8年10月頃から本システムによる報告の受付が再開され（報告期限は令和8年12月末頃）、初年度及び2年度目の報告分の分析結果は、令和9年4月以降に介護保険部会に報告される予定とされている。公表は、属性等に応じて区分した分析結果とされている。</w:t>
            </w:r>
          </w:p>
        </w:tc>
        <w:tc>
          <w:tcPr>
            <w:tcW w:type="dxa" w:w="1704"/>
          </w:tcPr>
          <w:p>
            <w:r/>
            <w:r>
              <w:rPr>
                <w:rFonts w:ascii="游ゴシック" w:hAnsi="游ゴシック" w:eastAsia="游ゴシック"/>
                <w:sz w:val="17"/>
              </w:rPr>
              <w:t>令和8年10月から12月（報告）、令和9年4月以降（分析結果の報告）</w:t>
            </w:r>
          </w:p>
        </w:tc>
        <w:tc>
          <w:tcPr>
            <w:tcW w:type="dxa" w:w="2556"/>
          </w:tcPr>
          <w:p>
            <w:r/>
            <w:r>
              <w:rPr>
                <w:rFonts w:ascii="游ゴシック" w:hAnsi="游ゴシック" w:eastAsia="游ゴシック"/>
                <w:sz w:val="17"/>
              </w:rPr>
              <w:t>第5章 基本目標4において、サービスの供給の継続に関する状況の把握に活用します。市町村の区域を単位とする値が得られる範囲は示されていないため、公表された分析結果のうち用いられる範囲を確認して用います［要確認］。</w:t>
            </w:r>
          </w:p>
        </w:tc>
      </w:tr>
      <w:tr>
        <w:trPr>
          <w:cantSplit/>
        </w:trPr>
        <w:tc>
          <w:tcPr>
            <w:tcW w:type="dxa" w:w="1893"/>
          </w:tcPr>
          <w:p>
            <w:r/>
            <w:r>
              <w:rPr>
                <w:rFonts w:ascii="游ゴシック" w:hAnsi="游ゴシック" w:eastAsia="游ゴシック"/>
                <w:sz w:val="17"/>
              </w:rPr>
              <w:t>介護事業者の連携・協働化（都道府県との協定）</w:t>
            </w:r>
          </w:p>
        </w:tc>
        <w:tc>
          <w:tcPr>
            <w:tcW w:type="dxa" w:w="3598"/>
          </w:tcPr>
          <w:p>
            <w:r/>
            <w:r>
              <w:rPr>
                <w:rFonts w:ascii="游ゴシック" w:hAnsi="游ゴシック" w:eastAsia="游ゴシック"/>
                <w:sz w:val="17"/>
              </w:rPr>
              <w:t>一定期間の事業継続や事業者間の連携・協働を推進する法人・事業所が都道府県と協定を締結する仕組みが示された。令和9年度概算要求において、協定に基づく連携の取組に要する経費への支援及び連携に参画する事業所に対する介護テクノロジー導入支援の補助率の上乗せが盛り込まれている。協定に基づく取組の推進に関する都道府県及び市町村の果たすべき役割については、引き続き検討することとされている。</w:t>
            </w:r>
          </w:p>
        </w:tc>
        <w:tc>
          <w:tcPr>
            <w:tcW w:type="dxa" w:w="1704"/>
          </w:tcPr>
          <w:p>
            <w:r/>
            <w:r>
              <w:rPr>
                <w:rFonts w:ascii="游ゴシック" w:hAnsi="游ゴシック" w:eastAsia="游ゴシック"/>
                <w:sz w:val="17"/>
              </w:rPr>
              <w:t>令和9年度（予算上の措置）。市町村の役割は検討中</w:t>
            </w:r>
          </w:p>
        </w:tc>
        <w:tc>
          <w:tcPr>
            <w:tcW w:type="dxa" w:w="2556"/>
          </w:tcPr>
          <w:p>
            <w:r/>
            <w:r>
              <w:rPr>
                <w:rFonts w:ascii="游ゴシック" w:hAnsi="游ゴシック" w:eastAsia="游ゴシック"/>
                <w:sz w:val="17"/>
              </w:rPr>
              <w:t>第5章 基本目標3（サービス基盤）及び基本目標4（人材・経営支援）に、北海道との連携の方向として位置づけます。市町村の役割が示された時点で具体の取組を定めます［要確認］。</w:t>
            </w:r>
          </w:p>
        </w:tc>
      </w:tr>
      <w:tr>
        <w:trPr>
          <w:cantSplit/>
        </w:trPr>
        <w:tc>
          <w:tcPr>
            <w:tcW w:type="dxa" w:w="1893"/>
          </w:tcPr>
          <w:p>
            <w:r/>
            <w:r>
              <w:rPr>
                <w:rFonts w:ascii="游ゴシック" w:hAnsi="游ゴシック" w:eastAsia="游ゴシック"/>
                <w:sz w:val="17"/>
              </w:rPr>
              <w:t>第1号保険料の在り方</w:t>
            </w:r>
          </w:p>
        </w:tc>
        <w:tc>
          <w:tcPr>
            <w:tcW w:type="dxa" w:w="3598"/>
          </w:tcPr>
          <w:p>
            <w:r/>
            <w:r>
              <w:rPr>
                <w:rFonts w:ascii="游ゴシック" w:hAnsi="游ゴシック" w:eastAsia="游ゴシック"/>
                <w:sz w:val="17"/>
              </w:rPr>
              <w:t>当面第10期においては、高所得者の標準乗率の見直し及び住民税非課税の段階から課税の段階に上がるときの保険料の上昇の緩和を含めた国の定める標準段階の見直しなどにより、被保険者の負担能力に応じた保険料設定を図ることが考えられるとして、検討を行うことについて意見が求められた。現行の階段方式を含めた在り方の検討は中長期的な課題とされている。</w:t>
            </w:r>
          </w:p>
        </w:tc>
        <w:tc>
          <w:tcPr>
            <w:tcW w:type="dxa" w:w="1704"/>
          </w:tcPr>
          <w:p>
            <w:r/>
            <w:r>
              <w:rPr>
                <w:rFonts w:ascii="游ゴシック" w:hAnsi="游ゴシック" w:eastAsia="游ゴシック"/>
                <w:sz w:val="17"/>
              </w:rPr>
              <w:t>審議中。政令改正の時期は示されていない</w:t>
            </w:r>
          </w:p>
        </w:tc>
        <w:tc>
          <w:tcPr>
            <w:tcW w:type="dxa" w:w="2556"/>
          </w:tcPr>
          <w:p>
            <w:r/>
            <w:r>
              <w:rPr>
                <w:rFonts w:ascii="游ゴシック" w:hAnsi="游ゴシック" w:eastAsia="游ゴシック"/>
                <w:sz w:val="17"/>
              </w:rPr>
              <w:t>第6章第6節5に、標準段階が改められた場合の考え方を掲げます。本計画の算定は第9期の条例による16段階を据え置いており、見直しを織り込んでいません。政令が公布された時点で段階数及び乗率を確認して再算定し、条例の改正の手続を行います［要確認］。</w:t>
            </w:r>
          </w:p>
        </w:tc>
      </w:tr>
      <w:tr>
        <w:trPr>
          <w:cantSplit/>
        </w:trPr>
        <w:tc>
          <w:tcPr>
            <w:tcW w:type="dxa" w:w="1893"/>
          </w:tcPr>
          <w:p>
            <w:r/>
            <w:r>
              <w:rPr>
                <w:rFonts w:ascii="游ゴシック" w:hAnsi="游ゴシック" w:eastAsia="游ゴシック"/>
                <w:sz w:val="17"/>
              </w:rPr>
              <w:t>介護給付適正化の取組と調整交付金</w:t>
            </w:r>
          </w:p>
        </w:tc>
        <w:tc>
          <w:tcPr>
            <w:tcW w:type="dxa" w:w="3598"/>
          </w:tcPr>
          <w:p>
            <w:r/>
            <w:r>
              <w:rPr>
                <w:rFonts w:ascii="游ゴシック" w:hAnsi="游ゴシック" w:eastAsia="游ゴシック"/>
                <w:sz w:val="17"/>
              </w:rPr>
              <w:t>調整交付金の年齢区分の精緻化により交付額が増加する保険者について、①介護給付適正化の主要3事業（要介護認定の適正化、ケアプラン等の点検、医療情報との突合・縦覧点検）のいずれかを実施していない場合、又は②第1号被保険者1人当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増加した額の5％を減額することとされた。</w:t>
            </w:r>
          </w:p>
        </w:tc>
        <w:tc>
          <w:tcPr>
            <w:tcW w:type="dxa" w:w="1704"/>
          </w:tcPr>
          <w:p>
            <w:r/>
            <w:r>
              <w:rPr>
                <w:rFonts w:ascii="游ゴシック" w:hAnsi="游ゴシック" w:eastAsia="游ゴシック"/>
                <w:sz w:val="17"/>
              </w:rPr>
              <w:t>①は第10期を通じて適用。②は令和9年2月から令和10年1月までの状況について令和10年7月頃までに国から通知され、令和10年度下半期の実施率等が令和9年度下半期を下回った場合に第10期の最終年度（令和11年度）に減額</w:t>
            </w:r>
          </w:p>
        </w:tc>
        <w:tc>
          <w:tcPr>
            <w:tcW w:type="dxa" w:w="2556"/>
          </w:tcPr>
          <w:p>
            <w:r/>
            <w:r>
              <w:rPr>
                <w:rFonts w:ascii="游ゴシック" w:hAnsi="游ゴシック" w:eastAsia="游ゴシック"/>
                <w:sz w:val="17"/>
              </w:rPr>
              <w:t>第5章 基本目標5の施策及び第6章第6節に反映します。当広域連合はケアプラン等の点検を実施していないため①に該当します。減額は年齢区分の精緻化により交付額が増加する場合の増加額を限度とするものであり、当広域連合の交付額が増加するかは交付割合が示された時点で確認します［要確認］。</w:t>
            </w:r>
          </w:p>
        </w:tc>
      </w:tr>
    </w:tbl>
    <w:p>
      <w:pPr>
        <w:spacing w:after="160" w:line="269" w:lineRule="auto"/>
      </w:pPr>
      <w:r>
        <w:rPr>
          <w:rFonts w:ascii="游ゴシック" w:hAnsi="游ゴシック" w:eastAsia="游ゴシック"/>
          <w:b w:val="0"/>
          <w:sz w:val="17"/>
        </w:rPr>
        <w:t>出典：厚生労働省『第1号保険料の在り方について』（資料1）、『持続可能性の確保（給付と負担）』（資料2）、『介護情報基盤について』（資料3）、『介護サービス事業者経営情報の調査及び分析等について』（資料4）、『介護給付適正化に向けた取組について』（資料5）、『介護事業者の連携強化について』（資料6）（いずれも第136回社会保障審議会介護保険部会、令和8年9月18日）</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【引き続き検討することとされた事項】</w:t>
      </w:r>
    </w:p>
    <w:p>
      <w:pPr>
        <w:spacing w:after="80" w:line="269" w:lineRule="auto"/>
      </w:pPr>
      <w:r>
        <w:rPr>
          <w:rFonts w:ascii="游ゴシック" w:hAnsi="游ゴシック" w:eastAsia="游ゴシック"/>
          <w:b w:val="0"/>
          <w:sz w:val="20"/>
        </w:rPr>
        <w:t>次の事項は、給付と負担の在り方として引き続き検討することとされたものです。いずれも結論及び施行の時期が定まっていないため、本計画の見込量、給付費及び保険料の算定には織り込んでいません。検討の結果が示された時点で、本計画への影響の有無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178"/>
            <w:shd w:val="clear" w:color="auto" w:fill="DCE6F1"/>
          </w:tcPr>
          <w:p>
            <w:pPr>
              <w:spacing w:before="0"/>
              <w:jc w:val="center"/>
            </w:pPr>
            <w:r/>
            <w:r>
              <w:rPr>
                <w:rFonts w:ascii="游ゴシック" w:hAnsi="游ゴシック" w:eastAsia="游ゴシック"/>
                <w:b/>
                <w:sz w:val="17"/>
              </w:rPr>
              <w:t>事項</w:t>
            </w:r>
          </w:p>
        </w:tc>
        <w:tc>
          <w:tcPr>
            <w:tcW w:type="dxa" w:w="4668"/>
            <w:shd w:val="clear" w:color="auto" w:fill="DCE6F1"/>
          </w:tcPr>
          <w:p>
            <w:pPr>
              <w:jc w:val="center"/>
            </w:pPr>
            <w:r/>
            <w:r>
              <w:rPr>
                <w:rFonts w:ascii="游ゴシック" w:hAnsi="游ゴシック" w:eastAsia="游ゴシック"/>
                <w:b/>
                <w:sz w:val="17"/>
              </w:rPr>
              <w:t>検討の内容</w:t>
            </w:r>
          </w:p>
        </w:tc>
        <w:tc>
          <w:tcPr>
            <w:tcW w:type="dxa" w:w="2905"/>
            <w:shd w:val="clear" w:color="auto" w:fill="DCE6F1"/>
          </w:tcPr>
          <w:p>
            <w:pPr>
              <w:jc w:val="center"/>
            </w:pPr>
            <w:r/>
            <w:r>
              <w:rPr>
                <w:rFonts w:ascii="游ゴシック" w:hAnsi="游ゴシック" w:eastAsia="游ゴシック"/>
                <w:b/>
                <w:sz w:val="17"/>
              </w:rPr>
              <w:t>影響が及び得る本計画の箇所</w:t>
            </w:r>
          </w:p>
        </w:tc>
      </w:tr>
      <w:tr>
        <w:trPr>
          <w:cantSplit/>
        </w:trPr>
        <w:tc>
          <w:tcPr>
            <w:tcW w:type="dxa" w:w="2178"/>
          </w:tcPr>
          <w:p>
            <w:r/>
            <w:r>
              <w:rPr>
                <w:rFonts w:ascii="游ゴシック" w:hAnsi="游ゴシック" w:eastAsia="游ゴシック"/>
                <w:sz w:val="17"/>
              </w:rPr>
              <w:t>多床室の室料負担</w:t>
            </w:r>
          </w:p>
        </w:tc>
        <w:tc>
          <w:tcPr>
            <w:tcW w:type="dxa" w:w="4668"/>
          </w:tcPr>
          <w:p>
            <w:r/>
            <w:r>
              <w:rPr>
                <w:rFonts w:ascii="游ゴシック" w:hAnsi="游ゴシック" w:eastAsia="游ゴシック"/>
                <w:sz w:val="17"/>
              </w:rPr>
              <w:t>介護老人保健施設及び介護医療院の多床室に係る室料負担の在り方について、在宅との負担の公平性、各施設の機能や利用実態等を踏まえ、介護給付費分科会において検討を行う。令和7年8月から、その他型及び療養型の介護老人保健施設並びにⅡ型の介護医療院について室料負担を求めることとされており、令和6年度介護報酬改定において導入が見送られた類型についても室料相当額を基本サービス費等から除外する見直しを実施することが考えられるとの指摘がされている。</w:t>
            </w:r>
          </w:p>
        </w:tc>
        <w:tc>
          <w:tcPr>
            <w:tcW w:type="dxa" w:w="2905"/>
          </w:tcPr>
          <w:p>
            <w:r/>
            <w:r>
              <w:rPr>
                <w:rFonts w:ascii="游ゴシック" w:hAnsi="游ゴシック" w:eastAsia="游ゴシック"/>
                <w:sz w:val="17"/>
              </w:rPr>
              <w:t>第6章第7節（補足給付）、第6章第3節（施設サービスの給付費）</w:t>
            </w:r>
          </w:p>
        </w:tc>
      </w:tr>
      <w:tr>
        <w:trPr>
          <w:cantSplit/>
        </w:trPr>
        <w:tc>
          <w:tcPr>
            <w:tcW w:type="dxa" w:w="2178"/>
          </w:tcPr>
          <w:p>
            <w:r/>
            <w:r>
              <w:rPr>
                <w:rFonts w:ascii="游ゴシック" w:hAnsi="游ゴシック" w:eastAsia="游ゴシック"/>
                <w:sz w:val="17"/>
              </w:rPr>
              <w:t>軽度者への生活援助サービス等に関する給付の在り方</w:t>
            </w:r>
          </w:p>
        </w:tc>
        <w:tc>
          <w:tcPr>
            <w:tcW w:type="dxa" w:w="4668"/>
          </w:tcPr>
          <w:p>
            <w:r/>
            <w:r>
              <w:rPr>
                <w:rFonts w:ascii="游ゴシック" w:hAnsi="游ゴシック" w:eastAsia="游ゴシック"/>
                <w:sz w:val="17"/>
              </w:rPr>
              <w:t>多様なサービス・活動の整備の状況、従前相当サービス等における専門職の役割等に関するデータを収集・分析しつつ、市町村の意向や利用者への影響等も踏まえ、包括的に検討を行う。</w:t>
            </w:r>
          </w:p>
        </w:tc>
        <w:tc>
          <w:tcPr>
            <w:tcW w:type="dxa" w:w="2905"/>
          </w:tcPr>
          <w:p>
            <w:r/>
            <w:r>
              <w:rPr>
                <w:rFonts w:ascii="游ゴシック" w:hAnsi="游ゴシック" w:eastAsia="游ゴシック"/>
                <w:sz w:val="17"/>
              </w:rPr>
              <w:t>第6章第2節（訪問介護等の見込量）、第6章第3節2（介護予防・日常生活支援総合事業の量）</w:t>
            </w:r>
          </w:p>
        </w:tc>
      </w:tr>
      <w:tr>
        <w:trPr>
          <w:cantSplit/>
        </w:trPr>
        <w:tc>
          <w:tcPr>
            <w:tcW w:type="dxa" w:w="2178"/>
          </w:tcPr>
          <w:p>
            <w:r/>
            <w:r>
              <w:rPr>
                <w:rFonts w:ascii="游ゴシック" w:hAnsi="游ゴシック" w:eastAsia="游ゴシック"/>
                <w:sz w:val="17"/>
              </w:rPr>
              <w:t>金融所得・金融資産の反映の在り方</w:t>
            </w:r>
          </w:p>
        </w:tc>
        <w:tc>
          <w:tcPr>
            <w:tcW w:type="dxa" w:w="4668"/>
          </w:tcPr>
          <w:p>
            <w:r/>
            <w:r>
              <w:rPr>
                <w:rFonts w:ascii="游ゴシック" w:hAnsi="游ゴシック" w:eastAsia="游ゴシック"/>
                <w:sz w:val="17"/>
              </w:rPr>
              <w:t>金融所得の保険料や窓口負担等への反映について、後期高齢者医療制度での対応状況も踏まえつつ検討を行う。金融資産の反映については、預貯金等へのマイナンバーの付番の状況を踏まえて検討を行う。</w:t>
            </w:r>
          </w:p>
        </w:tc>
        <w:tc>
          <w:tcPr>
            <w:tcW w:type="dxa" w:w="2905"/>
          </w:tcPr>
          <w:p>
            <w:r/>
            <w:r>
              <w:rPr>
                <w:rFonts w:ascii="游ゴシック" w:hAnsi="游ゴシック" w:eastAsia="游ゴシック"/>
                <w:sz w:val="17"/>
              </w:rPr>
              <w:t>第6章第6節（所得段階別の被保険者数）、第6章第7節（利用者負担）</w:t>
            </w:r>
          </w:p>
        </w:tc>
      </w:tr>
      <w:tr>
        <w:trPr>
          <w:cantSplit/>
        </w:trPr>
        <w:tc>
          <w:tcPr>
            <w:tcW w:type="dxa" w:w="2178"/>
          </w:tcPr>
          <w:p>
            <w:r/>
            <w:r>
              <w:rPr>
                <w:rFonts w:ascii="游ゴシック" w:hAnsi="游ゴシック" w:eastAsia="游ゴシック"/>
                <w:sz w:val="17"/>
              </w:rPr>
              <w:t>高額介護サービス費の在り方</w:t>
            </w:r>
          </w:p>
        </w:tc>
        <w:tc>
          <w:tcPr>
            <w:tcW w:type="dxa" w:w="4668"/>
          </w:tcPr>
          <w:p>
            <w:r/>
            <w:r>
              <w:rPr>
                <w:rFonts w:ascii="游ゴシック" w:hAnsi="游ゴシック" w:eastAsia="游ゴシック"/>
                <w:sz w:val="17"/>
              </w:rPr>
              <w:t>制度の運用状況を踏まえ、負担上限額の在り方について引き続き検討を行う。</w:t>
            </w:r>
          </w:p>
        </w:tc>
        <w:tc>
          <w:tcPr>
            <w:tcW w:type="dxa" w:w="2905"/>
          </w:tcPr>
          <w:p>
            <w:r/>
            <w:r>
              <w:rPr>
                <w:rFonts w:ascii="游ゴシック" w:hAnsi="游ゴシック" w:eastAsia="游ゴシック"/>
                <w:sz w:val="17"/>
              </w:rPr>
              <w:t>第6章第3節（標準給付費見込額に含む高額介護サービス費）</w:t>
            </w:r>
          </w:p>
        </w:tc>
      </w:tr>
      <w:tr>
        <w:trPr>
          <w:cantSplit/>
        </w:trPr>
        <w:tc>
          <w:tcPr>
            <w:tcW w:type="dxa" w:w="2178"/>
          </w:tcPr>
          <w:p>
            <w:r/>
            <w:r>
              <w:rPr>
                <w:rFonts w:ascii="游ゴシック" w:hAnsi="游ゴシック" w:eastAsia="游ゴシック"/>
                <w:sz w:val="17"/>
              </w:rPr>
              <w:t>登録施設介護支援等に係る利用者負担</w:t>
            </w:r>
          </w:p>
        </w:tc>
        <w:tc>
          <w:tcPr>
            <w:tcW w:type="dxa" w:w="4668"/>
          </w:tcPr>
          <w:p>
            <w:r/>
            <w:r>
              <w:rPr>
                <w:rFonts w:ascii="游ゴシック" w:hAnsi="游ゴシック" w:eastAsia="游ゴシック"/>
                <w:sz w:val="17"/>
              </w:rPr>
              <w:t>登録制の対象となる有料老人ホームの入居者に係る新たな相談支援の類型について、特定施設入居者生活介護等との均衡の観点から利用者負担を求めることが考えられるところ、丁寧に検討を行う。</w:t>
            </w:r>
          </w:p>
        </w:tc>
        <w:tc>
          <w:tcPr>
            <w:tcW w:type="dxa" w:w="2905"/>
          </w:tcPr>
          <w:p>
            <w:r/>
            <w:r>
              <w:rPr>
                <w:rFonts w:ascii="游ゴシック" w:hAnsi="游ゴシック" w:eastAsia="游ゴシック"/>
                <w:sz w:val="17"/>
              </w:rPr>
              <w:t>第6章第2節（令和9年4月に新設される区分の見込量）</w:t>
            </w:r>
          </w:p>
        </w:tc>
      </w:tr>
      <w:tr>
        <w:trPr>
          <w:cantSplit/>
        </w:trPr>
        <w:tc>
          <w:tcPr>
            <w:tcW w:type="dxa" w:w="2178"/>
          </w:tcPr>
          <w:p>
            <w:r/>
            <w:r>
              <w:rPr>
                <w:rFonts w:ascii="游ゴシック" w:hAnsi="游ゴシック" w:eastAsia="游ゴシック"/>
                <w:sz w:val="17"/>
              </w:rPr>
              <w:t>「現役並み所得」の判断基準</w:t>
            </w:r>
          </w:p>
        </w:tc>
        <w:tc>
          <w:tcPr>
            <w:tcW w:type="dxa" w:w="4668"/>
          </w:tcPr>
          <w:p>
            <w:r/>
            <w:r>
              <w:rPr>
                <w:rFonts w:ascii="游ゴシック" w:hAnsi="游ゴシック" w:eastAsia="游ゴシック"/>
                <w:sz w:val="17"/>
              </w:rPr>
              <w:t>医療保険制度との整合性や利用者への影響等を踏まえつつ、引き続き検討を行う。</w:t>
            </w:r>
          </w:p>
        </w:tc>
        <w:tc>
          <w:tcPr>
            <w:tcW w:type="dxa" w:w="2905"/>
          </w:tcPr>
          <w:p>
            <w:r/>
            <w:r>
              <w:rPr>
                <w:rFonts w:ascii="游ゴシック" w:hAnsi="游ゴシック" w:eastAsia="游ゴシック"/>
                <w:sz w:val="17"/>
              </w:rPr>
              <w:t>第6章第3節（利用者負担割合）、第6章第7節（高額介護サービス費）</w:t>
            </w:r>
          </w:p>
        </w:tc>
      </w:tr>
      <w:tr>
        <w:trPr>
          <w:cantSplit/>
        </w:trPr>
        <w:tc>
          <w:tcPr>
            <w:tcW w:type="dxa" w:w="2178"/>
          </w:tcPr>
          <w:p>
            <w:r/>
            <w:r>
              <w:rPr>
                <w:rFonts w:ascii="游ゴシック" w:hAnsi="游ゴシック" w:eastAsia="游ゴシック"/>
                <w:sz w:val="17"/>
              </w:rPr>
              <w:t>被保険者範囲・受給者範囲</w:t>
            </w:r>
          </w:p>
        </w:tc>
        <w:tc>
          <w:tcPr>
            <w:tcW w:type="dxa" w:w="4668"/>
          </w:tcPr>
          <w:p>
            <w:r/>
            <w:r>
              <w:rPr>
                <w:rFonts w:ascii="游ゴシック" w:hAnsi="游ゴシック" w:eastAsia="游ゴシック"/>
                <w:sz w:val="17"/>
              </w:rPr>
              <w:t>介護保険を取り巻く状況の変化も踏まえつつ、引き続き検討を行う。</w:t>
            </w:r>
          </w:p>
        </w:tc>
        <w:tc>
          <w:tcPr>
            <w:tcW w:type="dxa" w:w="2905"/>
          </w:tcPr>
          <w:p>
            <w:r/>
            <w:r>
              <w:rPr>
                <w:rFonts w:ascii="游ゴシック" w:hAnsi="游ゴシック" w:eastAsia="游ゴシック"/>
                <w:sz w:val="17"/>
              </w:rPr>
              <w:t>第6章第6節（第1号被保険者数、第1号被保険者負担割合）</w:t>
            </w:r>
          </w:p>
        </w:tc>
      </w:tr>
    </w:tbl>
    <w:p>
      <w:pPr>
        <w:spacing w:after="160" w:line="269" w:lineRule="auto"/>
      </w:pPr>
      <w:r>
        <w:rPr>
          <w:rFonts w:ascii="游ゴシック" w:hAnsi="游ゴシック" w:eastAsia="游ゴシック"/>
          <w:b w:val="0"/>
          <w:sz w:val="17"/>
        </w:rPr>
        <w:t>出典：厚生労働省『持続可能性の確保（給付と負担）』（第136回社会保障審議会介護保険部会 資料2、令和8年9月18日）に引用された『介護保険制度の見直しに関する意見』（令和7年12月25日社会保障審議会介護保険部会）</w:t>
      </w:r>
    </w:p>
    <w:p>
      <w:pPr>
        <w:pStyle w:val="Heading3"/>
        <w:spacing w:before="180" w:after="100"/>
      </w:pPr>
      <w:r>
        <w:rPr>
          <w:rFonts w:ascii="游ゴシック" w:hAnsi="游ゴシック" w:eastAsia="游ゴシック"/>
          <w:sz w:val="22"/>
        </w:rPr>
        <w:t>6 令和9年度介護報酬改定に向けた検討の状況</w:t>
      </w:r>
    </w:p>
    <w:p>
      <w:pPr>
        <w:spacing w:after="80" w:line="269" w:lineRule="auto"/>
      </w:pPr>
      <w:r>
        <w:rPr>
          <w:rFonts w:ascii="游ゴシック" w:hAnsi="游ゴシック" w:eastAsia="游ゴシック"/>
          <w:b w:val="0"/>
          <w:sz w:val="21"/>
        </w:rPr>
        <w:t>令和9年度は介護報酬改定の年に当たります。社会保障審議会介護給付費分科会は、令和9年度介護報酬改定に向けた基本的な視点として、①物価・賃金の上昇等への対応と処遇改善②人口減少・サービス需要の変化に応じたサービス提供体制の構築③地域包括ケアシステムの深化④職場環境の改善と生産性の向上を通じたサービスの質の向上及び介護人材の確保⑤制度の安定性・持続可能性の確保の5点を示し、個別のサービスについて対応案の検討が進められています。同資料は、令和9年度から始まる第10期介護保険事業計画期間を、65歳以上人口がピークを迎える一方、介護と医療の複合ニーズを抱える85歳以上人口が増加する令和22（2040）年を見据えた取組を本格化させていく時期としています。本計画の見込量、給付費又は記載に関わり得る事項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520"/>
            <w:shd w:val="clear" w:color="auto" w:fill="DCE6F1"/>
          </w:tcPr>
          <w:p>
            <w:pPr>
              <w:spacing w:before="0"/>
              <w:jc w:val="center"/>
            </w:pPr>
            <w:r/>
            <w:r>
              <w:rPr>
                <w:rFonts w:ascii="游ゴシック" w:hAnsi="游ゴシック" w:eastAsia="游ゴシック"/>
                <w:b/>
                <w:sz w:val="17"/>
              </w:rPr>
              <w:t>検討されている事項</w:t>
            </w:r>
          </w:p>
        </w:tc>
        <w:tc>
          <w:tcPr>
            <w:tcW w:type="dxa" w:w="3506"/>
            <w:shd w:val="clear" w:color="auto" w:fill="DCE6F1"/>
          </w:tcPr>
          <w:p>
            <w:pPr>
              <w:jc w:val="center"/>
            </w:pPr>
            <w:r/>
            <w:r>
              <w:rPr>
                <w:rFonts w:ascii="游ゴシック" w:hAnsi="游ゴシック" w:eastAsia="游ゴシック"/>
                <w:b/>
                <w:sz w:val="17"/>
              </w:rPr>
              <w:t>本計画に関わること</w:t>
            </w:r>
          </w:p>
        </w:tc>
        <w:tc>
          <w:tcPr>
            <w:tcW w:type="dxa" w:w="3725"/>
            <w:shd w:val="clear" w:color="auto" w:fill="DCE6F1"/>
          </w:tcPr>
          <w:p>
            <w:pPr>
              <w:jc w:val="center"/>
            </w:pPr>
            <w:r/>
            <w:r>
              <w:rPr>
                <w:rFonts w:ascii="游ゴシック" w:hAnsi="游ゴシック" w:eastAsia="游ゴシック"/>
                <w:b/>
                <w:sz w:val="17"/>
              </w:rPr>
              <w:t>本計画における扱い</w:t>
            </w:r>
          </w:p>
        </w:tc>
      </w:tr>
      <w:tr>
        <w:trPr>
          <w:cantSplit/>
        </w:trPr>
        <w:tc>
          <w:tcPr>
            <w:tcW w:type="dxa" w:w="2520"/>
          </w:tcPr>
          <w:p>
            <w:r/>
            <w:r>
              <w:rPr>
                <w:rFonts w:ascii="游ゴシック" w:hAnsi="游ゴシック" w:eastAsia="游ゴシック"/>
                <w:sz w:val="17"/>
              </w:rPr>
              <w:t>中山間・人口減少地域におけるサービスの維持</w:t>
            </w:r>
          </w:p>
        </w:tc>
        <w:tc>
          <w:tcPr>
            <w:tcW w:type="dxa" w:w="3506"/>
          </w:tcPr>
          <w:p>
            <w:r/>
            <w:r>
              <w:rPr>
                <w:rFonts w:ascii="游ゴシック" w:hAnsi="游ゴシック" w:eastAsia="游ゴシック"/>
                <w:sz w:val="17"/>
              </w:rPr>
              <w:t>特定地域における人員配置の弾力化及び訪問系サービスの包括的な評価が検討されています。あわせて、中山間地域の加算のあり方の見直し及び地域における固有の資源との協働化が基本的な視点に掲げられています。本広域連合は中山間・人口減少地域に当たる可能性があります（第1項）。</w:t>
            </w:r>
          </w:p>
        </w:tc>
        <w:tc>
          <w:tcPr>
            <w:tcW w:type="dxa" w:w="3725"/>
          </w:tcPr>
          <w:p>
            <w:r/>
            <w:r>
              <w:rPr>
                <w:rFonts w:ascii="游ゴシック" w:hAnsi="游ゴシック" w:eastAsia="游ゴシック"/>
                <w:sz w:val="17"/>
              </w:rPr>
              <w:t>特定地域に係る制度の内容が確定するまでは事業費を算定しません。報酬上の評価は、省令等による地域の指定とは別のものとして扱います。中山間地域の加算は単価に及びますが、特別地域加算の対象地域の告示を確認できていないため本計画では見込んでいません［要確認］。</w:t>
            </w:r>
          </w:p>
        </w:tc>
      </w:tr>
      <w:tr>
        <w:trPr>
          <w:cantSplit/>
        </w:trPr>
        <w:tc>
          <w:tcPr>
            <w:tcW w:type="dxa" w:w="2520"/>
          </w:tcPr>
          <w:p>
            <w:r/>
            <w:r>
              <w:rPr>
                <w:rFonts w:ascii="游ゴシック" w:hAnsi="游ゴシック" w:eastAsia="游ゴシック"/>
                <w:sz w:val="17"/>
              </w:rPr>
              <w:t>夜間対応型訪問介護の定期巡回・随時対応型訪問介護看護への移行</w:t>
            </w:r>
          </w:p>
        </w:tc>
        <w:tc>
          <w:tcPr>
            <w:tcW w:type="dxa" w:w="3506"/>
          </w:tcPr>
          <w:p>
            <w:r/>
            <w:r>
              <w:rPr>
                <w:rFonts w:ascii="游ゴシック" w:hAnsi="游ゴシック" w:eastAsia="游ゴシック"/>
                <w:sz w:val="17"/>
              </w:rPr>
              <w:t>移行を見据えた評価として、定期巡回・随時対応型訪問介護看護において24時間の通報及び相談への対応の機能を確保し、日中の支援を実施する事業所の取組を評価することが検討されています。経過措置の期限は、資料の中に令和11年度末までとするものと令和11年3月までとするものの2通りの記載があります（注2）。</w:t>
            </w:r>
          </w:p>
        </w:tc>
        <w:tc>
          <w:tcPr>
            <w:tcW w:type="dxa" w:w="3725"/>
          </w:tcPr>
          <w:p>
            <w:r/>
            <w:r>
              <w:rPr>
                <w:rFonts w:ascii="游ゴシック" w:hAnsi="游ゴシック" w:eastAsia="游ゴシック"/>
                <w:sz w:val="17"/>
              </w:rPr>
              <w:t>区域内に夜間対応型訪問介護の事業所はなく給付の実績もないため、第6章第2節では現行の区分のまま実績なしとして掲げています。省令等が確定した時点で区分を改めます［要確認］。</w:t>
            </w:r>
          </w:p>
        </w:tc>
      </w:tr>
      <w:tr>
        <w:trPr>
          <w:cantSplit/>
        </w:trPr>
        <w:tc>
          <w:tcPr>
            <w:tcW w:type="dxa" w:w="2520"/>
          </w:tcPr>
          <w:p>
            <w:r/>
            <w:r>
              <w:rPr>
                <w:rFonts w:ascii="游ゴシック" w:hAnsi="游ゴシック" w:eastAsia="游ゴシック"/>
                <w:sz w:val="17"/>
              </w:rPr>
              <w:t>定期巡回・随時対応型訪問介護看護の人員配置及び区域外の提供</w:t>
            </w:r>
          </w:p>
        </w:tc>
        <w:tc>
          <w:tcPr>
            <w:tcW w:type="dxa" w:w="3506"/>
          </w:tcPr>
          <w:p>
            <w:r/>
            <w:r>
              <w:rPr>
                <w:rFonts w:ascii="游ゴシック" w:hAnsi="游ゴシック" w:eastAsia="游ゴシック"/>
                <w:sz w:val="17"/>
              </w:rPr>
              <w:t>新規に開設する際に利用者の確保が困難である場合の訪問介護員等の配置基準の見直しと、区域外の指定を受けて複数の市町村にまたがって提供する事業所の評価の在り方が検討されています。区域内に事業所はなく、区域外の事業所の利用により給付が生じています。</w:t>
            </w:r>
          </w:p>
        </w:tc>
        <w:tc>
          <w:tcPr>
            <w:tcW w:type="dxa" w:w="3725"/>
          </w:tcPr>
          <w:p>
            <w:r/>
            <w:r>
              <w:rPr>
                <w:rFonts w:ascii="游ゴシック" w:hAnsi="游ゴシック" w:eastAsia="游ゴシック"/>
                <w:sz w:val="17"/>
              </w:rPr>
              <w:t>第6章第4節1の確保方策において、整備を検討する際の条件として確かめます。本計画の見込量は自然体の値であり、整備による上乗せを含めていません［要協議］。</w:t>
            </w:r>
          </w:p>
        </w:tc>
      </w:tr>
      <w:tr>
        <w:trPr>
          <w:cantSplit/>
        </w:trPr>
        <w:tc>
          <w:tcPr>
            <w:tcW w:type="dxa" w:w="2520"/>
          </w:tcPr>
          <w:p>
            <w:r/>
            <w:r>
              <w:rPr>
                <w:rFonts w:ascii="游ゴシック" w:hAnsi="游ゴシック" w:eastAsia="游ゴシック"/>
                <w:sz w:val="17"/>
              </w:rPr>
              <w:t>短期入所生活介護の季節利用及び長期利用</w:t>
            </w:r>
          </w:p>
        </w:tc>
        <w:tc>
          <w:tcPr>
            <w:tcW w:type="dxa" w:w="3506"/>
          </w:tcPr>
          <w:p>
            <w:r/>
            <w:r>
              <w:rPr>
                <w:rFonts w:ascii="游ゴシック" w:hAnsi="游ゴシック" w:eastAsia="游ゴシック"/>
                <w:sz w:val="17"/>
              </w:rPr>
              <w:t>31日以上連続して利用する場合の減算を61日以上連続して利用する場合と同程度に改めることと、積雪期、猛暑期、農繁期等の季節による利用のみの方について例外的に当該減算を適用しない仕組みを設けることの双方が検討されています。中山間地域において冬期間のみ利用することにより在宅生活の継続を図る事例があることが示されています。本広域連合は積雪地であり、季節による利用の変動が生じます。</w:t>
            </w:r>
          </w:p>
        </w:tc>
        <w:tc>
          <w:tcPr>
            <w:tcW w:type="dxa" w:w="3725"/>
          </w:tcPr>
          <w:p>
            <w:r/>
            <w:r>
              <w:rPr>
                <w:rFonts w:ascii="游ゴシック" w:hAnsi="游ゴシック" w:eastAsia="游ゴシック"/>
                <w:sz w:val="17"/>
              </w:rPr>
              <w:t>第6章第2節の見込量は令和7年度（12か月）の実績によっており、季節による補正を行っていません（第6章第2節 注1-1）。減算の見直しは単価を下げる向き、季節利用の例外はこれを維持する向きに働きます。いずれも示された時点で利用日数及び単価の置き方を確かめます。</w:t>
            </w:r>
          </w:p>
        </w:tc>
      </w:tr>
      <w:tr>
        <w:trPr>
          <w:cantSplit/>
        </w:trPr>
        <w:tc>
          <w:tcPr>
            <w:tcW w:type="dxa" w:w="2520"/>
          </w:tcPr>
          <w:p>
            <w:r/>
            <w:r>
              <w:rPr>
                <w:rFonts w:ascii="游ゴシック" w:hAnsi="游ゴシック" w:eastAsia="游ゴシック"/>
                <w:sz w:val="17"/>
              </w:rPr>
              <w:t>短期入所療養介護の長期利用</w:t>
            </w:r>
          </w:p>
        </w:tc>
        <w:tc>
          <w:tcPr>
            <w:tcW w:type="dxa" w:w="3506"/>
          </w:tcPr>
          <w:p>
            <w:r/>
            <w:r>
              <w:rPr>
                <w:rFonts w:ascii="游ゴシック" w:hAnsi="游ゴシック" w:eastAsia="游ゴシック"/>
                <w:sz w:val="17"/>
              </w:rPr>
              <w:t>短期入所療養介護には長期利用に係る減算の適用がないことを踏まえ、短期入所生活介護の対応に合わせて減算を設けることが検討されています。</w:t>
            </w:r>
          </w:p>
        </w:tc>
        <w:tc>
          <w:tcPr>
            <w:tcW w:type="dxa" w:w="3725"/>
          </w:tcPr>
          <w:p>
            <w:r/>
            <w:r>
              <w:rPr>
                <w:rFonts w:ascii="游ゴシック" w:hAnsi="游ゴシック" w:eastAsia="游ゴシック"/>
                <w:sz w:val="17"/>
              </w:rPr>
              <w:t>短期入所療養介護は、サービス別の趨勢を反映しても開きが残る種別です（第6章第6節2）。単価を下げる向きの見直しであり、本計画は令和7年度の実績単価で固定しています［要確認］。</w:t>
            </w:r>
          </w:p>
        </w:tc>
      </w:tr>
      <w:tr>
        <w:trPr>
          <w:cantSplit/>
        </w:trPr>
        <w:tc>
          <w:tcPr>
            <w:tcW w:type="dxa" w:w="2520"/>
          </w:tcPr>
          <w:p>
            <w:r/>
            <w:r>
              <w:rPr>
                <w:rFonts w:ascii="游ゴシック" w:hAnsi="游ゴシック" w:eastAsia="游ゴシック"/>
                <w:sz w:val="17"/>
              </w:rPr>
              <w:t>中山間地域等における入浴に係るサービスの特例</w:t>
            </w:r>
          </w:p>
        </w:tc>
        <w:tc>
          <w:tcPr>
            <w:tcW w:type="dxa" w:w="3506"/>
          </w:tcPr>
          <w:p>
            <w:r/>
            <w:r>
              <w:rPr>
                <w:rFonts w:ascii="游ゴシック" w:hAnsi="游ゴシック" w:eastAsia="游ゴシック"/>
                <w:sz w:val="17"/>
              </w:rPr>
              <w:t>訪問入浴介護の事業所が不足している中山間地域等において、例外的に通所介護等で入浴介助を目的とするサービスを認めることと、入浴介助加算の単価の見直しが検討されています。あわせて、中山間地域等における冬期の送迎時間の長時間化が示されています。区域内の訪問入浴介護の受給者は月5.2人です。</w:t>
            </w:r>
          </w:p>
        </w:tc>
        <w:tc>
          <w:tcPr>
            <w:tcW w:type="dxa" w:w="3725"/>
          </w:tcPr>
          <w:p>
            <w:r/>
            <w:r>
              <w:rPr>
                <w:rFonts w:ascii="游ゴシック" w:hAnsi="游ゴシック" w:eastAsia="游ゴシック"/>
                <w:sz w:val="17"/>
              </w:rPr>
              <w:t>訪問入浴介護と通所介護のいずれの見込量にも及ぶため、特例の内容が示された時点で両区分の置き方を確かめます。送迎に係る評価は単価に及びます。</w:t>
            </w:r>
          </w:p>
        </w:tc>
      </w:tr>
      <w:tr>
        <w:trPr>
          <w:cantSplit/>
        </w:trPr>
        <w:tc>
          <w:tcPr>
            <w:tcW w:type="dxa" w:w="2520"/>
          </w:tcPr>
          <w:p>
            <w:r/>
            <w:r>
              <w:rPr>
                <w:rFonts w:ascii="游ゴシック" w:hAnsi="游ゴシック" w:eastAsia="游ゴシック"/>
                <w:sz w:val="17"/>
              </w:rPr>
              <w:t>認知症対応型通所介護の報酬の在り方</w:t>
            </w:r>
          </w:p>
        </w:tc>
        <w:tc>
          <w:tcPr>
            <w:tcW w:type="dxa" w:w="3506"/>
          </w:tcPr>
          <w:p>
            <w:r/>
            <w:r>
              <w:rPr>
                <w:rFonts w:ascii="游ゴシック" w:hAnsi="游ゴシック" w:eastAsia="游ゴシック"/>
                <w:sz w:val="17"/>
              </w:rPr>
              <w:t>請求事業所数及び受給者数が減少傾向にあることを踏まえ、地域密着型通所介護の報酬体系及び単位数を参考にしつつ基本報酬の在り方を検討することと、認知症高齢者の日常生活自立度からみて重度な方を多く受け入れている事業所を評価することが検討されています。区域内に事業所はありませんが、区域外の事業所の利用により給付が生じています。</w:t>
            </w:r>
          </w:p>
        </w:tc>
        <w:tc>
          <w:tcPr>
            <w:tcW w:type="dxa" w:w="3725"/>
          </w:tcPr>
          <w:p>
            <w:r/>
            <w:r>
              <w:rPr>
                <w:rFonts w:ascii="游ゴシック" w:hAnsi="游ゴシック" w:eastAsia="游ゴシック"/>
                <w:sz w:val="17"/>
              </w:rPr>
              <w:t>第6章第2節（2）に令和7年度の実績による見込量を立てています。基本報酬の区分が改められた場合は単価を再算定します［要確認］。</w:t>
            </w:r>
          </w:p>
        </w:tc>
      </w:tr>
      <w:tr>
        <w:trPr>
          <w:cantSplit/>
        </w:trPr>
        <w:tc>
          <w:tcPr>
            <w:tcW w:type="dxa" w:w="2520"/>
          </w:tcPr>
          <w:p>
            <w:r/>
            <w:r>
              <w:rPr>
                <w:rFonts w:ascii="游ゴシック" w:hAnsi="游ゴシック" w:eastAsia="游ゴシック"/>
                <w:sz w:val="17"/>
              </w:rPr>
              <w:t>高齢者向け住まいに対するサービス提供の評価</w:t>
            </w:r>
          </w:p>
        </w:tc>
        <w:tc>
          <w:tcPr>
            <w:tcW w:type="dxa" w:w="3506"/>
          </w:tcPr>
          <w:p>
            <w:r/>
            <w:r>
              <w:rPr>
                <w:rFonts w:ascii="游ゴシック" w:hAnsi="游ゴシック" w:eastAsia="游ゴシック"/>
                <w:sz w:val="17"/>
              </w:rPr>
              <w:t>通所介護、地域密着型通所介護及び認知症対応型通所介護について、同一の建物に居住する方への減算に代えて、移動に要する費用及び提供の実態に応じた報酬の区分とする見直しが検討されています。訪問介護、定期巡回・随時対応型訪問介護看護、小規模多機能型居宅介護及び看護小規模多機能型居宅介護については、別に議論を行うこととされており対応案が示されていません。区域内には介護保険の指定を受けない住まいが339人・戸あり、在宅の受給者の約3分の1に当たります（第2章第3節）。</w:t>
            </w:r>
          </w:p>
        </w:tc>
        <w:tc>
          <w:tcPr>
            <w:tcW w:type="dxa" w:w="3725"/>
          </w:tcPr>
          <w:p>
            <w:r/>
            <w:r>
              <w:rPr>
                <w:rFonts w:ascii="游ゴシック" w:hAnsi="游ゴシック" w:eastAsia="游ゴシック"/>
                <w:sz w:val="17"/>
              </w:rPr>
              <w:t>本計画の1人1月あたり給付費は令和7年度の実績で固定しています。区分が示された時点で単価を再算定します。訪問介護は1人1月あたり利用回数が全国の1.87倍であり（第2章第3節）、対応案が示された時点で改めて確かめます。</w:t>
            </w:r>
          </w:p>
        </w:tc>
      </w:tr>
      <w:tr>
        <w:trPr>
          <w:cantSplit/>
        </w:trPr>
        <w:tc>
          <w:tcPr>
            <w:tcW w:type="dxa" w:w="2520"/>
          </w:tcPr>
          <w:p>
            <w:r/>
            <w:r>
              <w:rPr>
                <w:rFonts w:ascii="游ゴシック" w:hAnsi="游ゴシック" w:eastAsia="游ゴシック"/>
                <w:sz w:val="17"/>
              </w:rPr>
              <w:t>認知症対応型共同生活介護の地域における役割及び人員配置</w:t>
            </w:r>
          </w:p>
        </w:tc>
        <w:tc>
          <w:tcPr>
            <w:tcW w:type="dxa" w:w="3506"/>
          </w:tcPr>
          <w:p>
            <w:r/>
            <w:r>
              <w:rPr>
                <w:rFonts w:ascii="游ゴシック" w:hAnsi="游ゴシック" w:eastAsia="游ゴシック"/>
                <w:sz w:val="17"/>
              </w:rPr>
              <w:t>中山間地域等における通院が困難な方の一時的な受入れ、見守り等を含む地域の拠点としての機能への評価と、1ユニットの事業所における計画作成担当者の配置要件の見直しが検討されています。区域内の事業所は7であり、ユニット数を確認できているのは2事業所です［要確認］。</w:t>
            </w:r>
          </w:p>
        </w:tc>
        <w:tc>
          <w:tcPr>
            <w:tcW w:type="dxa" w:w="3725"/>
          </w:tcPr>
          <w:p>
            <w:r/>
            <w:r>
              <w:rPr>
                <w:rFonts w:ascii="游ゴシック" w:hAnsi="游ゴシック" w:eastAsia="游ゴシック"/>
                <w:sz w:val="17"/>
              </w:rPr>
              <w:t>第5章 基本目標2の認知症施策において地域との連携を掲げています。配置要件の見直しは事業所の運営に関わるものであり、見込量には反映していません。</w:t>
            </w:r>
          </w:p>
        </w:tc>
      </w:tr>
      <w:tr>
        <w:trPr>
          <w:cantSplit/>
        </w:trPr>
        <w:tc>
          <w:tcPr>
            <w:tcW w:type="dxa" w:w="2520"/>
          </w:tcPr>
          <w:p>
            <w:r/>
            <w:r>
              <w:rPr>
                <w:rFonts w:ascii="游ゴシック" w:hAnsi="游ゴシック" w:eastAsia="游ゴシック"/>
                <w:sz w:val="17"/>
              </w:rPr>
              <w:t>地域区分</w:t>
            </w:r>
          </w:p>
        </w:tc>
        <w:tc>
          <w:tcPr>
            <w:tcW w:type="dxa" w:w="3506"/>
          </w:tcPr>
          <w:p>
            <w:r/>
            <w:r>
              <w:rPr>
                <w:rFonts w:ascii="游ゴシック" w:hAnsi="游ゴシック" w:eastAsia="游ゴシック"/>
                <w:sz w:val="17"/>
              </w:rPr>
              <w:t>地域区分は公務員の地域手当に準拠して設定されており、地域手当は10年ごとに見直されます。令和6年人事院勧告において、級地区分を設定する地域の単位を都道府県単位を基本として広域化し、段階数を7区分から5区分とする見直しが示されたことを踏まえ、令和9年度介護報酬改定における対応が検討されています。北海道において級地が設定されているのは札幌市のみであり、構成3町はいずれもその他の地域（上乗せ割合0％）です。広域連合については、構成市町村に適用されている区分の範囲内で選択することが認められています。</w:t>
            </w:r>
          </w:p>
        </w:tc>
        <w:tc>
          <w:tcPr>
            <w:tcW w:type="dxa" w:w="3725"/>
          </w:tcPr>
          <w:p>
            <w:r/>
            <w:r>
              <w:rPr>
                <w:rFonts w:ascii="游ゴシック" w:hAnsi="游ゴシック" w:eastAsia="游ゴシック"/>
                <w:sz w:val="17"/>
              </w:rPr>
              <w:t>地域区分による単価は令和7年度の実績（その他の地域）に含まれています。都道府県単位を基本とする広域化が行われる場合は上乗せ割合が変わる可能性があり、単価に及びます。構成3町の区分がいずれもその他の地域であるため、現時点では広域連合として選択する余地はありません。見直しの内容が示された時点で単価を再算定します［要確認］。</w:t>
            </w:r>
          </w:p>
        </w:tc>
      </w:tr>
      <w:tr>
        <w:trPr>
          <w:cantSplit/>
        </w:trPr>
        <w:tc>
          <w:tcPr>
            <w:tcW w:type="dxa" w:w="2520"/>
          </w:tcPr>
          <w:p>
            <w:r/>
            <w:r>
              <w:rPr>
                <w:rFonts w:ascii="游ゴシック" w:hAnsi="游ゴシック" w:eastAsia="游ゴシック"/>
                <w:sz w:val="17"/>
              </w:rPr>
              <w:t>多床室の室料負担</w:t>
            </w:r>
          </w:p>
        </w:tc>
        <w:tc>
          <w:tcPr>
            <w:tcW w:type="dxa" w:w="3506"/>
          </w:tcPr>
          <w:p>
            <w:r/>
            <w:r>
              <w:rPr>
                <w:rFonts w:ascii="游ゴシック" w:hAnsi="游ゴシック" w:eastAsia="游ゴシック"/>
                <w:sz w:val="17"/>
              </w:rPr>
              <w:t>多床室に係る室料負担の在り方が検討されています（社会保障審議会介護保険部会においても引き続き検討することとされています）。令和7年8月から、その他型及び療養型の介護老人保健施設並びにⅡ型の介護医療院については既に室料負担を求めることとされており、検討されているのは導入が見送られた類型への拡大です。室料負担は利用者負担に及びます。</w:t>
            </w:r>
          </w:p>
        </w:tc>
        <w:tc>
          <w:tcPr>
            <w:tcW w:type="dxa" w:w="3725"/>
          </w:tcPr>
          <w:p>
            <w:r/>
            <w:r>
              <w:rPr>
                <w:rFonts w:ascii="游ゴシック" w:hAnsi="游ゴシック" w:eastAsia="游ゴシック"/>
                <w:sz w:val="17"/>
              </w:rPr>
              <w:t>室料負担は利用者負担であり給付費とは別に扱い、変更が示された場合は第6章第7節において整理します。</w:t>
            </w:r>
          </w:p>
        </w:tc>
      </w:tr>
      <w:tr>
        <w:trPr>
          <w:cantSplit/>
        </w:trPr>
        <w:tc>
          <w:tcPr>
            <w:tcW w:type="dxa" w:w="2520"/>
          </w:tcPr>
          <w:p>
            <w:r/>
            <w:r>
              <w:rPr>
                <w:rFonts w:ascii="游ゴシック" w:hAnsi="游ゴシック" w:eastAsia="游ゴシック"/>
                <w:sz w:val="17"/>
              </w:rPr>
              <w:t>介護事故の防止</w:t>
            </w:r>
          </w:p>
        </w:tc>
        <w:tc>
          <w:tcPr>
            <w:tcW w:type="dxa" w:w="3506"/>
          </w:tcPr>
          <w:p>
            <w:r/>
            <w:r>
              <w:rPr>
                <w:rFonts w:ascii="游ゴシック" w:hAnsi="游ゴシック" w:eastAsia="游ゴシック"/>
                <w:sz w:val="17"/>
              </w:rPr>
              <w:t>事故情報の収集、集計及び傾向の把握について、市町村が事業所からの報告の受付並びに報告内容の集計及び傾向の把握を担うものとして役割が整理され、介護サービス情報公表システムを活用した報告のための仕組みの構築と報告様式の見直しが検討されています。</w:t>
            </w:r>
          </w:p>
        </w:tc>
        <w:tc>
          <w:tcPr>
            <w:tcW w:type="dxa" w:w="3725"/>
          </w:tcPr>
          <w:p>
            <w:r/>
            <w:r>
              <w:rPr>
                <w:rFonts w:ascii="游ゴシック" w:hAnsi="游ゴシック" w:eastAsia="游ゴシック"/>
                <w:sz w:val="17"/>
              </w:rPr>
              <w:t>第5章 基本目標5に事故報告の受付及び集計を置きます。報告の受付の方法及び様式は国の検討の結果を踏まえて定めます［要協議］。</w:t>
            </w:r>
          </w:p>
        </w:tc>
      </w:tr>
      <w:tr>
        <w:trPr>
          <w:cantSplit/>
        </w:trPr>
        <w:tc>
          <w:tcPr>
            <w:tcW w:type="dxa" w:w="2520"/>
          </w:tcPr>
          <w:p>
            <w:r/>
            <w:r>
              <w:rPr>
                <w:rFonts w:ascii="游ゴシック" w:hAnsi="游ゴシック" w:eastAsia="游ゴシック"/>
                <w:sz w:val="17"/>
              </w:rPr>
              <w:t>改定の内容が示される時期</w:t>
            </w:r>
          </w:p>
        </w:tc>
        <w:tc>
          <w:tcPr>
            <w:tcW w:type="dxa" w:w="3506"/>
          </w:tcPr>
          <w:p>
            <w:r/>
            <w:r>
              <w:rPr>
                <w:rFonts w:ascii="游ゴシック" w:hAnsi="游ゴシック" w:eastAsia="游ゴシック"/>
                <w:sz w:val="17"/>
              </w:rPr>
              <w:t>改定の考え方及び運営基準に関する整理は令和8年12月頃、諮問及び答申は令和9年1月頃とされています。</w:t>
            </w:r>
          </w:p>
        </w:tc>
        <w:tc>
          <w:tcPr>
            <w:tcW w:type="dxa" w:w="3725"/>
          </w:tcPr>
          <w:p>
            <w:r/>
            <w:r>
              <w:rPr>
                <w:rFonts w:ascii="游ゴシック" w:hAnsi="游ゴシック" w:eastAsia="游ゴシック"/>
                <w:sz w:val="17"/>
              </w:rPr>
              <w:t>いずれも本計画の概算の後になります。第6章第6節の算定は令和7年度の実績単価により行い、確定情報の公表後に給付費及び保険料を再算定します。</w:t>
            </w:r>
          </w:p>
        </w:tc>
      </w:tr>
    </w:tbl>
    <w:p>
      <w:pPr>
        <w:spacing w:after="160" w:line="269" w:lineRule="auto"/>
      </w:pPr>
      <w:r>
        <w:rPr>
          <w:rFonts w:ascii="游ゴシック" w:hAnsi="游ゴシック" w:eastAsia="游ゴシック"/>
          <w:b w:val="0"/>
          <w:sz w:val="17"/>
        </w:rPr>
        <w:t>注1）本項に掲げた事項はいずれも検討されている段階のものであり、単位数、算定の要件及び施行の時期は示されていません。本計画は、これらを前提として見込量又は給付費を増減させることは行っていません。介護給付費分科会は介護報酬（単位数・算定の要件・運営の基準）を、社会保障審議会介護保険部会は計画及び制度を扱うものであり、別の審議の場です。前項（第5項）は介護保険部会において示された事項です。</w:t>
      </w:r>
    </w:p>
    <w:p>
      <w:pPr>
        <w:spacing w:after="160" w:line="269" w:lineRule="auto"/>
      </w:pPr>
      <w:r>
        <w:rPr>
          <w:rFonts w:ascii="游ゴシック" w:hAnsi="游ゴシック" w:eastAsia="游ゴシック"/>
          <w:b w:val="0"/>
          <w:sz w:val="17"/>
        </w:rPr>
        <w:t>注2）夜間対応型訪問介護の経過措置について、第269回介護給付費分科会 資料1は、現状と課題において「令和8年度末（現在の第9期計画期間）をもって廃止し、経過措置（令和11年度末まで（第10期計画期間中）は経過措置として、従前どおりの実施が可能）を設けることとされている」とする一方、論点において「令和11年3月までの猶予期間」としています。本計画の期間（令和9年度から令和11年度まで）中は従前どおりの実施が可能であるとする説明に沿うのは令和11年度末ですが、資料の中に2通りの記載があるため確定していません［要確認］。</w:t>
      </w:r>
    </w:p>
    <w:p>
      <w:pPr>
        <w:spacing w:after="160" w:line="269" w:lineRule="auto"/>
      </w:pPr>
      <w:r>
        <w:rPr>
          <w:rFonts w:ascii="游ゴシック" w:hAnsi="游ゴシック" w:eastAsia="游ゴシック"/>
          <w:b w:val="0"/>
          <w:sz w:val="17"/>
        </w:rPr>
        <w:t>出典：厚生労働省『令和９年度介護報酬改定に向けた基本的な視点（案）』（第268回社会保障審議会介護給付費分科会 資料1、令和8年9月30日）、第269回同分科会 資料1から資料4（令和8年10月9日）、第270回同分科会 資料1から資料5（令和8年10月14日）</w:t>
      </w:r>
    </w:p>
    <w:p>
      <w:r>
        <w:br w:type="page"/>
      </w:r>
    </w:p>
    <w:p>
      <w:pPr>
        <w:pStyle w:val="Heading1"/>
        <w:spacing w:before="240" w:after="100"/>
      </w:pPr>
      <w:bookmarkStart w:id="111" w:name="_Toc10_011"/>
      <w:r>
        <w:rPr>
          <w:rFonts w:ascii="游ゴシック" w:hAnsi="游ゴシック" w:eastAsia="游ゴシック"/>
          <w:sz w:val="30"/>
        </w:rPr>
        <w:t>第2章　高齢者及び介護保険の状況</w:t>
      </w:r>
      <w:bookmarkEnd w:id="111"/>
    </w:p>
    <w:p>
      <w:pPr>
        <w:pStyle w:val="Heading2"/>
        <w:spacing w:before="180" w:after="100"/>
      </w:pPr>
      <w:bookmarkStart w:id="112" w:name="_Toc10_012"/>
      <w:r>
        <w:rPr>
          <w:rFonts w:ascii="游ゴシック" w:hAnsi="游ゴシック" w:eastAsia="游ゴシック"/>
          <w:sz w:val="25"/>
        </w:rPr>
        <w:t>第1節 高齢者の状況</w:t>
      </w:r>
      <w:bookmarkEnd w:id="112"/>
    </w:p>
    <w:p>
      <w:pPr>
        <w:pStyle w:val="Heading3"/>
        <w:spacing w:before="180" w:after="100"/>
      </w:pPr>
      <w:r>
        <w:rPr>
          <w:rFonts w:ascii="游ゴシック" w:hAnsi="游ゴシック" w:eastAsia="游ゴシック"/>
          <w:sz w:val="22"/>
        </w:rPr>
        <w:t>1 第9期策定時の基礎状況</w:t>
      </w:r>
    </w:p>
    <w:p>
      <w:pPr>
        <w:spacing w:after="80" w:line="269" w:lineRule="auto"/>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line="269" w:lineRule="auto"/>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【第10期の人口の基礎】</w:t>
      </w:r>
    </w:p>
    <w:p>
      <w:pPr>
        <w:spacing w:after="80" w:line="269" w:lineRule="auto"/>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line="269" w:lineRule="auto"/>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line="269" w:lineRule="auto"/>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3町計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rPr>
          <w:cantSplit/>
        </w:trP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rPr>
          <w:cantSplit/>
        </w:trP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rPr>
          <w:cantSplit/>
        </w:trP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rPr>
          <w:cantSplit/>
        </w:trP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line="269" w:lineRule="auto"/>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【第9期計画及び社人研推計との関係】</w:t>
      </w:r>
    </w:p>
    <w:p>
      <w:pPr>
        <w:spacing w:after="80" w:line="269" w:lineRule="auto"/>
      </w:pPr>
      <w:r>
        <w:rPr>
          <w:rFonts w:ascii="游ゴシック" w:hAnsi="游ゴシック" w:eastAsia="游ゴシック"/>
          <w:b w:val="0"/>
          <w:sz w:val="21"/>
        </w:rPr>
        <w:t>第9期計画は住民基本台帳によるコーホート変化率法を用いています。第10期も住民基本台帳を基準とするため、両計画の基準は同じです。一方、地域包括ケア「見える化」システムが初期値として用いる人口は国勢調査及び社人研推計による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w:t>
      </w:r>
    </w:p>
    <w:p>
      <w:pPr>
        <w:spacing w:after="80" w:line="269" w:lineRule="auto"/>
      </w:pPr>
      <w:r>
        <w:rPr>
          <w:rFonts w:ascii="游ゴシック" w:hAnsi="游ゴシック" w:eastAsia="游ゴシック"/>
          <w:b w:val="0"/>
          <w:sz w:val="21"/>
        </w:rPr>
        <w:t>本計画では、全国・北海道・他保険者との比較を行う図表は国勢調査及び社人研推計により、第10期の人口・認定者数・給付費・保険料の推計は上記の総合戦略ベースによります。図表ごとに出典を明記します。</w:t>
      </w:r>
    </w:p>
    <w:p>
      <w:pPr>
        <w:spacing w:after="80" w:line="269" w:lineRule="auto"/>
      </w:pPr>
      <w:r>
        <w:rPr>
          <w:rFonts w:ascii="游ゴシック" w:hAnsi="游ゴシック" w:eastAsia="游ゴシック"/>
          <w:b w:val="0"/>
          <w:sz w:val="20"/>
        </w:rPr>
        <w:t>なお、総合戦略が目標を持つのは令和11年度までです。第2章第8節の中長期推計（令和22年度・令和32年度）は、令和11年度を起点として社人研推計の伸び率で接続しています。第10期の3年間と中長期とでは推計の基礎が異なります。</w:t>
      </w:r>
    </w:p>
    <w:p>
      <w:pPr>
        <w:spacing w:after="160" w:line="269" w:lineRule="auto"/>
      </w:pPr>
      <w:r>
        <w:rPr>
          <w:rFonts w:ascii="游ゴシック" w:hAnsi="游ゴシック" w:eastAsia="游ゴシック"/>
          <w:b w:val="0"/>
          <w:sz w:val="17"/>
        </w:rPr>
        <w:t>美瑛町の第3期総合戦略には人口の目標値が示されていません。また東神楽町は実績が目標を下回る見込みです。このため総人口の目標値を3町一律には用いられません。町別の総人口の置き方については、住民基本台帳の実績趨勢によることとする案を示しています［要協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平成24年</w:t>
            </w:r>
          </w:p>
        </w:tc>
        <w:tc>
          <w:tcPr>
            <w:tcW w:type="dxa" w:w="1361"/>
            <w:shd w:val="clear" w:color="auto" w:fill="DCE6F1"/>
          </w:tcPr>
          <w:p>
            <w:pPr>
              <w:jc w:val="center"/>
            </w:pPr>
            <w:r/>
            <w:r>
              <w:rPr>
                <w:rFonts w:ascii="游ゴシック" w:hAnsi="游ゴシック" w:eastAsia="游ゴシック"/>
                <w:b/>
                <w:sz w:val="17"/>
              </w:rPr>
              <w:t>平成29年</w:t>
            </w:r>
          </w:p>
        </w:tc>
        <w:tc>
          <w:tcPr>
            <w:tcW w:type="dxa" w:w="1361"/>
            <w:shd w:val="clear" w:color="auto" w:fill="DCE6F1"/>
          </w:tcPr>
          <w:p>
            <w:pPr>
              <w:jc w:val="center"/>
            </w:pPr>
            <w:r/>
            <w:r>
              <w:rPr>
                <w:rFonts w:ascii="游ゴシック" w:hAnsi="游ゴシック" w:eastAsia="游ゴシック"/>
                <w:b/>
                <w:sz w:val="17"/>
              </w:rPr>
              <w:t>令和2年</w:t>
            </w:r>
          </w:p>
        </w:tc>
        <w:tc>
          <w:tcPr>
            <w:tcW w:type="dxa" w:w="1361"/>
            <w:shd w:val="clear" w:color="auto" w:fill="DCE6F1"/>
          </w:tcPr>
          <w:p>
            <w:pPr>
              <w:jc w:val="center"/>
            </w:pPr>
            <w:r/>
            <w:r>
              <w:rPr>
                <w:rFonts w:ascii="游ゴシック" w:hAnsi="游ゴシック" w:eastAsia="游ゴシック"/>
                <w:b/>
                <w:sz w:val="17"/>
              </w:rPr>
              <w:t>令和5年</w:t>
            </w:r>
          </w:p>
        </w:tc>
        <w:tc>
          <w:tcPr>
            <w:tcW w:type="dxa" w:w="1474"/>
            <w:shd w:val="clear" w:color="auto" w:fill="DCE6F1"/>
          </w:tcPr>
          <w:p>
            <w:pPr>
              <w:jc w:val="center"/>
            </w:pPr>
            <w:r/>
            <w:r>
              <w:rPr>
                <w:rFonts w:ascii="游ゴシック" w:hAnsi="游ゴシック" w:eastAsia="游ゴシック"/>
                <w:b/>
                <w:sz w:val="17"/>
              </w:rPr>
              <w:t>令和5年の構成比</w:t>
            </w:r>
          </w:p>
        </w:tc>
      </w:tr>
      <w:tr>
        <w:trPr>
          <w:cantSplit/>
        </w:trP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rPr>
          <w:cantSplit/>
        </w:trP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rPr>
          <w:cantSplit/>
        </w:trP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rPr>
          <w:cantSplit/>
        </w:trP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rPr>
          <w:cantSplit/>
        </w:trP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rPr>
          <w:cantSplit/>
        </w:trP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rPr>
          <w:cantSplit/>
        </w:trP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rPr>
          <w:cantSplit/>
        </w:trP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rPr>
          <w:cantSplit/>
        </w:trP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line="269" w:lineRule="auto"/>
        <w:jc w:val="right"/>
      </w:pPr>
      <w:r>
        <w:rPr>
          <w:rFonts w:ascii="游ゴシック" w:hAnsi="游ゴシック" w:eastAsia="游ゴシック"/>
          <w:b w:val="0"/>
          <w:sz w:val="17"/>
        </w:rPr>
        <w:t>資料：住民基本台帳　各年10月1日現在</w:t>
      </w:r>
    </w:p>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13803"/>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2"/>
                    <a:stretch>
                      <a:fillRect/>
                    </a:stretch>
                  </pic:blipFill>
                  <pic:spPr>
                    <a:xfrm>
                      <a:off x="0" y="0"/>
                      <a:ext cx="5976000" cy="3513803"/>
                    </a:xfrm>
                    <a:prstGeom prst="rect"/>
                  </pic:spPr>
                </pic:pic>
              </a:graphicData>
            </a:graphic>
          </wp:inline>
        </w:drawing>
      </w:r>
    </w:p>
    <w:p>
      <w:pPr>
        <w:spacing w:after="160" w:line="269" w:lineRule="auto"/>
        <w:jc w:val="right"/>
      </w:pPr>
      <w:r>
        <w:rPr>
          <w:rFonts w:ascii="游ゴシック" w:hAnsi="游ゴシック" w:eastAsia="游ゴシック"/>
          <w:b w:val="0"/>
          <w:sz w:val="16"/>
        </w:rPr>
        <w:t>資料：住民基本台帳　各年10月1日現在</w:t>
      </w:r>
    </w:p>
    <w:p>
      <w:pPr>
        <w:spacing w:after="80" w:line="269" w:lineRule="auto"/>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976000" cy="4079400"/>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3"/>
                    <a:stretch>
                      <a:fillRect/>
                    </a:stretch>
                  </pic:blipFill>
                  <pic:spPr>
                    <a:xfrm>
                      <a:off x="0" y="0"/>
                      <a:ext cx="5976000" cy="4079400"/>
                    </a:xfrm>
                    <a:prstGeom prst="rect"/>
                  </pic:spPr>
                </pic:pic>
              </a:graphicData>
            </a:graphic>
          </wp:inline>
        </w:drawing>
      </w:r>
    </w:p>
    <w:p>
      <w:pPr>
        <w:spacing w:after="160" w:line="269" w:lineRule="auto"/>
        <w:jc w:val="right"/>
      </w:pPr>
      <w:r>
        <w:rPr>
          <w:rFonts w:ascii="游ゴシック" w:hAnsi="游ゴシック" w:eastAsia="游ゴシック"/>
          <w:b w:val="0"/>
          <w:sz w:val="16"/>
        </w:rPr>
        <w:t>資料：住民基本台帳　各年10月1日現在</w:t>
      </w:r>
    </w:p>
    <w:p>
      <w:pPr>
        <w:spacing w:after="160" w:line="269" w:lineRule="auto"/>
      </w:pPr>
      <w:r>
        <w:rPr>
          <w:rFonts w:ascii="游ゴシック" w:hAnsi="游ゴシック" w:eastAsia="游ゴシック"/>
          <w:b w:val="0"/>
          <w:sz w:val="17"/>
        </w:rPr>
        <w:t>注）上記の町別・年齢4区分別の人口は、住民基本台帳の各年10月1日現在の値であり、令和5年までの提供を受けているものです。令和6年以降の同じ時点の町別の値は提供を受けていないため、年齢階級別の趨勢及び将来推計の基礎には、公表されている各年1月1日現在の値を用いています。両者は時点が9か月異なるため、同じ系列としてつなげていません［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80" w:line="269" w:lineRule="auto"/>
      </w:pPr>
      <w:r>
        <w:rPr>
          <w:rFonts w:ascii="游ゴシック" w:hAnsi="游ゴシック" w:eastAsia="游ゴシック"/>
          <w:b w:val="0"/>
          <w:sz w:val="20"/>
        </w:rPr>
        <w:t>ただし、水準の高さと増加の速さは別です。高齢者単身世帯の平成22年から令和2年までの10年間の増加率は、東神楽町＋73.6％、東川町＋66.1％、美瑛町＋34.5％で、美瑛町が最も緩やかです。美瑛町の水準が高いのは以前からであり、第10期の期間に増加が速く進むのは東神楽町と東川町です。</w:t>
      </w:r>
    </w:p>
    <w:p>
      <w:pPr>
        <w:spacing w:after="80" w:line="269" w:lineRule="auto"/>
      </w:pPr>
      <w:r>
        <w:rPr>
          <w:rFonts w:ascii="游ゴシック" w:hAnsi="游ゴシック" w:eastAsia="游ゴシック"/>
          <w:b w:val="0"/>
          <w:sz w:val="20"/>
        </w:rPr>
        <w:t>一方、一般世帯そのものが減少しているのは美瑛町のみです（4,289世帯→4,205世帯）。このため、一般世帯に占める高齢者単身世帯の割合の上昇は美瑛町が最も速く、分母と分子の双方が影響しています。施策の対象を「独居の実数」で捉えるか「独居の割合」で捉えるかによって、重点を置く町が変わります［要協議］。</w:t>
      </w:r>
    </w:p>
    <w:p>
      <w:pPr>
        <w:spacing w:after="160" w:line="269" w:lineRule="auto"/>
      </w:pPr>
      <w:r>
        <w:rPr>
          <w:rFonts w:ascii="游ゴシック" w:hAnsi="游ゴシック" w:eastAsia="游ゴシック"/>
          <w:b w:val="0"/>
          <w:sz w:val="17"/>
        </w:rPr>
        <w:t>令和7年国勢調査の世帯の家族類型は令和8年11月頃の人口等基本集計で公表される見込みです。本節の高齢者世帯の数値は令和2年国勢調査によるものであり、公表後に更新します。なお令和7年国勢調査 人口速報集計による1世帯当たり人員は、東神楽町2.510人・東川町2.384人・美瑛町2.104人で、美瑛町が最も小さくなっています。</w:t>
      </w:r>
    </w:p>
    <w:p>
      <w:pPr>
        <w:spacing w:after="20" w:line="269" w:lineRule="auto"/>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484"/>
            <w:shd w:val="clear" w:color="auto" w:fill="DCE6F1"/>
          </w:tcPr>
          <w:p>
            <w:pPr>
              <w:spacing w:before="0"/>
              <w:jc w:val="center"/>
            </w:pPr>
            <w:r/>
            <w:r>
              <w:rPr>
                <w:rFonts w:ascii="游ゴシック" w:hAnsi="游ゴシック" w:eastAsia="游ゴシック"/>
                <w:b/>
                <w:sz w:val="17"/>
              </w:rPr>
              <w:t>区分</w:t>
            </w:r>
          </w:p>
        </w:tc>
        <w:tc>
          <w:tcPr>
            <w:tcW w:type="dxa" w:w="1378"/>
            <w:shd w:val="clear" w:color="auto" w:fill="DCE6F1"/>
          </w:tcPr>
          <w:p>
            <w:pPr>
              <w:jc w:val="center"/>
            </w:pPr>
            <w:r/>
            <w:r>
              <w:rPr>
                <w:rFonts w:ascii="游ゴシック" w:hAnsi="游ゴシック" w:eastAsia="游ゴシック"/>
                <w:b/>
                <w:sz w:val="17"/>
              </w:rPr>
            </w:r>
          </w:p>
        </w:tc>
        <w:tc>
          <w:tcPr>
            <w:tcW w:type="dxa" w:w="1166"/>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平成22年度</w:t>
            </w:r>
          </w:p>
        </w:tc>
        <w:tc>
          <w:tcPr>
            <w:tcW w:type="dxa" w:w="1007"/>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平成27年度</w:t>
            </w:r>
          </w:p>
        </w:tc>
        <w:tc>
          <w:tcPr>
            <w:tcW w:type="dxa" w:w="1007"/>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令和2年度</w:t>
            </w:r>
          </w:p>
        </w:tc>
        <w:tc>
          <w:tcPr>
            <w:tcW w:type="dxa" w:w="1007"/>
            <w:shd w:val="clear" w:color="auto" w:fill="DCE6F1"/>
          </w:tcPr>
          <w:p>
            <w:pPr>
              <w:jc w:val="center"/>
            </w:pPr>
            <w:r/>
            <w:r>
              <w:rPr>
                <w:rFonts w:ascii="游ゴシック" w:hAnsi="游ゴシック" w:eastAsia="游ゴシック"/>
                <w:b/>
                <w:sz w:val="17"/>
              </w:rPr>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r>
      <w:tr>
        <w:trPr>
          <w:cantSplit/>
        </w:trPr>
        <w:tc>
          <w:tcPr>
            <w:tcW w:type="dxa" w:w="1484"/>
          </w:tcPr>
          <w:p>
            <w:r/>
            <w:r>
              <w:rPr>
                <w:rFonts w:ascii="游ゴシック" w:hAnsi="游ゴシック" w:eastAsia="游ゴシック"/>
                <w:sz w:val="17"/>
              </w:rPr>
              <w:t>一般世帯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10,536</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11,050</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11,426</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2,965</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3,132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3,391</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4,289</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4,274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4,205</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3,282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3,644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3,830</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t>高齢者同居世帯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4,885</w:t>
            </w:r>
          </w:p>
        </w:tc>
        <w:tc>
          <w:tcPr>
            <w:tcW w:type="dxa" w:w="1007"/>
          </w:tcPr>
          <w:p>
            <w:r/>
            <w:r>
              <w:rPr>
                <w:rFonts w:ascii="游ゴシック" w:hAnsi="游ゴシック" w:eastAsia="游ゴシック"/>
                <w:sz w:val="17"/>
              </w:rPr>
              <w:t>46.4</w:t>
            </w:r>
          </w:p>
        </w:tc>
        <w:tc>
          <w:tcPr>
            <w:tcW w:type="dxa" w:w="901"/>
          </w:tcPr>
          <w:p>
            <w:r/>
            <w:r>
              <w:rPr>
                <w:rFonts w:ascii="游ゴシック" w:hAnsi="游ゴシック" w:eastAsia="游ゴシック"/>
                <w:sz w:val="17"/>
              </w:rPr>
              <w:t>5,318</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5,622</w:t>
            </w:r>
          </w:p>
        </w:tc>
        <w:tc>
          <w:tcPr>
            <w:tcW w:type="dxa" w:w="1007"/>
          </w:tcPr>
          <w:p>
            <w:r/>
            <w:r>
              <w:rPr>
                <w:rFonts w:ascii="游ゴシック" w:hAnsi="游ゴシック" w:eastAsia="游ゴシック"/>
                <w:sz w:val="17"/>
              </w:rPr>
              <w:t>49.2</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1,316</w:t>
            </w:r>
          </w:p>
        </w:tc>
        <w:tc>
          <w:tcPr>
            <w:tcW w:type="dxa" w:w="1007"/>
          </w:tcPr>
          <w:p>
            <w:r/>
            <w:r>
              <w:rPr>
                <w:rFonts w:ascii="游ゴシック" w:hAnsi="游ゴシック" w:eastAsia="游ゴシック"/>
                <w:sz w:val="17"/>
              </w:rPr>
              <w:t>44.4</w:t>
            </w:r>
          </w:p>
        </w:tc>
        <w:tc>
          <w:tcPr>
            <w:tcW w:type="dxa" w:w="901"/>
          </w:tcPr>
          <w:p>
            <w:r/>
            <w:r>
              <w:rPr>
                <w:rFonts w:ascii="游ゴシック" w:hAnsi="游ゴシック" w:eastAsia="游ゴシック"/>
                <w:sz w:val="17"/>
              </w:rPr>
              <w:t>1,506</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1,620</w:t>
            </w:r>
          </w:p>
        </w:tc>
        <w:tc>
          <w:tcPr>
            <w:tcW w:type="dxa" w:w="1007"/>
          </w:tcPr>
          <w:p>
            <w:r/>
            <w:r>
              <w:rPr>
                <w:rFonts w:ascii="游ゴシック" w:hAnsi="游ゴシック" w:eastAsia="游ゴシック"/>
                <w:sz w:val="17"/>
              </w:rPr>
              <w:t>47.8</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2,330</w:t>
            </w:r>
          </w:p>
        </w:tc>
        <w:tc>
          <w:tcPr>
            <w:tcW w:type="dxa" w:w="1007"/>
          </w:tcPr>
          <w:p>
            <w:r/>
            <w:r>
              <w:rPr>
                <w:rFonts w:ascii="游ゴシック" w:hAnsi="游ゴシック" w:eastAsia="游ゴシック"/>
                <w:sz w:val="17"/>
              </w:rPr>
              <w:t>54.3</w:t>
            </w:r>
          </w:p>
        </w:tc>
        <w:tc>
          <w:tcPr>
            <w:tcW w:type="dxa" w:w="901"/>
          </w:tcPr>
          <w:p>
            <w:r/>
            <w:r>
              <w:rPr>
                <w:rFonts w:ascii="游ゴシック" w:hAnsi="游ゴシック" w:eastAsia="游ゴシック"/>
                <w:sz w:val="17"/>
              </w:rPr>
              <w:t>2,341</w:t>
            </w:r>
          </w:p>
        </w:tc>
        <w:tc>
          <w:tcPr>
            <w:tcW w:type="dxa" w:w="1007"/>
          </w:tcPr>
          <w:p>
            <w:r/>
            <w:r>
              <w:rPr>
                <w:rFonts w:ascii="游ゴシック" w:hAnsi="游ゴシック" w:eastAsia="游ゴシック"/>
                <w:sz w:val="17"/>
              </w:rPr>
              <w:t>54.8</w:t>
            </w:r>
          </w:p>
        </w:tc>
        <w:tc>
          <w:tcPr>
            <w:tcW w:type="dxa" w:w="901"/>
          </w:tcPr>
          <w:p>
            <w:r/>
            <w:r>
              <w:rPr>
                <w:rFonts w:ascii="游ゴシック" w:hAnsi="游ゴシック" w:eastAsia="游ゴシック"/>
                <w:sz w:val="17"/>
              </w:rPr>
              <w:t>2,353</w:t>
            </w:r>
          </w:p>
        </w:tc>
        <w:tc>
          <w:tcPr>
            <w:tcW w:type="dxa" w:w="1007"/>
          </w:tcPr>
          <w:p>
            <w:r/>
            <w:r>
              <w:rPr>
                <w:rFonts w:ascii="游ゴシック" w:hAnsi="游ゴシック" w:eastAsia="游ゴシック"/>
                <w:sz w:val="17"/>
              </w:rPr>
              <w:t>56.0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1,239</w:t>
            </w:r>
          </w:p>
        </w:tc>
        <w:tc>
          <w:tcPr>
            <w:tcW w:type="dxa" w:w="1007"/>
          </w:tcPr>
          <w:p>
            <w:r/>
            <w:r>
              <w:rPr>
                <w:rFonts w:ascii="游ゴシック" w:hAnsi="游ゴシック" w:eastAsia="游ゴシック"/>
                <w:sz w:val="17"/>
              </w:rPr>
              <w:t>37.8</w:t>
            </w:r>
          </w:p>
        </w:tc>
        <w:tc>
          <w:tcPr>
            <w:tcW w:type="dxa" w:w="901"/>
          </w:tcPr>
          <w:p>
            <w:r/>
            <w:r>
              <w:rPr>
                <w:rFonts w:ascii="游ゴシック" w:hAnsi="游ゴシック" w:eastAsia="游ゴシック"/>
                <w:sz w:val="17"/>
              </w:rPr>
              <w:t>1,471</w:t>
            </w:r>
          </w:p>
        </w:tc>
        <w:tc>
          <w:tcPr>
            <w:tcW w:type="dxa" w:w="1007"/>
          </w:tcPr>
          <w:p>
            <w:r/>
            <w:r>
              <w:rPr>
                <w:rFonts w:ascii="游ゴシック" w:hAnsi="游ゴシック" w:eastAsia="游ゴシック"/>
                <w:sz w:val="17"/>
              </w:rPr>
              <w:t>40.4</w:t>
            </w:r>
          </w:p>
        </w:tc>
        <w:tc>
          <w:tcPr>
            <w:tcW w:type="dxa" w:w="901"/>
          </w:tcPr>
          <w:p>
            <w:r/>
            <w:r>
              <w:rPr>
                <w:rFonts w:ascii="游ゴシック" w:hAnsi="游ゴシック" w:eastAsia="游ゴシック"/>
                <w:sz w:val="17"/>
              </w:rPr>
              <w:t>1,649</w:t>
            </w:r>
          </w:p>
        </w:tc>
        <w:tc>
          <w:tcPr>
            <w:tcW w:type="dxa" w:w="1007"/>
          </w:tcPr>
          <w:p>
            <w:r/>
            <w:r>
              <w:rPr>
                <w:rFonts w:ascii="游ゴシック" w:hAnsi="游ゴシック" w:eastAsia="游ゴシック"/>
                <w:sz w:val="17"/>
              </w:rPr>
              <w:t>43.1</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高齢者夫婦世帯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1,461</w:t>
            </w:r>
          </w:p>
        </w:tc>
        <w:tc>
          <w:tcPr>
            <w:tcW w:type="dxa" w:w="1007"/>
          </w:tcPr>
          <w:p>
            <w:r/>
            <w:r>
              <w:rPr>
                <w:rFonts w:ascii="游ゴシック" w:hAnsi="游ゴシック" w:eastAsia="游ゴシック"/>
                <w:sz w:val="17"/>
              </w:rPr>
              <w:t>13.7</w:t>
            </w:r>
          </w:p>
        </w:tc>
        <w:tc>
          <w:tcPr>
            <w:tcW w:type="dxa" w:w="901"/>
          </w:tcPr>
          <w:p>
            <w:r/>
            <w:r>
              <w:rPr>
                <w:rFonts w:ascii="游ゴシック" w:hAnsi="游ゴシック" w:eastAsia="游ゴシック"/>
                <w:sz w:val="17"/>
              </w:rPr>
              <w:t>1,697</w:t>
            </w:r>
          </w:p>
        </w:tc>
        <w:tc>
          <w:tcPr>
            <w:tcW w:type="dxa" w:w="1007"/>
          </w:tcPr>
          <w:p>
            <w:r/>
            <w:r>
              <w:rPr>
                <w:rFonts w:ascii="游ゴシック" w:hAnsi="游ゴシック" w:eastAsia="游ゴシック"/>
                <w:sz w:val="17"/>
              </w:rPr>
              <w:t>14.6</w:t>
            </w:r>
          </w:p>
        </w:tc>
        <w:tc>
          <w:tcPr>
            <w:tcW w:type="dxa" w:w="901"/>
          </w:tcPr>
          <w:p>
            <w:r/>
            <w:r>
              <w:rPr>
                <w:rFonts w:ascii="游ゴシック" w:hAnsi="游ゴシック" w:eastAsia="游ゴシック"/>
                <w:sz w:val="17"/>
              </w:rPr>
              <w:t>1,950</w:t>
            </w:r>
          </w:p>
        </w:tc>
        <w:tc>
          <w:tcPr>
            <w:tcW w:type="dxa" w:w="1007"/>
          </w:tcPr>
          <w:p>
            <w:r/>
            <w:r>
              <w:rPr>
                <w:rFonts w:ascii="游ゴシック" w:hAnsi="游ゴシック" w:eastAsia="游ゴシック"/>
                <w:sz w:val="17"/>
              </w:rPr>
              <w:t>17.1</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387</w:t>
            </w:r>
          </w:p>
        </w:tc>
        <w:tc>
          <w:tcPr>
            <w:tcW w:type="dxa" w:w="1007"/>
          </w:tcPr>
          <w:p>
            <w:r/>
            <w:r>
              <w:rPr>
                <w:rFonts w:ascii="游ゴシック" w:hAnsi="游ゴシック" w:eastAsia="游ゴシック"/>
                <w:sz w:val="17"/>
              </w:rPr>
              <w:t>12.9</w:t>
            </w:r>
          </w:p>
        </w:tc>
        <w:tc>
          <w:tcPr>
            <w:tcW w:type="dxa" w:w="901"/>
          </w:tcPr>
          <w:p>
            <w:r/>
            <w:r>
              <w:rPr>
                <w:rFonts w:ascii="游ゴシック" w:hAnsi="游ゴシック" w:eastAsia="游ゴシック"/>
                <w:sz w:val="17"/>
              </w:rPr>
              <w:t>504</w:t>
            </w:r>
          </w:p>
        </w:tc>
        <w:tc>
          <w:tcPr>
            <w:tcW w:type="dxa" w:w="1007"/>
          </w:tcPr>
          <w:p>
            <w:r/>
            <w:r>
              <w:rPr>
                <w:rFonts w:ascii="游ゴシック" w:hAnsi="游ゴシック" w:eastAsia="游ゴシック"/>
                <w:sz w:val="17"/>
              </w:rPr>
              <w:t>16.1</w:t>
            </w:r>
          </w:p>
        </w:tc>
        <w:tc>
          <w:tcPr>
            <w:tcW w:type="dxa" w:w="901"/>
          </w:tcPr>
          <w:p>
            <w:r/>
            <w:r>
              <w:rPr>
                <w:rFonts w:ascii="游ゴシック" w:hAnsi="游ゴシック" w:eastAsia="游ゴシック"/>
                <w:sz w:val="17"/>
              </w:rPr>
              <w:t>596</w:t>
            </w:r>
          </w:p>
        </w:tc>
        <w:tc>
          <w:tcPr>
            <w:tcW w:type="dxa" w:w="1007"/>
          </w:tcPr>
          <w:p>
            <w:r/>
            <w:r>
              <w:rPr>
                <w:rFonts w:ascii="游ゴシック" w:hAnsi="游ゴシック" w:eastAsia="游ゴシック"/>
                <w:sz w:val="17"/>
              </w:rPr>
              <w:t>17.6</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667</w:t>
            </w:r>
          </w:p>
        </w:tc>
        <w:tc>
          <w:tcPr>
            <w:tcW w:type="dxa" w:w="1007"/>
          </w:tcPr>
          <w:p>
            <w:r/>
            <w:r>
              <w:rPr>
                <w:rFonts w:ascii="游ゴシック" w:hAnsi="游ゴシック" w:eastAsia="游ゴシック"/>
                <w:sz w:val="17"/>
              </w:rPr>
              <w:t>15.4</w:t>
            </w:r>
          </w:p>
        </w:tc>
        <w:tc>
          <w:tcPr>
            <w:tcW w:type="dxa" w:w="901"/>
          </w:tcPr>
          <w:p>
            <w:r/>
            <w:r>
              <w:rPr>
                <w:rFonts w:ascii="游ゴシック" w:hAnsi="游ゴシック" w:eastAsia="游ゴシック"/>
                <w:sz w:val="17"/>
              </w:rPr>
              <w:t>739</w:t>
            </w:r>
          </w:p>
        </w:tc>
        <w:tc>
          <w:tcPr>
            <w:tcW w:type="dxa" w:w="1007"/>
          </w:tcPr>
          <w:p>
            <w:r/>
            <w:r>
              <w:rPr>
                <w:rFonts w:ascii="游ゴシック" w:hAnsi="游ゴシック" w:eastAsia="游ゴシック"/>
                <w:sz w:val="17"/>
              </w:rPr>
              <w:t>17.3</w:t>
            </w:r>
          </w:p>
        </w:tc>
        <w:tc>
          <w:tcPr>
            <w:tcW w:type="dxa" w:w="901"/>
          </w:tcPr>
          <w:p>
            <w:r/>
            <w:r>
              <w:rPr>
                <w:rFonts w:ascii="游ゴシック" w:hAnsi="游ゴシック" w:eastAsia="游ゴシック"/>
                <w:sz w:val="17"/>
              </w:rPr>
              <w:t>743</w:t>
            </w:r>
          </w:p>
        </w:tc>
        <w:tc>
          <w:tcPr>
            <w:tcW w:type="dxa" w:w="1007"/>
          </w:tcPr>
          <w:p>
            <w:r/>
            <w:r>
              <w:rPr>
                <w:rFonts w:ascii="游ゴシック" w:hAnsi="游ゴシック" w:eastAsia="游ゴシック"/>
                <w:sz w:val="17"/>
              </w:rPr>
              <w:t>17.7</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407</w:t>
            </w:r>
          </w:p>
        </w:tc>
        <w:tc>
          <w:tcPr>
            <w:tcW w:type="dxa" w:w="1007"/>
          </w:tcPr>
          <w:p>
            <w:r/>
            <w:r>
              <w:rPr>
                <w:rFonts w:ascii="游ゴシック" w:hAnsi="游ゴシック" w:eastAsia="游ゴシック"/>
                <w:sz w:val="17"/>
              </w:rPr>
              <w:t>12.3</w:t>
            </w:r>
          </w:p>
        </w:tc>
        <w:tc>
          <w:tcPr>
            <w:tcW w:type="dxa" w:w="901"/>
          </w:tcPr>
          <w:p>
            <w:r/>
            <w:r>
              <w:rPr>
                <w:rFonts w:ascii="游ゴシック" w:hAnsi="游ゴシック" w:eastAsia="游ゴシック"/>
                <w:sz w:val="17"/>
              </w:rPr>
              <w:t>454</w:t>
            </w:r>
          </w:p>
        </w:tc>
        <w:tc>
          <w:tcPr>
            <w:tcW w:type="dxa" w:w="1007"/>
          </w:tcPr>
          <w:p>
            <w:r/>
            <w:r>
              <w:rPr>
                <w:rFonts w:ascii="游ゴシック" w:hAnsi="游ゴシック" w:eastAsia="游ゴシック"/>
                <w:sz w:val="17"/>
              </w:rPr>
              <w:t>12.5</w:t>
            </w:r>
          </w:p>
        </w:tc>
        <w:tc>
          <w:tcPr>
            <w:tcW w:type="dxa" w:w="901"/>
          </w:tcPr>
          <w:p>
            <w:r/>
            <w:r>
              <w:rPr>
                <w:rFonts w:ascii="游ゴシック" w:hAnsi="游ゴシック" w:eastAsia="游ゴシック"/>
                <w:sz w:val="17"/>
              </w:rPr>
              <w:t>611</w:t>
            </w:r>
          </w:p>
        </w:tc>
        <w:tc>
          <w:tcPr>
            <w:tcW w:type="dxa" w:w="1007"/>
          </w:tcPr>
          <w:p>
            <w:r/>
            <w:r>
              <w:rPr>
                <w:rFonts w:ascii="游ゴシック" w:hAnsi="游ゴシック" w:eastAsia="游ゴシック"/>
                <w:sz w:val="17"/>
              </w:rPr>
              <w:t>16.0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高齢者単身世帯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1,076</w:t>
            </w:r>
          </w:p>
        </w:tc>
        <w:tc>
          <w:tcPr>
            <w:tcW w:type="dxa" w:w="1007"/>
          </w:tcPr>
          <w:p>
            <w:r/>
            <w:r>
              <w:rPr>
                <w:rFonts w:ascii="游ゴシック" w:hAnsi="游ゴシック" w:eastAsia="游ゴシック"/>
                <w:sz w:val="17"/>
              </w:rPr>
              <w:t>10.2</w:t>
            </w:r>
          </w:p>
        </w:tc>
        <w:tc>
          <w:tcPr>
            <w:tcW w:type="dxa" w:w="901"/>
          </w:tcPr>
          <w:p>
            <w:r/>
            <w:r>
              <w:rPr>
                <w:rFonts w:ascii="游ゴシック" w:hAnsi="游ゴシック" w:eastAsia="游ゴシック"/>
                <w:sz w:val="17"/>
              </w:rPr>
              <w:t>1,331</w:t>
            </w:r>
          </w:p>
        </w:tc>
        <w:tc>
          <w:tcPr>
            <w:tcW w:type="dxa" w:w="1007"/>
          </w:tcPr>
          <w:p>
            <w:r/>
            <w:r>
              <w:rPr>
                <w:rFonts w:ascii="游ゴシック" w:hAnsi="游ゴシック" w:eastAsia="游ゴシック"/>
                <w:sz w:val="17"/>
              </w:rPr>
              <w:t>12.0</w:t>
            </w:r>
          </w:p>
        </w:tc>
        <w:tc>
          <w:tcPr>
            <w:tcW w:type="dxa" w:w="901"/>
          </w:tcPr>
          <w:p>
            <w:r/>
            <w:r>
              <w:rPr>
                <w:rFonts w:ascii="游ゴシック" w:hAnsi="游ゴシック" w:eastAsia="游ゴシック"/>
                <w:sz w:val="17"/>
              </w:rPr>
              <w:t>1,638</w:t>
            </w:r>
          </w:p>
        </w:tc>
        <w:tc>
          <w:tcPr>
            <w:tcW w:type="dxa" w:w="1007"/>
          </w:tcPr>
          <w:p>
            <w:r/>
            <w:r>
              <w:rPr>
                <w:rFonts w:ascii="游ゴシック" w:hAnsi="游ゴシック" w:eastAsia="游ゴシック"/>
                <w:sz w:val="17"/>
              </w:rPr>
              <w:t>14.3</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295</w:t>
            </w:r>
          </w:p>
        </w:tc>
        <w:tc>
          <w:tcPr>
            <w:tcW w:type="dxa" w:w="1007"/>
          </w:tcPr>
          <w:p>
            <w:r/>
            <w:r>
              <w:rPr>
                <w:rFonts w:ascii="游ゴシック" w:hAnsi="游ゴシック" w:eastAsia="游ゴシック"/>
                <w:sz w:val="17"/>
              </w:rPr>
              <w:t>9.9</w:t>
            </w:r>
          </w:p>
        </w:tc>
        <w:tc>
          <w:tcPr>
            <w:tcW w:type="dxa" w:w="901"/>
          </w:tcPr>
          <w:p>
            <w:r/>
            <w:r>
              <w:rPr>
                <w:rFonts w:ascii="游ゴシック" w:hAnsi="游ゴシック" w:eastAsia="游ゴシック"/>
                <w:sz w:val="17"/>
              </w:rPr>
              <w:t>363</w:t>
            </w:r>
          </w:p>
        </w:tc>
        <w:tc>
          <w:tcPr>
            <w:tcW w:type="dxa" w:w="1007"/>
          </w:tcPr>
          <w:p>
            <w:r/>
            <w:r>
              <w:rPr>
                <w:rFonts w:ascii="游ゴシック" w:hAnsi="游ゴシック" w:eastAsia="游ゴシック"/>
                <w:sz w:val="17"/>
              </w:rPr>
              <w:t>11.6</w:t>
            </w:r>
          </w:p>
        </w:tc>
        <w:tc>
          <w:tcPr>
            <w:tcW w:type="dxa" w:w="901"/>
          </w:tcPr>
          <w:p>
            <w:r/>
            <w:r>
              <w:rPr>
                <w:rFonts w:ascii="游ゴシック" w:hAnsi="游ゴシック" w:eastAsia="游ゴシック"/>
                <w:sz w:val="17"/>
              </w:rPr>
              <w:t>490</w:t>
            </w:r>
          </w:p>
        </w:tc>
        <w:tc>
          <w:tcPr>
            <w:tcW w:type="dxa" w:w="1007"/>
          </w:tcPr>
          <w:p>
            <w:r/>
            <w:r>
              <w:rPr>
                <w:rFonts w:ascii="游ゴシック" w:hAnsi="游ゴシック" w:eastAsia="游ゴシック"/>
                <w:sz w:val="17"/>
              </w:rPr>
              <w:t>14.5</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531</w:t>
            </w:r>
          </w:p>
        </w:tc>
        <w:tc>
          <w:tcPr>
            <w:tcW w:type="dxa" w:w="1007"/>
          </w:tcPr>
          <w:p>
            <w:r/>
            <w:r>
              <w:rPr>
                <w:rFonts w:ascii="游ゴシック" w:hAnsi="游ゴシック" w:eastAsia="游ゴシック"/>
                <w:sz w:val="17"/>
              </w:rPr>
              <w:t>12.4</w:t>
            </w:r>
          </w:p>
        </w:tc>
        <w:tc>
          <w:tcPr>
            <w:tcW w:type="dxa" w:w="901"/>
          </w:tcPr>
          <w:p>
            <w:r/>
            <w:r>
              <w:rPr>
                <w:rFonts w:ascii="游ゴシック" w:hAnsi="游ゴシック" w:eastAsia="游ゴシック"/>
                <w:sz w:val="17"/>
              </w:rPr>
              <w:t>653</w:t>
            </w:r>
          </w:p>
        </w:tc>
        <w:tc>
          <w:tcPr>
            <w:tcW w:type="dxa" w:w="1007"/>
          </w:tcPr>
          <w:p>
            <w:r/>
            <w:r>
              <w:rPr>
                <w:rFonts w:ascii="游ゴシック" w:hAnsi="游ゴシック" w:eastAsia="游ゴシック"/>
                <w:sz w:val="17"/>
              </w:rPr>
              <w:t>15.3</w:t>
            </w:r>
          </w:p>
        </w:tc>
        <w:tc>
          <w:tcPr>
            <w:tcW w:type="dxa" w:w="901"/>
          </w:tcPr>
          <w:p>
            <w:r/>
            <w:r>
              <w:rPr>
                <w:rFonts w:ascii="游ゴシック" w:hAnsi="游ゴシック" w:eastAsia="游ゴシック"/>
                <w:sz w:val="17"/>
              </w:rPr>
              <w:t>714</w:t>
            </w:r>
          </w:p>
        </w:tc>
        <w:tc>
          <w:tcPr>
            <w:tcW w:type="dxa" w:w="1007"/>
          </w:tcPr>
          <w:p>
            <w:r/>
            <w:r>
              <w:rPr>
                <w:rFonts w:ascii="游ゴシック" w:hAnsi="游ゴシック" w:eastAsia="游ゴシック"/>
                <w:sz w:val="17"/>
              </w:rPr>
              <w:t>17.0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250</w:t>
            </w:r>
          </w:p>
        </w:tc>
        <w:tc>
          <w:tcPr>
            <w:tcW w:type="dxa" w:w="1007"/>
          </w:tcPr>
          <w:p>
            <w:r/>
            <w:r>
              <w:rPr>
                <w:rFonts w:ascii="游ゴシック" w:hAnsi="游ゴシック" w:eastAsia="游ゴシック"/>
                <w:sz w:val="17"/>
              </w:rPr>
              <w:t>7.6</w:t>
            </w:r>
          </w:p>
        </w:tc>
        <w:tc>
          <w:tcPr>
            <w:tcW w:type="dxa" w:w="901"/>
          </w:tcPr>
          <w:p>
            <w:r/>
            <w:r>
              <w:rPr>
                <w:rFonts w:ascii="游ゴシック" w:hAnsi="游ゴシック" w:eastAsia="游ゴシック"/>
                <w:sz w:val="17"/>
              </w:rPr>
              <w:t>315</w:t>
            </w:r>
          </w:p>
        </w:tc>
        <w:tc>
          <w:tcPr>
            <w:tcW w:type="dxa" w:w="1007"/>
          </w:tcPr>
          <w:p>
            <w:r/>
            <w:r>
              <w:rPr>
                <w:rFonts w:ascii="游ゴシック" w:hAnsi="游ゴシック" w:eastAsia="游ゴシック"/>
                <w:sz w:val="17"/>
              </w:rPr>
              <w:t>8.6</w:t>
            </w:r>
          </w:p>
        </w:tc>
        <w:tc>
          <w:tcPr>
            <w:tcW w:type="dxa" w:w="901"/>
          </w:tcPr>
          <w:p>
            <w:r/>
            <w:r>
              <w:rPr>
                <w:rFonts w:ascii="游ゴシック" w:hAnsi="游ゴシック" w:eastAsia="游ゴシック"/>
                <w:sz w:val="17"/>
              </w:rPr>
              <w:t>434</w:t>
            </w:r>
          </w:p>
        </w:tc>
        <w:tc>
          <w:tcPr>
            <w:tcW w:type="dxa" w:w="1007"/>
          </w:tcPr>
          <w:p>
            <w:r/>
            <w:r>
              <w:rPr>
                <w:rFonts w:ascii="游ゴシック" w:hAnsi="游ゴシック" w:eastAsia="游ゴシック"/>
                <w:sz w:val="17"/>
              </w:rPr>
              <w:t>11.3</w:t>
            </w:r>
          </w:p>
        </w:tc>
      </w:tr>
    </w:tbl>
    <w:p>
      <w:pPr>
        <w:spacing w:after="160" w:line="269" w:lineRule="auto"/>
        <w:jc w:val="right"/>
      </w:pPr>
      <w:r>
        <w:rPr>
          <w:rFonts w:ascii="游ゴシック" w:hAnsi="游ゴシック" w:eastAsia="游ゴシック"/>
          <w:b w:val="0"/>
          <w:sz w:val="17"/>
        </w:rPr>
        <w:t>資料：国勢調査</w:t>
      </w:r>
    </w:p>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74056"/>
            <wp:docPr id="5" name="Picture 5"/>
            <wp:cNvGraphicFramePr>
              <a:graphicFrameLocks noChangeAspect="1"/>
            </wp:cNvGraphicFramePr>
            <a:graphic>
              <a:graphicData uri="http://schemas.openxmlformats.org/drawingml/2006/picture">
                <pic:pic>
                  <pic:nvPicPr>
                    <pic:cNvPr id="0" name="fig03_setai.png"/>
                    <pic:cNvPicPr/>
                  </pic:nvPicPr>
                  <pic:blipFill>
                    <a:blip r:embed="rId14"/>
                    <a:stretch>
                      <a:fillRect/>
                    </a:stretch>
                  </pic:blipFill>
                  <pic:spPr>
                    <a:xfrm>
                      <a:off x="0" y="0"/>
                      <a:ext cx="5976000" cy="3574056"/>
                    </a:xfrm>
                    <a:prstGeom prst="rect"/>
                  </pic:spPr>
                </pic:pic>
              </a:graphicData>
            </a:graphic>
          </wp:inline>
        </w:drawing>
      </w:r>
    </w:p>
    <w:p>
      <w:pPr>
        <w:spacing w:after="160" w:line="269" w:lineRule="auto"/>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指標</w:t>
            </w:r>
          </w:p>
        </w:tc>
        <w:tc>
          <w:tcPr>
            <w:tcW w:type="dxa" w:w="2410"/>
            <w:shd w:val="clear" w:color="auto" w:fill="DCE6F1"/>
          </w:tcPr>
          <w:p>
            <w:pPr>
              <w:jc w:val="center"/>
            </w:pPr>
            <w:r/>
            <w:r>
              <w:rPr>
                <w:rFonts w:ascii="游ゴシック" w:hAnsi="游ゴシック" w:eastAsia="游ゴシック"/>
                <w:b/>
                <w:sz w:val="17"/>
              </w:rPr>
              <w:t>第9期策定時</w:t>
            </w:r>
          </w:p>
        </w:tc>
        <w:tc>
          <w:tcPr>
            <w:tcW w:type="dxa" w:w="2520"/>
            <w:shd w:val="clear" w:color="auto" w:fill="DCE6F1"/>
          </w:tcPr>
          <w:p>
            <w:pPr>
              <w:jc w:val="center"/>
            </w:pPr>
            <w:r/>
            <w:r>
              <w:rPr>
                <w:rFonts w:ascii="游ゴシック" w:hAnsi="游ゴシック" w:eastAsia="游ゴシック"/>
                <w:b/>
                <w:sz w:val="17"/>
              </w:rPr>
              <w:t>第10期更新項目</w:t>
            </w:r>
          </w:p>
        </w:tc>
        <w:tc>
          <w:tcPr>
            <w:tcW w:type="dxa" w:w="2958"/>
            <w:shd w:val="clear" w:color="auto" w:fill="DCE6F1"/>
          </w:tcPr>
          <w:p>
            <w:pPr>
              <w:jc w:val="center"/>
            </w:pPr>
            <w:r/>
            <w:r>
              <w:rPr>
                <w:rFonts w:ascii="游ゴシック" w:hAnsi="游ゴシック" w:eastAsia="游ゴシック"/>
                <w:b/>
                <w:sz w:val="17"/>
              </w:rPr>
              <w:t>評価の視点</w:t>
            </w:r>
          </w:p>
        </w:tc>
      </w:tr>
      <w:tr>
        <w:trPr>
          <w:cantSplit/>
        </w:trPr>
        <w:tc>
          <w:tcPr>
            <w:tcW w:type="dxa" w:w="1863"/>
          </w:tcPr>
          <w:p>
            <w:r/>
            <w:r>
              <w:rPr>
                <w:rFonts w:ascii="游ゴシック" w:hAnsi="游ゴシック" w:eastAsia="游ゴシック"/>
                <w:sz w:val="17"/>
              </w:rPr>
              <w:t>総人口・高齢者人口</w:t>
            </w:r>
          </w:p>
        </w:tc>
        <w:tc>
          <w:tcPr>
            <w:tcW w:type="dxa" w:w="2410"/>
          </w:tcPr>
          <w:p>
            <w:r/>
            <w:r>
              <w:rPr>
                <w:rFonts w:ascii="游ゴシック" w:hAnsi="游ゴシック" w:eastAsia="游ゴシック"/>
                <w:sz w:val="17"/>
              </w:rPr>
              <w:t>R5 27,887人／9,191人</w:t>
            </w:r>
          </w:p>
        </w:tc>
        <w:tc>
          <w:tcPr>
            <w:tcW w:type="dxa" w:w="2520"/>
          </w:tcPr>
          <w:p>
            <w:r/>
            <w:r>
              <w:rPr>
                <w:rFonts w:ascii="游ゴシック" w:hAnsi="游ゴシック" w:eastAsia="游ゴシック"/>
                <w:sz w:val="17"/>
              </w:rPr>
              <w:t>R6～R8実績、R9～R22推計</w:t>
            </w:r>
          </w:p>
        </w:tc>
        <w:tc>
          <w:tcPr>
            <w:tcW w:type="dxa" w:w="2958"/>
          </w:tcPr>
          <w:p>
            <w:r/>
            <w:r>
              <w:rPr>
                <w:rFonts w:ascii="游ゴシック" w:hAnsi="游ゴシック" w:eastAsia="游ゴシック"/>
                <w:sz w:val="17"/>
              </w:rPr>
              <w:t>人口減少と85歳以上人口</w:t>
            </w:r>
          </w:p>
        </w:tc>
      </w:tr>
      <w:tr>
        <w:trPr>
          <w:cantSplit/>
        </w:trPr>
        <w:tc>
          <w:tcPr>
            <w:tcW w:type="dxa" w:w="1863"/>
          </w:tcPr>
          <w:p>
            <w:r/>
            <w:r>
              <w:rPr>
                <w:rFonts w:ascii="游ゴシック" w:hAnsi="游ゴシック" w:eastAsia="游ゴシック"/>
                <w:sz w:val="17"/>
              </w:rPr>
              <w:t>高齢化率</w:t>
            </w:r>
          </w:p>
        </w:tc>
        <w:tc>
          <w:tcPr>
            <w:tcW w:type="dxa" w:w="2410"/>
          </w:tcPr>
          <w:p>
            <w:r/>
            <w:r>
              <w:rPr>
                <w:rFonts w:ascii="游ゴシック" w:hAnsi="游ゴシック" w:eastAsia="游ゴシック"/>
                <w:sz w:val="17"/>
              </w:rPr>
              <w:t>圏域33.0％</w:t>
            </w:r>
          </w:p>
        </w:tc>
        <w:tc>
          <w:tcPr>
            <w:tcW w:type="dxa" w:w="2520"/>
          </w:tcPr>
          <w:p>
            <w:r/>
            <w:r>
              <w:rPr>
                <w:rFonts w:ascii="游ゴシック" w:hAnsi="游ゴシック" w:eastAsia="游ゴシック"/>
                <w:sz w:val="17"/>
              </w:rPr>
              <w:t>圏域・3町・6圏域</w:t>
            </w:r>
          </w:p>
        </w:tc>
        <w:tc>
          <w:tcPr>
            <w:tcW w:type="dxa" w:w="2958"/>
          </w:tcPr>
          <w:p>
            <w:r/>
            <w:r>
              <w:rPr>
                <w:rFonts w:ascii="游ゴシック" w:hAnsi="游ゴシック" w:eastAsia="游ゴシック"/>
                <w:sz w:val="17"/>
              </w:rPr>
              <w:t>町・地区差</w:t>
            </w:r>
          </w:p>
        </w:tc>
      </w:tr>
      <w:tr>
        <w:trPr>
          <w:cantSplit/>
        </w:trPr>
        <w:tc>
          <w:tcPr>
            <w:tcW w:type="dxa" w:w="1863"/>
          </w:tcPr>
          <w:p>
            <w:r/>
            <w:r>
              <w:rPr>
                <w:rFonts w:ascii="游ゴシック" w:hAnsi="游ゴシック" w:eastAsia="游ゴシック"/>
                <w:sz w:val="17"/>
              </w:rPr>
              <w:t>認定者・認定率</w:t>
            </w:r>
          </w:p>
        </w:tc>
        <w:tc>
          <w:tcPr>
            <w:tcW w:type="dxa" w:w="2410"/>
          </w:tcPr>
          <w:p>
            <w:r/>
            <w:r>
              <w:rPr>
                <w:rFonts w:ascii="游ゴシック" w:hAnsi="游ゴシック" w:eastAsia="游ゴシック"/>
                <w:sz w:val="17"/>
              </w:rPr>
              <w:t>R5認定率20.8％（第9期KPI基準）</w:t>
            </w:r>
          </w:p>
        </w:tc>
        <w:tc>
          <w:tcPr>
            <w:tcW w:type="dxa" w:w="2520"/>
          </w:tcPr>
          <w:p>
            <w:r/>
            <w:r>
              <w:rPr>
                <w:rFonts w:ascii="游ゴシック" w:hAnsi="游ゴシック" w:eastAsia="游ゴシック"/>
                <w:sz w:val="17"/>
              </w:rPr>
              <w:t>年齢調整・年齢階級別・重度別</w:t>
            </w:r>
          </w:p>
        </w:tc>
        <w:tc>
          <w:tcPr>
            <w:tcW w:type="dxa" w:w="2958"/>
          </w:tcPr>
          <w:p>
            <w:r/>
            <w:r>
              <w:rPr>
                <w:rFonts w:ascii="游ゴシック" w:hAnsi="游ゴシック" w:eastAsia="游ゴシック"/>
                <w:sz w:val="17"/>
              </w:rPr>
              <w:t>適正な認定と重度化</w:t>
            </w:r>
          </w:p>
        </w:tc>
      </w:tr>
      <w:tr>
        <w:trPr>
          <w:cantSplit/>
        </w:trPr>
        <w:tc>
          <w:tcPr>
            <w:tcW w:type="dxa" w:w="1863"/>
          </w:tcPr>
          <w:p>
            <w:r/>
            <w:r>
              <w:rPr>
                <w:rFonts w:ascii="游ゴシック" w:hAnsi="游ゴシック" w:eastAsia="游ゴシック"/>
                <w:sz w:val="17"/>
              </w:rPr>
              <w:t>高齢者世帯</w:t>
            </w:r>
          </w:p>
        </w:tc>
        <w:tc>
          <w:tcPr>
            <w:tcW w:type="dxa" w:w="2410"/>
          </w:tcPr>
          <w:p>
            <w:r/>
            <w:r>
              <w:rPr>
                <w:rFonts w:ascii="游ゴシック" w:hAnsi="游ゴシック" w:eastAsia="游ゴシック"/>
                <w:sz w:val="17"/>
              </w:rPr>
              <w:t>独居・高齢者のみ世帯が増加</w:t>
            </w:r>
          </w:p>
        </w:tc>
        <w:tc>
          <w:tcPr>
            <w:tcW w:type="dxa" w:w="2520"/>
          </w:tcPr>
          <w:p>
            <w:r/>
            <w:r>
              <w:rPr>
                <w:rFonts w:ascii="游ゴシック" w:hAnsi="游ゴシック" w:eastAsia="游ゴシック"/>
                <w:sz w:val="17"/>
              </w:rPr>
              <w:t>最新国勢調査・住基等</w:t>
            </w:r>
          </w:p>
        </w:tc>
        <w:tc>
          <w:tcPr>
            <w:tcW w:type="dxa" w:w="2958"/>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30"/>
            <w:shd w:val="clear" w:color="auto" w:fill="DCE6F1"/>
          </w:tcPr>
          <w:p>
            <w:pPr>
              <w:spacing w:before="0"/>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直近値</w:t>
            </w:r>
          </w:p>
        </w:tc>
        <w:tc>
          <w:tcPr>
            <w:tcW w:type="dxa" w:w="1863"/>
            <w:shd w:val="clear" w:color="auto" w:fill="DCE6F1"/>
          </w:tcPr>
          <w:p>
            <w:pPr>
              <w:jc w:val="center"/>
            </w:pPr>
            <w:r/>
            <w:r>
              <w:rPr>
                <w:rFonts w:ascii="游ゴシック" w:hAnsi="游ゴシック" w:eastAsia="游ゴシック"/>
                <w:b/>
                <w:sz w:val="17"/>
              </w:rPr>
              <w:t>データ時点</w:t>
            </w:r>
          </w:p>
        </w:tc>
        <w:tc>
          <w:tcPr>
            <w:tcW w:type="dxa" w:w="3177"/>
            <w:shd w:val="clear" w:color="auto" w:fill="DCE6F1"/>
          </w:tcPr>
          <w:p>
            <w:pPr>
              <w:jc w:val="center"/>
            </w:pPr>
            <w:r/>
            <w:r>
              <w:rPr>
                <w:rFonts w:ascii="游ゴシック" w:hAnsi="游ゴシック" w:eastAsia="游ゴシック"/>
                <w:b/>
                <w:sz w:val="17"/>
              </w:rPr>
              <w:t>計画評価上の読み方</w:t>
            </w:r>
          </w:p>
        </w:tc>
      </w:tr>
      <w:tr>
        <w:trPr>
          <w:cantSplit/>
        </w:trP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rPr>
          <w:cantSplit/>
        </w:trP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rPr>
          <w:cantSplit/>
        </w:trP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rPr>
          <w:cantSplit/>
        </w:trP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rPr>
          <w:cantSplit/>
        </w:trP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rPr>
          <w:cantSplit/>
        </w:trP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rPr>
          <w:cantSplit/>
        </w:trP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rPr>
          <w:cantSplit/>
        </w:trP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rPr>
          <w:cantSplit/>
        </w:trP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line="269" w:lineRule="auto"/>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line="269" w:lineRule="auto"/>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line="269" w:lineRule="auto"/>
      </w:pPr>
      <w:r>
        <w:rPr>
          <w:rFonts w:ascii="游ゴシック" w:hAnsi="游ゴシック" w:eastAsia="游ゴシック"/>
          <w:b/>
          <w:sz w:val="18"/>
        </w:rPr>
        <w:t>【図4　要介護（要支援）認定者数の推移】　別冊の図表集「04_認定者数推移」を参照</w:t>
      </w:r>
    </w:p>
    <w:p>
      <w:pPr>
        <w:spacing w:after="120" w:line="269" w:lineRule="auto"/>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364"/>
            <w:shd w:val="clear" w:color="auto" w:fill="DCE6F1"/>
          </w:tcPr>
          <w:p>
            <w:pPr>
              <w:spacing w:before="0"/>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基準時点</w:t>
            </w:r>
          </w:p>
        </w:tc>
        <w:tc>
          <w:tcPr>
            <w:tcW w:type="dxa" w:w="837"/>
            <w:shd w:val="clear" w:color="auto" w:fill="DCE6F1"/>
          </w:tcPr>
          <w:p>
            <w:pPr>
              <w:jc w:val="center"/>
            </w:pPr>
            <w:r/>
            <w:r>
              <w:rPr>
                <w:rFonts w:ascii="游ゴシック" w:hAnsi="游ゴシック" w:eastAsia="游ゴシック"/>
                <w:b/>
                <w:sz w:val="17"/>
              </w:rPr>
              <w:t>大雪</w:t>
            </w:r>
          </w:p>
        </w:tc>
        <w:tc>
          <w:tcPr>
            <w:tcW w:type="dxa" w:w="837"/>
            <w:shd w:val="clear" w:color="auto" w:fill="DCE6F1"/>
          </w:tcPr>
          <w:p>
            <w:pPr>
              <w:jc w:val="center"/>
            </w:pPr>
            <w:r/>
            <w:r>
              <w:rPr>
                <w:rFonts w:ascii="游ゴシック" w:hAnsi="游ゴシック" w:eastAsia="游ゴシック"/>
                <w:b/>
                <w:sz w:val="17"/>
              </w:rPr>
              <w:t>北海道</w:t>
            </w:r>
          </w:p>
        </w:tc>
        <w:tc>
          <w:tcPr>
            <w:tcW w:type="dxa" w:w="837"/>
            <w:shd w:val="clear" w:color="auto" w:fill="DCE6F1"/>
          </w:tcPr>
          <w:p>
            <w:pPr>
              <w:jc w:val="center"/>
            </w:pPr>
            <w:r/>
            <w:r>
              <w:rPr>
                <w:rFonts w:ascii="游ゴシック" w:hAnsi="游ゴシック" w:eastAsia="游ゴシック"/>
                <w:b/>
                <w:sz w:val="17"/>
              </w:rPr>
              <w:t>全国</w:t>
            </w:r>
          </w:p>
        </w:tc>
        <w:tc>
          <w:tcPr>
            <w:tcW w:type="dxa" w:w="1477"/>
            <w:shd w:val="clear" w:color="auto" w:fill="DCE6F1"/>
          </w:tcPr>
          <w:p>
            <w:pPr>
              <w:jc w:val="center"/>
            </w:pPr>
            <w:r/>
            <w:r>
              <w:rPr>
                <w:rFonts w:ascii="游ゴシック" w:hAnsi="游ゴシック" w:eastAsia="游ゴシック"/>
                <w:b/>
                <w:sz w:val="17"/>
              </w:rPr>
              <w:t>方向</w:t>
            </w:r>
          </w:p>
        </w:tc>
        <w:tc>
          <w:tcPr>
            <w:tcW w:type="dxa" w:w="2315"/>
            <w:shd w:val="clear" w:color="auto" w:fill="DCE6F1"/>
          </w:tcPr>
          <w:p>
            <w:pPr>
              <w:jc w:val="center"/>
            </w:pPr>
            <w:r/>
            <w:r>
              <w:rPr>
                <w:rFonts w:ascii="游ゴシック" w:hAnsi="游ゴシック" w:eastAsia="游ゴシック"/>
                <w:b/>
                <w:sz w:val="17"/>
              </w:rPr>
              <w:t>読み方</w:t>
            </w:r>
          </w:p>
        </w:tc>
      </w:tr>
      <w:tr>
        <w:trPr>
          <w:cantSplit/>
        </w:trP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rPr>
          <w:cantSplit/>
        </w:trP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rPr>
          <w:cantSplit/>
        </w:trP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rPr>
          <w:cantSplit/>
        </w:trP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line="269" w:lineRule="auto"/>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【認知症高齢者の状況】</w:t>
      </w:r>
    </w:p>
    <w:p>
      <w:pPr>
        <w:spacing w:after="80" w:line="269" w:lineRule="auto"/>
      </w:pPr>
      <w:r>
        <w:rPr>
          <w:rFonts w:ascii="游ゴシック" w:hAnsi="游ゴシック" w:eastAsia="游ゴシック"/>
          <w:b w:val="0"/>
          <w:sz w:val="20"/>
        </w:rPr>
        <w:t>認定調査における認知症高齢者の日常生活自立度Ⅱ以上の方は、平成24年10月末1,190人から令和6年10月末1,498人へ308人（25.9％）増えています。一方、認定者に占める割合は65.5％から60.3％へ5.2ポイント低下しています。割合が下がっているのは軽度の認定者が増えているためであり、認知症の方の実数は増え続けています。施策の対象となるのは実数であるため、割合の低下をもって需要が減っているとは読みません。</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時点</w:t>
            </w:r>
          </w:p>
        </w:tc>
        <w:tc>
          <w:tcPr>
            <w:tcW w:type="dxa" w:w="1928"/>
            <w:shd w:val="clear" w:color="auto" w:fill="DCE6F1"/>
          </w:tcPr>
          <w:p>
            <w:pPr>
              <w:jc w:val="center"/>
            </w:pPr>
            <w:r/>
            <w:r>
              <w:rPr>
                <w:rFonts w:ascii="游ゴシック" w:hAnsi="游ゴシック" w:eastAsia="游ゴシック"/>
                <w:b/>
                <w:sz w:val="17"/>
              </w:rPr>
              <w:t>認定者数</w:t>
            </w:r>
          </w:p>
        </w:tc>
        <w:tc>
          <w:tcPr>
            <w:tcW w:type="dxa" w:w="2268"/>
            <w:shd w:val="clear" w:color="auto" w:fill="DCE6F1"/>
          </w:tcPr>
          <w:p>
            <w:pPr>
              <w:jc w:val="center"/>
            </w:pPr>
            <w:r/>
            <w:r>
              <w:rPr>
                <w:rFonts w:ascii="游ゴシック" w:hAnsi="游ゴシック" w:eastAsia="游ゴシック"/>
                <w:b/>
                <w:sz w:val="17"/>
              </w:rPr>
              <w:t>自立度Ⅱ以上の人数</w:t>
            </w:r>
          </w:p>
        </w:tc>
        <w:tc>
          <w:tcPr>
            <w:tcW w:type="dxa" w:w="2268"/>
            <w:shd w:val="clear" w:color="auto" w:fill="DCE6F1"/>
          </w:tcPr>
          <w:p>
            <w:pPr>
              <w:jc w:val="center"/>
            </w:pPr>
            <w:r/>
            <w:r>
              <w:rPr>
                <w:rFonts w:ascii="游ゴシック" w:hAnsi="游ゴシック" w:eastAsia="游ゴシック"/>
                <w:b/>
                <w:sz w:val="17"/>
              </w:rPr>
              <w:t>認定者に占める割合</w:t>
            </w:r>
          </w:p>
        </w:tc>
      </w:tr>
      <w:tr>
        <w:trPr>
          <w:cantSplit/>
        </w:trPr>
        <w:tc>
          <w:tcPr>
            <w:tcW w:type="dxa" w:w="2494"/>
          </w:tcPr>
          <w:p>
            <w:r/>
            <w:r>
              <w:rPr>
                <w:rFonts w:ascii="游ゴシック" w:hAnsi="游ゴシック" w:eastAsia="游ゴシック"/>
                <w:sz w:val="17"/>
              </w:rPr>
              <w:t>平成24年10月末</w:t>
            </w:r>
          </w:p>
        </w:tc>
        <w:tc>
          <w:tcPr>
            <w:tcW w:type="dxa" w:w="1928"/>
          </w:tcPr>
          <w:p>
            <w:r/>
            <w:r>
              <w:rPr>
                <w:rFonts w:ascii="游ゴシック" w:hAnsi="游ゴシック" w:eastAsia="游ゴシック"/>
                <w:sz w:val="17"/>
              </w:rPr>
              <w:t>1,816</w:t>
            </w:r>
          </w:p>
        </w:tc>
        <w:tc>
          <w:tcPr>
            <w:tcW w:type="dxa" w:w="2268"/>
          </w:tcPr>
          <w:p>
            <w:r/>
            <w:r>
              <w:rPr>
                <w:rFonts w:ascii="游ゴシック" w:hAnsi="游ゴシック" w:eastAsia="游ゴシック"/>
                <w:sz w:val="17"/>
              </w:rPr>
              <w:t>1,190</w:t>
            </w:r>
          </w:p>
        </w:tc>
        <w:tc>
          <w:tcPr>
            <w:tcW w:type="dxa" w:w="2268"/>
          </w:tcPr>
          <w:p>
            <w:r/>
            <w:r>
              <w:rPr>
                <w:rFonts w:ascii="游ゴシック" w:hAnsi="游ゴシック" w:eastAsia="游ゴシック"/>
                <w:sz w:val="17"/>
              </w:rPr>
              <w:t>65.5％</w:t>
            </w:r>
          </w:p>
        </w:tc>
      </w:tr>
      <w:tr>
        <w:trPr>
          <w:cantSplit/>
        </w:trPr>
        <w:tc>
          <w:tcPr>
            <w:tcW w:type="dxa" w:w="2494"/>
          </w:tcPr>
          <w:p>
            <w:r/>
            <w:r>
              <w:rPr>
                <w:rFonts w:ascii="游ゴシック" w:hAnsi="游ゴシック" w:eastAsia="游ゴシック"/>
                <w:sz w:val="17"/>
              </w:rPr>
              <w:t>平成28年10月末</w:t>
            </w:r>
          </w:p>
        </w:tc>
        <w:tc>
          <w:tcPr>
            <w:tcW w:type="dxa" w:w="1928"/>
          </w:tcPr>
          <w:p>
            <w:r/>
            <w:r>
              <w:rPr>
                <w:rFonts w:ascii="游ゴシック" w:hAnsi="游ゴシック" w:eastAsia="游ゴシック"/>
                <w:sz w:val="17"/>
              </w:rPr>
              <w:t>2,138</w:t>
            </w:r>
          </w:p>
        </w:tc>
        <w:tc>
          <w:tcPr>
            <w:tcW w:type="dxa" w:w="2268"/>
          </w:tcPr>
          <w:p>
            <w:r/>
            <w:r>
              <w:rPr>
                <w:rFonts w:ascii="游ゴシック" w:hAnsi="游ゴシック" w:eastAsia="游ゴシック"/>
                <w:sz w:val="17"/>
              </w:rPr>
              <w:t>1,322</w:t>
            </w:r>
          </w:p>
        </w:tc>
        <w:tc>
          <w:tcPr>
            <w:tcW w:type="dxa" w:w="2268"/>
          </w:tcPr>
          <w:p>
            <w:r/>
            <w:r>
              <w:rPr>
                <w:rFonts w:ascii="游ゴシック" w:hAnsi="游ゴシック" w:eastAsia="游ゴシック"/>
                <w:sz w:val="17"/>
              </w:rPr>
              <w:t>61.7％</w:t>
            </w:r>
          </w:p>
        </w:tc>
      </w:tr>
      <w:tr>
        <w:trPr>
          <w:cantSplit/>
        </w:trPr>
        <w:tc>
          <w:tcPr>
            <w:tcW w:type="dxa" w:w="2494"/>
          </w:tcPr>
          <w:p>
            <w:r/>
            <w:r>
              <w:rPr>
                <w:rFonts w:ascii="游ゴシック" w:hAnsi="游ゴシック" w:eastAsia="游ゴシック"/>
                <w:sz w:val="17"/>
              </w:rPr>
              <w:t>令和2年10月末</w:t>
            </w:r>
          </w:p>
        </w:tc>
        <w:tc>
          <w:tcPr>
            <w:tcW w:type="dxa" w:w="1928"/>
          </w:tcPr>
          <w:p>
            <w:r/>
            <w:r>
              <w:rPr>
                <w:rFonts w:ascii="游ゴシック" w:hAnsi="游ゴシック" w:eastAsia="游ゴシック"/>
                <w:sz w:val="17"/>
              </w:rPr>
              <w:t>2,260</w:t>
            </w:r>
          </w:p>
        </w:tc>
        <w:tc>
          <w:tcPr>
            <w:tcW w:type="dxa" w:w="2268"/>
          </w:tcPr>
          <w:p>
            <w:r/>
            <w:r>
              <w:rPr>
                <w:rFonts w:ascii="游ゴシック" w:hAnsi="游ゴシック" w:eastAsia="游ゴシック"/>
                <w:sz w:val="17"/>
              </w:rPr>
              <w:t>1,405</w:t>
            </w:r>
          </w:p>
        </w:tc>
        <w:tc>
          <w:tcPr>
            <w:tcW w:type="dxa" w:w="2268"/>
          </w:tcPr>
          <w:p>
            <w:r/>
            <w:r>
              <w:rPr>
                <w:rFonts w:ascii="游ゴシック" w:hAnsi="游ゴシック" w:eastAsia="游ゴシック"/>
                <w:sz w:val="17"/>
              </w:rPr>
              <w:t>62.3％</w:t>
            </w:r>
          </w:p>
        </w:tc>
      </w:tr>
      <w:tr>
        <w:trPr>
          <w:cantSplit/>
        </w:trPr>
        <w:tc>
          <w:tcPr>
            <w:tcW w:type="dxa" w:w="2494"/>
          </w:tcPr>
          <w:p>
            <w:r/>
            <w:r>
              <w:rPr>
                <w:rFonts w:ascii="游ゴシック" w:hAnsi="游ゴシック" w:eastAsia="游ゴシック"/>
                <w:sz w:val="17"/>
              </w:rPr>
              <w:t>令和6年10月末</w:t>
            </w:r>
          </w:p>
        </w:tc>
        <w:tc>
          <w:tcPr>
            <w:tcW w:type="dxa" w:w="1928"/>
          </w:tcPr>
          <w:p>
            <w:r/>
            <w:r>
              <w:rPr>
                <w:rFonts w:ascii="游ゴシック" w:hAnsi="游ゴシック" w:eastAsia="游ゴシック"/>
                <w:sz w:val="17"/>
              </w:rPr>
              <w:t>2,482</w:t>
            </w:r>
          </w:p>
        </w:tc>
        <w:tc>
          <w:tcPr>
            <w:tcW w:type="dxa" w:w="2268"/>
          </w:tcPr>
          <w:p>
            <w:r/>
            <w:r>
              <w:rPr>
                <w:rFonts w:ascii="游ゴシック" w:hAnsi="游ゴシック" w:eastAsia="游ゴシック"/>
                <w:sz w:val="17"/>
              </w:rPr>
              <w:t>1,498</w:t>
            </w:r>
          </w:p>
        </w:tc>
        <w:tc>
          <w:tcPr>
            <w:tcW w:type="dxa" w:w="2268"/>
          </w:tcPr>
          <w:p>
            <w:r/>
            <w:r>
              <w:rPr>
                <w:rFonts w:ascii="游ゴシック" w:hAnsi="游ゴシック" w:eastAsia="游ゴシック"/>
                <w:sz w:val="17"/>
              </w:rPr>
              <w:t>60.3％</w:t>
            </w:r>
          </w:p>
        </w:tc>
      </w:tr>
    </w:tbl>
    <w:p>
      <w:pPr>
        <w:spacing w:after="160" w:line="269" w:lineRule="auto"/>
        <w:jc w:val="right"/>
      </w:pPr>
      <w:r>
        <w:rPr>
          <w:rFonts w:ascii="游ゴシック" w:hAnsi="游ゴシック" w:eastAsia="游ゴシック"/>
          <w:b w:val="0"/>
          <w:sz w:val="17"/>
        </w:rPr>
        <w:t>資料：地域包括ケア「見える化」システム B7系列（認知症高齢者自立度の状況）</w:t>
      </w:r>
    </w:p>
    <w:p>
      <w:pPr>
        <w:spacing w:after="160" w:line="269" w:lineRule="auto"/>
      </w:pPr>
      <w:r>
        <w:rPr>
          <w:rFonts w:ascii="游ゴシック" w:hAnsi="游ゴシック" w:eastAsia="游ゴシック"/>
          <w:b w:val="0"/>
          <w:sz w:val="17"/>
        </w:rPr>
        <w:t>注）認定者数は各年10月末現在であり、第2号被保険者を含みます。年度末現在の第1号被保険者の認定者数（第1節2）とは時点及び対象が異なります。自立度Ⅱ以上はⅡa・Ⅱb・Ⅲa・Ⅲb・Ⅳ・Mの合計です。本表は要介護認定を受けた方の認定調査の結果によるものであり、認定を受けていない方を含みません。国は、認知症又は軽度認知障害の高齢者が65歳以上の高齢者の約3割を占めるとしており、令和22年には認知症約584万人・軽度認知障害約613万人の計約1,200万人となり、高齢者の約3.3人に1人が認知症又は軽度認知障害になると見込んでいます。本広域連合における軽度認知障害を含む割合は把握していません［要確認］。資料：厚生労働省『認知症への対応力強化』（第264回社会保障審議会介護給付費分科会 資料1、令和8年9月3日）</w:t>
      </w:r>
    </w:p>
    <w:p>
      <w:pPr>
        <w:spacing w:after="80" w:line="269" w:lineRule="auto"/>
      </w:pPr>
      <w:r>
        <w:rPr>
          <w:rFonts w:ascii="游ゴシック" w:hAnsi="游ゴシック" w:eastAsia="游ゴシック"/>
          <w:b w:val="0"/>
          <w:sz w:val="20"/>
        </w:rPr>
        <w:t>認知症施策は、市町村認知症施策推進計画として構成3町が策定します（第1章第2節）。本計画には、介護保険法第117条第3項により認知症である被保険者の支援に関する事項を掲げ、認知症対応型共同生活介護等の見込量（第6章第2節）及び認知症総合支援事業（第6章第3節）により支え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【認定に要する期間】</w:t>
      </w:r>
    </w:p>
    <w:p>
      <w:pPr>
        <w:spacing w:after="80" w:line="269" w:lineRule="auto"/>
      </w:pPr>
      <w:r>
        <w:rPr>
          <w:rFonts w:ascii="游ゴシック" w:hAnsi="游ゴシック" w:eastAsia="游ゴシック"/>
          <w:b w:val="0"/>
          <w:sz w:val="20"/>
        </w:rPr>
        <w:t>要介護認定の申請から二次判定までの平均所要日数は、新規の申請で令和6年度45.4日、令和7年度46.7日です。介護保険法は、申請に対する処分を申請のあった日から30日以内に行うことを定めており（第27条第11項）、いずれの年度も法定の期間を上回っています。申請から認定調査の実施までは14日から15日であり、調査の実施後の審査判定までの間に日数を要しています。</w:t>
      </w:r>
    </w:p>
    <w:p>
      <w:pPr>
        <w:spacing w:after="20" w:line="269" w:lineRule="auto"/>
        <w:jc w:val="right"/>
      </w:pPr>
      <w:r>
        <w:rPr>
          <w:rFonts w:ascii="游ゴシック" w:hAnsi="游ゴシック" w:eastAsia="游ゴシック"/>
          <w:b w:val="0"/>
          <w:sz w:val="17"/>
        </w:rPr>
        <w:t>単位：日</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申請の種別</w:t>
            </w:r>
          </w:p>
        </w:tc>
        <w:tc>
          <w:tcPr>
            <w:tcW w:type="dxa" w:w="1814"/>
            <w:shd w:val="clear" w:color="auto" w:fill="DCE6F1"/>
          </w:tcPr>
          <w:p>
            <w:pPr>
              <w:jc w:val="center"/>
            </w:pPr>
            <w:r/>
            <w:r>
              <w:rPr>
                <w:rFonts w:ascii="游ゴシック" w:hAnsi="游ゴシック" w:eastAsia="游ゴシック"/>
                <w:b/>
                <w:sz w:val="17"/>
              </w:rPr>
              <w:t>令和6年度</w:t>
            </w:r>
          </w:p>
        </w:tc>
        <w:tc>
          <w:tcPr>
            <w:tcW w:type="dxa" w:w="1814"/>
            <w:shd w:val="clear" w:color="auto" w:fill="DCE6F1"/>
          </w:tcPr>
          <w:p>
            <w:pPr>
              <w:jc w:val="center"/>
            </w:pPr>
            <w:r/>
            <w:r>
              <w:rPr>
                <w:rFonts w:ascii="游ゴシック" w:hAnsi="游ゴシック" w:eastAsia="游ゴシック"/>
                <w:b/>
                <w:sz w:val="17"/>
              </w:rPr>
              <w:t>令和7年度</w:t>
            </w:r>
          </w:p>
        </w:tc>
      </w:tr>
      <w:tr>
        <w:trPr>
          <w:cantSplit/>
        </w:trPr>
        <w:tc>
          <w:tcPr>
            <w:tcW w:type="dxa" w:w="3061"/>
          </w:tcPr>
          <w:p>
            <w:r/>
            <w:r>
              <w:rPr>
                <w:rFonts w:ascii="游ゴシック" w:hAnsi="游ゴシック" w:eastAsia="游ゴシック"/>
                <w:sz w:val="17"/>
              </w:rPr>
              <w:t>申請から認定調査の実施まで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15.0</w:t>
            </w:r>
          </w:p>
        </w:tc>
        <w:tc>
          <w:tcPr>
            <w:tcW w:type="dxa" w:w="1814"/>
          </w:tcPr>
          <w:p>
            <w:r/>
            <w:r>
              <w:rPr>
                <w:rFonts w:ascii="游ゴシック" w:hAnsi="游ゴシック" w:eastAsia="游ゴシック"/>
                <w:sz w:val="17"/>
              </w:rPr>
              <w:t>14.2</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15.9</w:t>
            </w:r>
          </w:p>
        </w:tc>
        <w:tc>
          <w:tcPr>
            <w:tcW w:type="dxa" w:w="1814"/>
          </w:tcPr>
          <w:p>
            <w:r/>
            <w:r>
              <w:rPr>
                <w:rFonts w:ascii="游ゴシック" w:hAnsi="游ゴシック" w:eastAsia="游ゴシック"/>
                <w:sz w:val="17"/>
              </w:rPr>
              <w:t>13.0</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16.2</w:t>
            </w:r>
          </w:p>
        </w:tc>
        <w:tc>
          <w:tcPr>
            <w:tcW w:type="dxa" w:w="1814"/>
          </w:tcPr>
          <w:p>
            <w:r/>
            <w:r>
              <w:rPr>
                <w:rFonts w:ascii="游ゴシック" w:hAnsi="游ゴシック" w:eastAsia="游ゴシック"/>
                <w:sz w:val="17"/>
              </w:rPr>
              <w:t>14.7</w:t>
            </w:r>
          </w:p>
        </w:tc>
      </w:tr>
      <w:tr>
        <w:trPr>
          <w:cantSplit/>
        </w:trPr>
        <w:tc>
          <w:tcPr>
            <w:tcW w:type="dxa" w:w="3061"/>
          </w:tcPr>
          <w:p>
            <w:r/>
            <w:r>
              <w:rPr>
                <w:rFonts w:ascii="游ゴシック" w:hAnsi="游ゴシック" w:eastAsia="游ゴシック"/>
                <w:sz w:val="17"/>
              </w:rPr>
              <w:t>申請から二次判定まで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45.4</w:t>
            </w:r>
          </w:p>
        </w:tc>
        <w:tc>
          <w:tcPr>
            <w:tcW w:type="dxa" w:w="1814"/>
          </w:tcPr>
          <w:p>
            <w:r/>
            <w:r>
              <w:rPr>
                <w:rFonts w:ascii="游ゴシック" w:hAnsi="游ゴシック" w:eastAsia="游ゴシック"/>
                <w:sz w:val="17"/>
              </w:rPr>
              <w:t>46.7</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48.0</w:t>
            </w:r>
          </w:p>
        </w:tc>
        <w:tc>
          <w:tcPr>
            <w:tcW w:type="dxa" w:w="1814"/>
          </w:tcPr>
          <w:p>
            <w:r/>
            <w:r>
              <w:rPr>
                <w:rFonts w:ascii="游ゴシック" w:hAnsi="游ゴシック" w:eastAsia="游ゴシック"/>
                <w:sz w:val="17"/>
              </w:rPr>
              <w:t>47.8</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43.6</w:t>
            </w:r>
          </w:p>
        </w:tc>
        <w:tc>
          <w:tcPr>
            <w:tcW w:type="dxa" w:w="1814"/>
          </w:tcPr>
          <w:p>
            <w:r/>
            <w:r>
              <w:rPr>
                <w:rFonts w:ascii="游ゴシック" w:hAnsi="游ゴシック" w:eastAsia="游ゴシック"/>
                <w:sz w:val="17"/>
              </w:rPr>
              <w:t>45.1</w:t>
            </w:r>
          </w:p>
        </w:tc>
      </w:tr>
    </w:tbl>
    <w:p>
      <w:pPr>
        <w:spacing w:after="160" w:line="269" w:lineRule="auto"/>
        <w:jc w:val="right"/>
      </w:pPr>
      <w:r>
        <w:rPr>
          <w:rFonts w:ascii="游ゴシック" w:hAnsi="游ゴシック" w:eastAsia="游ゴシック"/>
          <w:b w:val="0"/>
          <w:sz w:val="17"/>
        </w:rPr>
        <w:t>資料：大雪地区広域連合　要介護認定 集計帳票（令和6年度分・令和7年度分）</w:t>
      </w:r>
    </w:p>
    <w:p>
      <w:pPr>
        <w:spacing w:after="160" w:line="269" w:lineRule="auto"/>
      </w:pPr>
      <w:r>
        <w:rPr>
          <w:rFonts w:ascii="游ゴシック" w:hAnsi="游ゴシック" w:eastAsia="游ゴシック"/>
          <w:b w:val="0"/>
          <w:sz w:val="17"/>
        </w:rPr>
        <w:t>注）令和8年度分は令和8年4月1日から8月7日までの集計であり通年ではないため掲げていません。主治医意見書の入手日は3年度とも未入力であるため、申請から主治医意見書の入手までの日数は算定できません［要確認］。</w:t>
      </w:r>
    </w:p>
    <w:p>
      <w:pPr>
        <w:spacing w:after="80" w:line="269" w:lineRule="auto"/>
      </w:pPr>
      <w:r>
        <w:rPr>
          <w:rFonts w:ascii="游ゴシック" w:hAnsi="游ゴシック" w:eastAsia="游ゴシック"/>
          <w:b w:val="0"/>
          <w:sz w:val="20"/>
        </w:rPr>
        <w:t>認定に要する期間の短縮は、認定調査員及び審査会委員の確保、主治医意見書の提出の促進並びに審査会の開催回数の確保により取り組みます（第5章 基本目標5）。</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134"/>
            <w:shd w:val="clear" w:color="auto" w:fill="DCE6F1"/>
          </w:tcPr>
          <w:p>
            <w:pPr>
              <w:jc w:val="center"/>
            </w:pPr>
            <w:r/>
            <w:r>
              <w:rPr>
                <w:rFonts w:ascii="游ゴシック" w:hAnsi="游ゴシック" w:eastAsia="游ゴシック"/>
                <w:b/>
                <w:sz w:val="17"/>
              </w:rPr>
              <w:t>R3</w:t>
            </w:r>
          </w:p>
        </w:tc>
        <w:tc>
          <w:tcPr>
            <w:tcW w:type="dxa" w:w="1134"/>
            <w:shd w:val="clear" w:color="auto" w:fill="DCE6F1"/>
          </w:tcPr>
          <w:p>
            <w:pPr>
              <w:jc w:val="center"/>
            </w:pPr>
            <w:r/>
            <w:r>
              <w:rPr>
                <w:rFonts w:ascii="游ゴシック" w:hAnsi="游ゴシック" w:eastAsia="游ゴシック"/>
                <w:b/>
                <w:sz w:val="17"/>
              </w:rPr>
              <w:t>R4</w:t>
            </w:r>
          </w:p>
        </w:tc>
        <w:tc>
          <w:tcPr>
            <w:tcW w:type="dxa" w:w="1134"/>
            <w:shd w:val="clear" w:color="auto" w:fill="DCE6F1"/>
          </w:tcPr>
          <w:p>
            <w:pPr>
              <w:jc w:val="center"/>
            </w:pPr>
            <w:r/>
            <w:r>
              <w:rPr>
                <w:rFonts w:ascii="游ゴシック" w:hAnsi="游ゴシック" w:eastAsia="游ゴシック"/>
                <w:b/>
                <w:sz w:val="17"/>
              </w:rPr>
              <w:t>R5</w:t>
            </w:r>
          </w:p>
        </w:tc>
        <w:tc>
          <w:tcPr>
            <w:tcW w:type="dxa" w:w="1134"/>
            <w:shd w:val="clear" w:color="auto" w:fill="DCE6F1"/>
          </w:tcPr>
          <w:p>
            <w:pPr>
              <w:jc w:val="center"/>
            </w:pPr>
            <w:r/>
            <w:r>
              <w:rPr>
                <w:rFonts w:ascii="游ゴシック" w:hAnsi="游ゴシック" w:eastAsia="游ゴシック"/>
                <w:b/>
                <w:sz w:val="17"/>
              </w:rPr>
              <w:t>R6</w:t>
            </w:r>
          </w:p>
        </w:tc>
        <w:tc>
          <w:tcPr>
            <w:tcW w:type="dxa" w:w="2948"/>
            <w:shd w:val="clear" w:color="auto" w:fill="DCE6F1"/>
          </w:tcPr>
          <w:p>
            <w:pPr>
              <w:jc w:val="center"/>
            </w:pPr>
            <w:r/>
            <w:r>
              <w:rPr>
                <w:rFonts w:ascii="游ゴシック" w:hAnsi="游ゴシック" w:eastAsia="游ゴシック"/>
                <w:b/>
                <w:sz w:val="17"/>
              </w:rPr>
              <w:t>第10期での扱い</w:t>
            </w:r>
          </w:p>
        </w:tc>
      </w:tr>
      <w:tr>
        <w:trPr>
          <w:cantSplit/>
        </w:trP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rPr>
          <w:cantSplit/>
        </w:trP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rPr>
          <w:cantSplit/>
        </w:trP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rPr>
          <w:cantSplit/>
        </w:trP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line="269" w:lineRule="auto"/>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180" w:after="100"/>
      </w:pPr>
      <w:bookmarkStart w:id="113" w:name="_Toc10_013"/>
      <w:r>
        <w:rPr>
          <w:rFonts w:ascii="游ゴシック" w:hAnsi="游ゴシック" w:eastAsia="游ゴシック"/>
          <w:sz w:val="25"/>
        </w:rPr>
        <w:t>第2節 保険給付や地域支援事業の実態把握と分析</w:t>
      </w:r>
      <w:bookmarkEnd w:id="113"/>
    </w:p>
    <w:p>
      <w:pPr>
        <w:spacing w:after="80" w:line="269" w:lineRule="auto"/>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line="269" w:lineRule="auto"/>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034"/>
            <w:shd w:val="clear" w:color="auto" w:fill="DCE6F1"/>
          </w:tcPr>
          <w:p>
            <w:pPr>
              <w:spacing w:before="0"/>
              <w:jc w:val="center"/>
            </w:pPr>
            <w:r/>
            <w:r>
              <w:rPr>
                <w:rFonts w:ascii="游ゴシック" w:hAnsi="游ゴシック" w:eastAsia="游ゴシック"/>
                <w:b/>
                <w:sz w:val="17"/>
              </w:rPr>
              <w:t>要素</w:t>
            </w:r>
          </w:p>
        </w:tc>
        <w:tc>
          <w:tcPr>
            <w:tcW w:type="dxa" w:w="2384"/>
            <w:shd w:val="clear" w:color="auto" w:fill="DCE6F1"/>
          </w:tcPr>
          <w:p>
            <w:pPr>
              <w:jc w:val="center"/>
            </w:pPr>
            <w:r/>
            <w:r>
              <w:rPr>
                <w:rFonts w:ascii="游ゴシック" w:hAnsi="游ゴシック" w:eastAsia="游ゴシック"/>
                <w:b/>
                <w:sz w:val="17"/>
              </w:rPr>
              <w:t>地域差指数（全国＝1.00）</w:t>
            </w:r>
          </w:p>
        </w:tc>
        <w:tc>
          <w:tcPr>
            <w:tcW w:type="dxa" w:w="4334"/>
            <w:shd w:val="clear" w:color="auto" w:fill="DCE6F1"/>
          </w:tcPr>
          <w:p>
            <w:pPr>
              <w:jc w:val="center"/>
            </w:pPr>
            <w:r/>
            <w:r>
              <w:rPr>
                <w:rFonts w:ascii="游ゴシック" w:hAnsi="游ゴシック" w:eastAsia="游ゴシック"/>
                <w:b/>
                <w:sz w:val="17"/>
              </w:rPr>
              <w:t>読み方</w:t>
            </w:r>
          </w:p>
        </w:tc>
      </w:tr>
      <w:tr>
        <w:trPr>
          <w:cantSplit/>
        </w:trP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rPr>
          <w:cantSplit/>
        </w:trP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line="269" w:lineRule="auto"/>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160" w:line="269" w:lineRule="auto"/>
      </w:pPr>
      <w:r>
        <w:rPr>
          <w:rFonts w:ascii="游ゴシック" w:hAnsi="游ゴシック" w:eastAsia="游ゴシック"/>
          <w:b w:val="0"/>
          <w:sz w:val="17"/>
        </w:rPr>
        <w:t>注）類似保険者との比較は、全国、北海道及び上川管内21保険者との比較によっています。地域包括ケア「見える化」システムの地域比較は当広域連合のデータの登録がないため出力できず、住民の心身の状態及び社会参加については健康とくらしの調査の同規模保険者40団体（人口5万人未満）との比較によります（第4節）。給付及び供給の面で比較する類似保険者の選定条件（人口規模、高齢化率、施設整備の状況、財政力等）は定めていません［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【上川管内における位置】</w:t>
      </w:r>
    </w:p>
    <w:p>
      <w:pPr>
        <w:spacing w:after="80" w:line="269" w:lineRule="auto"/>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line="269" w:lineRule="auto"/>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平成21年度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1361"/>
            <w:shd w:val="clear" w:color="auto" w:fill="DCE6F1"/>
          </w:tcPr>
          <w:p>
            <w:pPr>
              <w:jc w:val="center"/>
            </w:pPr>
            <w:r/>
            <w:r>
              <w:rPr>
                <w:rFonts w:ascii="游ゴシック" w:hAnsi="游ゴシック" w:eastAsia="游ゴシック"/>
                <w:b/>
                <w:sz w:val="17"/>
              </w:rPr>
              <w:t>伸び率</w:t>
            </w:r>
          </w:p>
        </w:tc>
        <w:tc>
          <w:tcPr>
            <w:tcW w:type="dxa" w:w="1928"/>
            <w:shd w:val="clear" w:color="auto" w:fill="DCE6F1"/>
          </w:tcPr>
          <w:p>
            <w:pPr>
              <w:jc w:val="center"/>
            </w:pPr>
            <w:r/>
            <w:r>
              <w:rPr>
                <w:rFonts w:ascii="游ゴシック" w:hAnsi="游ゴシック" w:eastAsia="游ゴシック"/>
                <w:b/>
                <w:sz w:val="17"/>
              </w:rPr>
              <w:t>管内順位（H21→R7）</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資料：地域包括ケア「見える化」システム（厚生労働省「介護保険事業状況報告」年報等）</w:t>
      </w:r>
    </w:p>
    <w:p>
      <w:pPr>
        <w:spacing w:after="80" w:line="269" w:lineRule="auto"/>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38"/>
            <w:shd w:val="clear" w:color="auto" w:fill="DCE6F1"/>
          </w:tcPr>
          <w:p>
            <w:pPr>
              <w:spacing w:before="0"/>
              <w:jc w:val="center"/>
            </w:pPr>
            <w:r/>
            <w:r>
              <w:rPr>
                <w:rFonts w:ascii="游ゴシック" w:hAnsi="游ゴシック" w:eastAsia="游ゴシック"/>
                <w:b/>
                <w:sz w:val="17"/>
              </w:rPr>
              <w:t>区分（令和7年）</w:t>
            </w:r>
          </w:p>
        </w:tc>
        <w:tc>
          <w:tcPr>
            <w:tcW w:type="dxa" w:w="1170"/>
            <w:shd w:val="clear" w:color="auto" w:fill="DCE6F1"/>
          </w:tcPr>
          <w:p>
            <w:pPr>
              <w:jc w:val="center"/>
            </w:pPr>
            <w:r/>
            <w:r>
              <w:rPr>
                <w:rFonts w:ascii="游ゴシック" w:hAnsi="游ゴシック" w:eastAsia="游ゴシック"/>
                <w:b/>
                <w:sz w:val="17"/>
              </w:rPr>
              <w:t>大雪</w:t>
            </w:r>
          </w:p>
        </w:tc>
        <w:tc>
          <w:tcPr>
            <w:tcW w:type="dxa" w:w="1170"/>
            <w:shd w:val="clear" w:color="auto" w:fill="DCE6F1"/>
          </w:tcPr>
          <w:p>
            <w:pPr>
              <w:jc w:val="center"/>
            </w:pPr>
            <w:r/>
            <w:r>
              <w:rPr>
                <w:rFonts w:ascii="游ゴシック" w:hAnsi="游ゴシック" w:eastAsia="游ゴシック"/>
                <w:b/>
                <w:sz w:val="17"/>
              </w:rPr>
              <w:t>北海道</w:t>
            </w:r>
          </w:p>
        </w:tc>
        <w:tc>
          <w:tcPr>
            <w:tcW w:type="dxa" w:w="1170"/>
            <w:shd w:val="clear" w:color="auto" w:fill="DCE6F1"/>
          </w:tcPr>
          <w:p>
            <w:pPr>
              <w:jc w:val="center"/>
            </w:pPr>
            <w:r/>
            <w:r>
              <w:rPr>
                <w:rFonts w:ascii="游ゴシック" w:hAnsi="游ゴシック" w:eastAsia="游ゴシック"/>
                <w:b/>
                <w:sz w:val="17"/>
              </w:rPr>
              <w:t>全国</w:t>
            </w:r>
          </w:p>
        </w:tc>
        <w:tc>
          <w:tcPr>
            <w:tcW w:type="dxa" w:w="1073"/>
            <w:shd w:val="clear" w:color="auto" w:fill="DCE6F1"/>
          </w:tcPr>
          <w:p>
            <w:pPr>
              <w:jc w:val="center"/>
            </w:pPr>
            <w:r/>
            <w:r>
              <w:rPr>
                <w:rFonts w:ascii="游ゴシック" w:hAnsi="游ゴシック" w:eastAsia="游ゴシック"/>
                <w:b/>
                <w:sz w:val="17"/>
              </w:rPr>
              <w:t>全国比</w:t>
            </w:r>
          </w:p>
        </w:tc>
        <w:tc>
          <w:tcPr>
            <w:tcW w:type="dxa" w:w="2730"/>
            <w:shd w:val="clear" w:color="auto" w:fill="DCE6F1"/>
          </w:tcPr>
          <w:p>
            <w:pPr>
              <w:jc w:val="center"/>
            </w:pPr>
            <w:r/>
            <w:r>
              <w:rPr>
                <w:rFonts w:ascii="游ゴシック" w:hAnsi="游ゴシック" w:eastAsia="游ゴシック"/>
                <w:b/>
                <w:sz w:val="17"/>
              </w:rPr>
              <w:t>評価</w:t>
            </w:r>
          </w:p>
        </w:tc>
      </w:tr>
      <w:tr>
        <w:trPr>
          <w:cantSplit/>
        </w:trP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rPr>
          <w:cantSplit/>
        </w:trP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rPr>
          <w:cantSplit/>
        </w:trP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line="269" w:lineRule="auto"/>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975"/>
            <w:shd w:val="clear" w:color="auto" w:fill="DCE6F1"/>
          </w:tcPr>
          <w:p>
            <w:pPr>
              <w:spacing w:before="0"/>
              <w:jc w:val="center"/>
            </w:pPr>
            <w:r/>
            <w:r>
              <w:rPr>
                <w:rFonts w:ascii="游ゴシック" w:hAnsi="游ゴシック" w:eastAsia="游ゴシック"/>
                <w:b/>
                <w:sz w:val="17"/>
              </w:rPr>
              <w:t>区分</w:t>
            </w:r>
          </w:p>
        </w:tc>
        <w:tc>
          <w:tcPr>
            <w:tcW w:type="dxa" w:w="3467"/>
            <w:shd w:val="clear" w:color="auto" w:fill="DCE6F1"/>
          </w:tcPr>
          <w:p>
            <w:pPr>
              <w:jc w:val="center"/>
            </w:pPr>
            <w:r/>
            <w:r>
              <w:rPr>
                <w:rFonts w:ascii="游ゴシック" w:hAnsi="游ゴシック" w:eastAsia="游ゴシック"/>
                <w:b/>
                <w:sz w:val="17"/>
              </w:rPr>
              <w:t>サービス</w:t>
            </w:r>
          </w:p>
        </w:tc>
        <w:tc>
          <w:tcPr>
            <w:tcW w:type="dxa" w:w="1950"/>
            <w:shd w:val="clear" w:color="auto" w:fill="DCE6F1"/>
          </w:tcPr>
          <w:p>
            <w:pPr>
              <w:jc w:val="center"/>
            </w:pPr>
            <w:r/>
            <w:r>
              <w:rPr>
                <w:rFonts w:ascii="游ゴシック" w:hAnsi="游ゴシック" w:eastAsia="游ゴシック"/>
                <w:b/>
                <w:sz w:val="17"/>
              </w:rPr>
              <w:t>H30→R7の増減率</w:t>
            </w:r>
          </w:p>
        </w:tc>
        <w:tc>
          <w:tcPr>
            <w:tcW w:type="dxa" w:w="3359"/>
            <w:shd w:val="clear" w:color="auto" w:fill="DCE6F1"/>
          </w:tcPr>
          <w:p>
            <w:pPr>
              <w:jc w:val="center"/>
            </w:pPr>
            <w:r/>
            <w:r>
              <w:rPr>
                <w:rFonts w:ascii="游ゴシック" w:hAnsi="游ゴシック" w:eastAsia="游ゴシック"/>
                <w:b/>
                <w:sz w:val="17"/>
              </w:rPr>
              <w:t>要因</w:t>
            </w:r>
          </w:p>
        </w:tc>
      </w:tr>
      <w:tr>
        <w:trPr>
          <w:cantSplit/>
        </w:trP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rPr>
          <w:cantSplit/>
        </w:trP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rPr>
          <w:cantSplit/>
        </w:trP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520"/>
            <w:shd w:val="clear" w:color="auto" w:fill="DCE6F1"/>
          </w:tcPr>
          <w:p>
            <w:pPr>
              <w:spacing w:before="0"/>
              <w:jc w:val="center"/>
            </w:pPr>
            <w:r/>
            <w:r>
              <w:rPr>
                <w:rFonts w:ascii="游ゴシック" w:hAnsi="游ゴシック" w:eastAsia="游ゴシック"/>
                <w:b/>
                <w:sz w:val="17"/>
              </w:rPr>
              <w:t>サービス</w:t>
            </w:r>
          </w:p>
        </w:tc>
        <w:tc>
          <w:tcPr>
            <w:tcW w:type="dxa" w:w="1315"/>
            <w:shd w:val="clear" w:color="auto" w:fill="DCE6F1"/>
          </w:tcPr>
          <w:p>
            <w:pPr>
              <w:jc w:val="center"/>
            </w:pPr>
            <w:r/>
            <w:r>
              <w:rPr>
                <w:rFonts w:ascii="游ゴシック" w:hAnsi="游ゴシック" w:eastAsia="游ゴシック"/>
                <w:b/>
                <w:sz w:val="17"/>
              </w:rPr>
              <w:t>大雪</w:t>
            </w:r>
          </w:p>
        </w:tc>
        <w:tc>
          <w:tcPr>
            <w:tcW w:type="dxa" w:w="1096"/>
            <w:shd w:val="clear" w:color="auto" w:fill="DCE6F1"/>
          </w:tcPr>
          <w:p>
            <w:pPr>
              <w:jc w:val="center"/>
            </w:pPr>
            <w:r/>
            <w:r>
              <w:rPr>
                <w:rFonts w:ascii="游ゴシック" w:hAnsi="游ゴシック" w:eastAsia="游ゴシック"/>
                <w:b/>
                <w:sz w:val="17"/>
              </w:rPr>
              <w:t>北海道</w:t>
            </w:r>
          </w:p>
        </w:tc>
        <w:tc>
          <w:tcPr>
            <w:tcW w:type="dxa" w:w="1205"/>
            <w:shd w:val="clear" w:color="auto" w:fill="DCE6F1"/>
          </w:tcPr>
          <w:p>
            <w:pPr>
              <w:jc w:val="center"/>
            </w:pPr>
            <w:r/>
            <w:r>
              <w:rPr>
                <w:rFonts w:ascii="游ゴシック" w:hAnsi="游ゴシック" w:eastAsia="游ゴシック"/>
                <w:b/>
                <w:sz w:val="17"/>
              </w:rPr>
              <w:t>全国</w:t>
            </w:r>
          </w:p>
        </w:tc>
        <w:tc>
          <w:tcPr>
            <w:tcW w:type="dxa" w:w="1096"/>
            <w:shd w:val="clear" w:color="auto" w:fill="DCE6F1"/>
          </w:tcPr>
          <w:p>
            <w:pPr>
              <w:jc w:val="center"/>
            </w:pPr>
            <w:r/>
            <w:r>
              <w:rPr>
                <w:rFonts w:ascii="游ゴシック" w:hAnsi="游ゴシック" w:eastAsia="游ゴシック"/>
                <w:b/>
                <w:sz w:val="17"/>
              </w:rPr>
              <w:t>大雪／全国</w:t>
            </w:r>
          </w:p>
        </w:tc>
        <w:tc>
          <w:tcPr>
            <w:tcW w:type="dxa" w:w="2520"/>
            <w:shd w:val="clear" w:color="auto" w:fill="DCE6F1"/>
          </w:tcPr>
          <w:p>
            <w:pPr>
              <w:jc w:val="center"/>
            </w:pPr>
            <w:r/>
            <w:r>
              <w:rPr>
                <w:rFonts w:ascii="游ゴシック" w:hAnsi="游ゴシック" w:eastAsia="游ゴシック"/>
                <w:b/>
                <w:sz w:val="17"/>
              </w:rPr>
              <w:t>確認事項</w:t>
            </w:r>
          </w:p>
        </w:tc>
      </w:tr>
      <w:tr>
        <w:trPr>
          <w:cantSplit/>
        </w:trP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rPr>
          <w:cantSplit/>
        </w:trP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rPr>
          <w:cantSplit/>
        </w:trP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rPr>
          <w:cantSplit/>
        </w:trP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rPr>
          <w:cantSplit/>
        </w:trP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rPr>
          <w:cantSplit/>
        </w:trP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rPr>
          <w:cantSplit/>
        </w:trP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line="269" w:lineRule="auto"/>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814"/>
            <w:shd w:val="clear" w:color="auto" w:fill="DCE6F1"/>
          </w:tcPr>
          <w:p>
            <w:pPr>
              <w:spacing w:before="0"/>
              <w:jc w:val="center"/>
            </w:pPr>
            <w:r/>
            <w:r>
              <w:rPr>
                <w:rFonts w:ascii="游ゴシック" w:hAnsi="游ゴシック" w:eastAsia="游ゴシック"/>
                <w:b/>
                <w:sz w:val="17"/>
              </w:rPr>
              <w:t>年度</w:t>
            </w:r>
          </w:p>
        </w:tc>
        <w:tc>
          <w:tcPr>
            <w:tcW w:type="dxa" w:w="1701"/>
            <w:shd w:val="clear" w:color="auto" w:fill="DCE6F1"/>
          </w:tcPr>
          <w:p>
            <w:pPr>
              <w:jc w:val="center"/>
            </w:pPr>
            <w:r/>
            <w:r>
              <w:rPr>
                <w:rFonts w:ascii="游ゴシック" w:hAnsi="游ゴシック" w:eastAsia="游ゴシック"/>
                <w:b/>
                <w:sz w:val="17"/>
              </w:rPr>
              <w:t>認定者</w:t>
            </w:r>
          </w:p>
        </w:tc>
        <w:tc>
          <w:tcPr>
            <w:tcW w:type="dxa" w:w="1701"/>
            <w:shd w:val="clear" w:color="auto" w:fill="DCE6F1"/>
          </w:tcPr>
          <w:p>
            <w:pPr>
              <w:jc w:val="center"/>
            </w:pPr>
            <w:r/>
            <w:r>
              <w:rPr>
                <w:rFonts w:ascii="游ゴシック" w:hAnsi="游ゴシック" w:eastAsia="游ゴシック"/>
                <w:b/>
                <w:sz w:val="17"/>
              </w:rPr>
              <w:t>受給者</w:t>
            </w:r>
          </w:p>
        </w:tc>
        <w:tc>
          <w:tcPr>
            <w:tcW w:type="dxa" w:w="1474"/>
            <w:shd w:val="clear" w:color="auto" w:fill="DCE6F1"/>
          </w:tcPr>
          <w:p>
            <w:pPr>
              <w:jc w:val="center"/>
            </w:pPr>
            <w:r/>
            <w:r>
              <w:rPr>
                <w:rFonts w:ascii="游ゴシック" w:hAnsi="游ゴシック" w:eastAsia="游ゴシック"/>
                <w:b/>
                <w:sz w:val="17"/>
              </w:rPr>
              <w:t>利用率</w:t>
            </w:r>
          </w:p>
        </w:tc>
        <w:tc>
          <w:tcPr>
            <w:tcW w:type="dxa" w:w="1814"/>
            <w:shd w:val="clear" w:color="auto" w:fill="DCE6F1"/>
          </w:tcPr>
          <w:p>
            <w:pPr>
              <w:jc w:val="center"/>
            </w:pPr>
            <w:r/>
            <w:r>
              <w:rPr>
                <w:rFonts w:ascii="游ゴシック" w:hAnsi="游ゴシック" w:eastAsia="游ゴシック"/>
                <w:b/>
                <w:sz w:val="17"/>
              </w:rPr>
              <w:t>未利用認定者</w:t>
            </w:r>
          </w:p>
        </w:tc>
      </w:tr>
      <w:tr>
        <w:trPr>
          <w:cantSplit/>
        </w:trP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rPr>
          <w:cantSplit/>
        </w:trP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rPr>
          <w:cantSplit/>
        </w:trP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line="269" w:lineRule="auto"/>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180" w:after="100"/>
      </w:pPr>
      <w:r>
        <w:rPr>
          <w:rFonts w:ascii="游ゴシック" w:hAnsi="游ゴシック" w:eastAsia="游ゴシック"/>
          <w:sz w:val="22"/>
        </w:rPr>
        <w:t>4 上川中部圏域における位置</w:t>
      </w:r>
    </w:p>
    <w:p>
      <w:pPr>
        <w:spacing w:after="80" w:line="269" w:lineRule="auto"/>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74"/>
            <w:shd w:val="clear" w:color="auto" w:fill="DCE6F1"/>
          </w:tcPr>
          <w:p>
            <w:pPr>
              <w:spacing w:before="0"/>
              <w:jc w:val="center"/>
            </w:pPr>
            <w:r/>
            <w:r>
              <w:rPr>
                <w:rFonts w:ascii="游ゴシック" w:hAnsi="游ゴシック" w:eastAsia="游ゴシック"/>
                <w:b/>
                <w:sz w:val="17"/>
              </w:rPr>
              <w:t>指標</w:t>
            </w:r>
          </w:p>
        </w:tc>
        <w:tc>
          <w:tcPr>
            <w:tcW w:type="dxa" w:w="1334"/>
            <w:shd w:val="clear" w:color="auto" w:fill="DCE6F1"/>
          </w:tcPr>
          <w:p>
            <w:pPr>
              <w:jc w:val="center"/>
            </w:pPr>
            <w:r/>
            <w:r>
              <w:rPr>
                <w:rFonts w:ascii="游ゴシック" w:hAnsi="游ゴシック" w:eastAsia="游ゴシック"/>
                <w:b/>
                <w:sz w:val="17"/>
              </w:rPr>
              <w:t>大雪</w:t>
            </w:r>
          </w:p>
        </w:tc>
        <w:tc>
          <w:tcPr>
            <w:tcW w:type="dxa" w:w="1232"/>
            <w:shd w:val="clear" w:color="auto" w:fill="DCE6F1"/>
          </w:tcPr>
          <w:p>
            <w:pPr>
              <w:jc w:val="center"/>
            </w:pPr>
            <w:r/>
            <w:r>
              <w:rPr>
                <w:rFonts w:ascii="游ゴシック" w:hAnsi="游ゴシック" w:eastAsia="游ゴシック"/>
                <w:b/>
                <w:sz w:val="17"/>
              </w:rPr>
              <w:t>旭川市</w:t>
            </w:r>
          </w:p>
        </w:tc>
        <w:tc>
          <w:tcPr>
            <w:tcW w:type="dxa" w:w="1745"/>
            <w:shd w:val="clear" w:color="auto" w:fill="DCE6F1"/>
          </w:tcPr>
          <w:p>
            <w:pPr>
              <w:jc w:val="center"/>
            </w:pPr>
            <w:r/>
            <w:r>
              <w:rPr>
                <w:rFonts w:ascii="游ゴシック" w:hAnsi="游ゴシック" w:eastAsia="游ゴシック"/>
                <w:b/>
                <w:sz w:val="17"/>
              </w:rPr>
              <w:t>北海道</w:t>
            </w:r>
          </w:p>
        </w:tc>
        <w:tc>
          <w:tcPr>
            <w:tcW w:type="dxa" w:w="2566"/>
            <w:shd w:val="clear" w:color="auto" w:fill="DCE6F1"/>
          </w:tcPr>
          <w:p>
            <w:pPr>
              <w:jc w:val="center"/>
            </w:pPr>
            <w:r/>
            <w:r>
              <w:rPr>
                <w:rFonts w:ascii="游ゴシック" w:hAnsi="游ゴシック" w:eastAsia="游ゴシック"/>
                <w:b/>
                <w:sz w:val="17"/>
              </w:rPr>
              <w:t>構造の違い</w:t>
            </w:r>
          </w:p>
        </w:tc>
      </w:tr>
      <w:tr>
        <w:trPr>
          <w:cantSplit/>
        </w:trP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rPr>
          <w:cantSplit/>
        </w:trP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rPr>
          <w:cantSplit/>
        </w:trP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rPr>
          <w:cantSplit/>
        </w:trP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rPr>
          <w:cantSplit/>
        </w:trP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rPr>
          <w:cantSplit/>
        </w:trP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line="269" w:lineRule="auto"/>
      </w:pPr>
      <w:r>
        <w:rPr>
          <w:rFonts w:ascii="游ゴシック" w:hAnsi="游ゴシック" w:eastAsia="游ゴシック"/>
          <w:b w:val="0"/>
          <w:sz w:val="17"/>
        </w:rPr>
        <w:t>出典：北海道第9期計画 第7章第12節の分布図及び見える化D8・B6。</w:t>
      </w:r>
    </w:p>
    <w:p>
      <w:r>
        <w:br w:type="page"/>
      </w:r>
    </w:p>
    <w:p>
      <w:pPr>
        <w:pStyle w:val="Heading3"/>
        <w:spacing w:before="180" w:after="100"/>
      </w:pPr>
      <w:r>
        <w:rPr>
          <w:rFonts w:ascii="游ゴシック" w:hAnsi="游ゴシック" w:eastAsia="游ゴシック"/>
          <w:sz w:val="22"/>
        </w:rPr>
        <w:t>5 構成町別の状況</w:t>
      </w:r>
    </w:p>
    <w:p>
      <w:pPr>
        <w:spacing w:after="80" w:line="269" w:lineRule="auto"/>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【町別の要介護認定者数】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850"/>
            <w:shd w:val="clear" w:color="auto" w:fill="DCE6F1"/>
          </w:tcPr>
          <w:p>
            <w:pPr>
              <w:jc w:val="center"/>
            </w:pPr>
            <w:r/>
            <w:r>
              <w:rPr>
                <w:rFonts w:ascii="游ゴシック" w:hAnsi="游ゴシック" w:eastAsia="游ゴシック"/>
                <w:b/>
                <w:sz w:val="17"/>
              </w:rPr>
              <w:t>令和6年度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令和7年度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令和8年度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r>
      <w:tr>
        <w:trPr>
          <w:cantSplit/>
        </w:trP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rPr>
          <w:cantSplit/>
        </w:trP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rPr>
          <w:cantSplit/>
        </w:trP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rPr>
          <w:cantSplit/>
        </w:trP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rPr>
          <w:cantSplit/>
        </w:trP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line="269" w:lineRule="auto"/>
        <w:jc w:val="right"/>
      </w:pPr>
      <w:r>
        <w:rPr>
          <w:rFonts w:ascii="游ゴシック" w:hAnsi="游ゴシック" w:eastAsia="游ゴシック"/>
          <w:b w:val="0"/>
          <w:sz w:val="17"/>
        </w:rPr>
        <w:t>資料：介護保険事業計画作成支援ツール（実績値入力シート）各年度末</w:t>
      </w:r>
    </w:p>
    <w:p>
      <w:pPr>
        <w:spacing w:after="80" w:line="269" w:lineRule="auto"/>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line="269" w:lineRule="auto"/>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【町別の給付費の実績】</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1928"/>
            <w:shd w:val="clear" w:color="auto" w:fill="DCE6F1"/>
          </w:tcPr>
          <w:p>
            <w:pPr>
              <w:jc w:val="center"/>
            </w:pPr>
            <w:r/>
            <w:r>
              <w:rPr>
                <w:rFonts w:ascii="游ゴシック" w:hAnsi="游ゴシック" w:eastAsia="游ゴシック"/>
                <w:b/>
                <w:sz w:val="17"/>
              </w:rPr>
              <w:t>令和6年度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928"/>
            <w:shd w:val="clear" w:color="auto" w:fill="DCE6F1"/>
          </w:tcPr>
          <w:p>
            <w:pPr>
              <w:jc w:val="center"/>
            </w:pPr>
            <w:r/>
            <w:r>
              <w:rPr>
                <w:rFonts w:ascii="游ゴシック" w:hAnsi="游ゴシック" w:eastAsia="游ゴシック"/>
                <w:b/>
                <w:sz w:val="17"/>
              </w:rPr>
              <w:t>令和7年度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474"/>
            <w:shd w:val="clear" w:color="auto" w:fill="DCE6F1"/>
          </w:tcPr>
          <w:p>
            <w:pPr>
              <w:jc w:val="center"/>
            </w:pPr>
            <w:r/>
            <w:r>
              <w:rPr>
                <w:rFonts w:ascii="游ゴシック" w:hAnsi="游ゴシック" w:eastAsia="游ゴシック"/>
                <w:b/>
                <w:sz w:val="17"/>
              </w:rPr>
              <w:t>令和6→7年度</w:t>
            </w:r>
          </w:p>
        </w:tc>
      </w:tr>
      <w:tr>
        <w:trPr>
          <w:cantSplit/>
        </w:trP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rPr>
          <w:cantSplit/>
        </w:trP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rPr>
          <w:cantSplit/>
        </w:trP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rPr>
          <w:cantSplit/>
        </w:trP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line="269" w:lineRule="auto"/>
        <w:jc w:val="right"/>
      </w:pPr>
      <w:r>
        <w:rPr>
          <w:rFonts w:ascii="游ゴシック" w:hAnsi="游ゴシック" w:eastAsia="游ゴシック"/>
          <w:b w:val="0"/>
          <w:sz w:val="17"/>
        </w:rPr>
        <w:t>資料：大雪地区広域連合　給付費データ集計（令和6年度・令和7年度）</w:t>
      </w:r>
    </w:p>
    <w:p>
      <w:pPr>
        <w:spacing w:after="160" w:line="269" w:lineRule="auto"/>
      </w:pPr>
      <w:r>
        <w:rPr>
          <w:rFonts w:ascii="游ゴシック" w:hAnsi="游ゴシック" w:eastAsia="游ゴシック"/>
          <w:b w:val="0"/>
          <w:sz w:val="17"/>
        </w:rPr>
        <w:t>注1）本表は3町のファイルの集計値であり、計は3町の合計です。令和6年度・令和7年度とも、広域連合単位のファイルの値と要介護度ごとに円単位で一致します。</w:t>
        <w:br/>
        <w:t>注2）介護保険特別会計決算の保険給付費（令和6年度2,983,668,988円）とは対象範囲が異なります。保険料の算定には決算の値を用います（第6章第6節）。</w:t>
      </w:r>
    </w:p>
    <w:p>
      <w:pPr>
        <w:spacing w:after="80" w:line="269" w:lineRule="auto"/>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180" w:after="100"/>
      </w:pPr>
      <w:bookmarkStart w:id="114" w:name="_Toc10_014"/>
      <w:r>
        <w:rPr>
          <w:rFonts w:ascii="游ゴシック" w:hAnsi="游ゴシック" w:eastAsia="游ゴシック"/>
          <w:sz w:val="25"/>
        </w:rPr>
        <w:t>第3節 サービス提供体制の状況</w:t>
      </w:r>
      <w:bookmarkEnd w:id="114"/>
    </w:p>
    <w:p>
      <w:pPr>
        <w:spacing w:after="80" w:line="269" w:lineRule="auto"/>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874"/>
            <w:shd w:val="clear" w:color="auto" w:fill="DCE6F1"/>
          </w:tcPr>
          <w:p>
            <w:pPr>
              <w:spacing w:before="0"/>
              <w:jc w:val="center"/>
            </w:pPr>
            <w:r/>
            <w:r>
              <w:rPr>
                <w:rFonts w:ascii="游ゴシック" w:hAnsi="游ゴシック" w:eastAsia="游ゴシック"/>
                <w:b/>
                <w:sz w:val="17"/>
              </w:rPr>
              <w:t>サービス</w:t>
            </w:r>
          </w:p>
        </w:tc>
        <w:tc>
          <w:tcPr>
            <w:tcW w:type="dxa" w:w="770"/>
            <w:shd w:val="clear" w:color="auto" w:fill="DCE6F1"/>
          </w:tcPr>
          <w:p>
            <w:pPr>
              <w:jc w:val="center"/>
            </w:pPr>
            <w:r/>
            <w:r>
              <w:rPr>
                <w:rFonts w:ascii="游ゴシック" w:hAnsi="游ゴシック" w:eastAsia="游ゴシック"/>
                <w:b/>
                <w:sz w:val="17"/>
              </w:rPr>
              <w:t>大雪</w:t>
            </w:r>
          </w:p>
        </w:tc>
        <w:tc>
          <w:tcPr>
            <w:tcW w:type="dxa" w:w="872"/>
            <w:shd w:val="clear" w:color="auto" w:fill="DCE6F1"/>
          </w:tcPr>
          <w:p>
            <w:pPr>
              <w:jc w:val="center"/>
            </w:pPr>
            <w:r/>
            <w:r>
              <w:rPr>
                <w:rFonts w:ascii="游ゴシック" w:hAnsi="游ゴシック" w:eastAsia="游ゴシック"/>
                <w:b/>
                <w:sz w:val="17"/>
              </w:rPr>
              <w:t>北海道</w:t>
            </w:r>
          </w:p>
        </w:tc>
        <w:tc>
          <w:tcPr>
            <w:tcW w:type="dxa" w:w="770"/>
            <w:shd w:val="clear" w:color="auto" w:fill="DCE6F1"/>
          </w:tcPr>
          <w:p>
            <w:pPr>
              <w:jc w:val="center"/>
            </w:pPr>
            <w:r/>
            <w:r>
              <w:rPr>
                <w:rFonts w:ascii="游ゴシック" w:hAnsi="游ゴシック" w:eastAsia="游ゴシック"/>
                <w:b/>
                <w:sz w:val="17"/>
              </w:rPr>
              <w:t>全国</w:t>
            </w:r>
          </w:p>
        </w:tc>
        <w:tc>
          <w:tcPr>
            <w:tcW w:type="dxa" w:w="1745"/>
            <w:shd w:val="clear" w:color="auto" w:fill="DCE6F1"/>
          </w:tcPr>
          <w:p>
            <w:pPr>
              <w:jc w:val="center"/>
            </w:pPr>
            <w:r/>
            <w:r>
              <w:rPr>
                <w:rFonts w:ascii="游ゴシック" w:hAnsi="游ゴシック" w:eastAsia="游ゴシック"/>
                <w:b/>
                <w:sz w:val="17"/>
              </w:rPr>
              <w:t>空白の期間</w:t>
            </w:r>
          </w:p>
        </w:tc>
        <w:tc>
          <w:tcPr>
            <w:tcW w:type="dxa" w:w="2720"/>
            <w:shd w:val="clear" w:color="auto" w:fill="DCE6F1"/>
          </w:tcPr>
          <w:p>
            <w:pPr>
              <w:jc w:val="center"/>
            </w:pPr>
            <w:r/>
            <w:r>
              <w:rPr>
                <w:rFonts w:ascii="游ゴシック" w:hAnsi="游ゴシック" w:eastAsia="游ゴシック"/>
                <w:b/>
                <w:sz w:val="17"/>
              </w:rPr>
              <w:t>備考</w:t>
            </w:r>
          </w:p>
        </w:tc>
      </w:tr>
      <w:tr>
        <w:trPr>
          <w:cantSplit/>
        </w:trP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rPr>
          <w:cantSplit/>
        </w:trP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rPr>
          <w:cantSplit/>
        </w:trP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rPr>
          <w:cantSplit/>
        </w:trP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rPr>
          <w:cantSplit/>
        </w:trP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rPr>
          <w:cantSplit/>
        </w:trP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rPr>
          <w:cantSplit/>
        </w:trP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rPr>
          <w:cantSplit/>
        </w:trP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rPr>
          <w:cantSplit/>
        </w:trP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line="269" w:lineRule="auto"/>
      </w:pPr>
      <w:r>
        <w:rPr>
          <w:rFonts w:ascii="游ゴシック" w:hAnsi="游ゴシック" w:eastAsia="游ゴシック"/>
          <w:b w:val="0"/>
          <w:sz w:val="17"/>
        </w:rPr>
        <w:t>単位：人口10万対の事業所数（令和6年度）。当広域連合は実数0のため0.0と表示しています。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line="269" w:lineRule="auto"/>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rPr>
          <w:cantSplit/>
          <w:tblHeader/>
        </w:trPr>
        <w:tc>
          <w:tcPr>
            <w:tcW w:type="dxa" w:w="2361"/>
            <w:shd w:val="clear" w:color="auto" w:fill="DCE6F1"/>
          </w:tcPr>
          <w:p>
            <w:pPr>
              <w:spacing w:before="0"/>
              <w:jc w:val="center"/>
            </w:pPr>
            <w:r/>
            <w:r>
              <w:rPr>
                <w:rFonts w:ascii="游ゴシック" w:hAnsi="游ゴシック" w:eastAsia="游ゴシック"/>
                <w:b/>
                <w:sz w:val="17"/>
              </w:rPr>
              <w:t>サービス</w:t>
            </w:r>
          </w:p>
        </w:tc>
        <w:tc>
          <w:tcPr>
            <w:tcW w:type="dxa" w:w="565"/>
            <w:shd w:val="clear" w:color="auto" w:fill="DCE6F1"/>
          </w:tcPr>
          <w:p>
            <w:pPr>
              <w:jc w:val="center"/>
            </w:pPr>
            <w:r/>
            <w:r>
              <w:rPr>
                <w:rFonts w:ascii="游ゴシック" w:hAnsi="游ゴシック" w:eastAsia="游ゴシック"/>
                <w:b/>
                <w:sz w:val="17"/>
              </w:rPr>
              <w:t>H24</w:t>
            </w:r>
          </w:p>
        </w:tc>
        <w:tc>
          <w:tcPr>
            <w:tcW w:type="dxa" w:w="565"/>
            <w:shd w:val="clear" w:color="auto" w:fill="DCE6F1"/>
          </w:tcPr>
          <w:p>
            <w:pPr>
              <w:jc w:val="center"/>
            </w:pPr>
            <w:r/>
            <w:r>
              <w:rPr>
                <w:rFonts w:ascii="游ゴシック" w:hAnsi="游ゴシック" w:eastAsia="游ゴシック"/>
                <w:b/>
                <w:sz w:val="17"/>
              </w:rPr>
              <w:t>H29</w:t>
            </w:r>
          </w:p>
        </w:tc>
        <w:tc>
          <w:tcPr>
            <w:tcW w:type="dxa" w:w="565"/>
            <w:shd w:val="clear" w:color="auto" w:fill="DCE6F1"/>
          </w:tcPr>
          <w:p>
            <w:pPr>
              <w:jc w:val="center"/>
            </w:pPr>
            <w:r/>
            <w:r>
              <w:rPr>
                <w:rFonts w:ascii="游ゴシック" w:hAnsi="游ゴシック" w:eastAsia="游ゴシック"/>
                <w:b/>
                <w:sz w:val="17"/>
              </w:rPr>
              <w:t>H30</w:t>
            </w:r>
          </w:p>
        </w:tc>
        <w:tc>
          <w:tcPr>
            <w:tcW w:type="dxa" w:w="565"/>
            <w:shd w:val="clear" w:color="auto" w:fill="DCE6F1"/>
          </w:tcPr>
          <w:p>
            <w:pPr>
              <w:jc w:val="center"/>
            </w:pPr>
            <w:r/>
            <w:r>
              <w:rPr>
                <w:rFonts w:ascii="游ゴシック" w:hAnsi="游ゴシック" w:eastAsia="游ゴシック"/>
                <w:b/>
                <w:sz w:val="17"/>
              </w:rPr>
              <w:t>R元</w:t>
            </w:r>
          </w:p>
        </w:tc>
        <w:tc>
          <w:tcPr>
            <w:tcW w:type="dxa" w:w="565"/>
            <w:shd w:val="clear" w:color="auto" w:fill="DCE6F1"/>
          </w:tcPr>
          <w:p>
            <w:pPr>
              <w:jc w:val="center"/>
            </w:pPr>
            <w:r/>
            <w:r>
              <w:rPr>
                <w:rFonts w:ascii="游ゴシック" w:hAnsi="游ゴシック" w:eastAsia="游ゴシック"/>
                <w:b/>
                <w:sz w:val="17"/>
              </w:rPr>
              <w:t>R3</w:t>
            </w:r>
          </w:p>
        </w:tc>
        <w:tc>
          <w:tcPr>
            <w:tcW w:type="dxa" w:w="565"/>
            <w:shd w:val="clear" w:color="auto" w:fill="DCE6F1"/>
          </w:tcPr>
          <w:p>
            <w:pPr>
              <w:jc w:val="center"/>
            </w:pPr>
            <w:r/>
            <w:r>
              <w:rPr>
                <w:rFonts w:ascii="游ゴシック" w:hAnsi="游ゴシック" w:eastAsia="游ゴシック"/>
                <w:b/>
                <w:sz w:val="17"/>
              </w:rPr>
              <w:t>R4</w:t>
            </w:r>
          </w:p>
        </w:tc>
        <w:tc>
          <w:tcPr>
            <w:tcW w:type="dxa" w:w="565"/>
            <w:shd w:val="clear" w:color="auto" w:fill="DCE6F1"/>
          </w:tcPr>
          <w:p>
            <w:pPr>
              <w:jc w:val="center"/>
            </w:pPr>
            <w:r/>
            <w:r>
              <w:rPr>
                <w:rFonts w:ascii="游ゴシック" w:hAnsi="游ゴシック" w:eastAsia="游ゴシック"/>
                <w:b/>
                <w:sz w:val="17"/>
              </w:rPr>
              <w:t>R5</w:t>
            </w:r>
          </w:p>
        </w:tc>
        <w:tc>
          <w:tcPr>
            <w:tcW w:type="dxa" w:w="565"/>
            <w:shd w:val="clear" w:color="auto" w:fill="DCE6F1"/>
          </w:tcPr>
          <w:p>
            <w:pPr>
              <w:jc w:val="center"/>
            </w:pPr>
            <w:r/>
            <w:r>
              <w:rPr>
                <w:rFonts w:ascii="游ゴシック" w:hAnsi="游ゴシック" w:eastAsia="游ゴシック"/>
                <w:b/>
                <w:sz w:val="17"/>
              </w:rPr>
              <w:t>R6</w:t>
            </w:r>
          </w:p>
        </w:tc>
        <w:tc>
          <w:tcPr>
            <w:tcW w:type="dxa" w:w="821"/>
            <w:shd w:val="clear" w:color="auto" w:fill="DCE6F1"/>
          </w:tcPr>
          <w:p>
            <w:pPr>
              <w:jc w:val="center"/>
            </w:pPr>
            <w:r/>
            <w:r>
              <w:rPr>
                <w:rFonts w:ascii="游ゴシック" w:hAnsi="游ゴシック" w:eastAsia="游ゴシック"/>
                <w:b/>
                <w:sz w:val="17"/>
              </w:rPr>
              <w:t>H24→R6</w:t>
            </w:r>
          </w:p>
        </w:tc>
        <w:tc>
          <w:tcPr>
            <w:tcW w:type="dxa" w:w="2053"/>
            <w:shd w:val="clear" w:color="auto" w:fill="DCE6F1"/>
          </w:tcPr>
          <w:p>
            <w:pPr>
              <w:jc w:val="center"/>
            </w:pPr>
            <w:r/>
            <w:r>
              <w:rPr>
                <w:rFonts w:ascii="游ゴシック" w:hAnsi="游ゴシック" w:eastAsia="游ゴシック"/>
                <w:b/>
                <w:sz w:val="17"/>
              </w:rPr>
              <w:t>評価</w:t>
            </w:r>
          </w:p>
        </w:tc>
      </w:tr>
      <w:tr>
        <w:trPr>
          <w:cantSplit/>
        </w:trP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rPr>
          <w:cantSplit/>
        </w:trP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rPr>
          <w:cantSplit/>
        </w:trP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rPr>
          <w:cantSplit/>
        </w:trP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rPr>
          <w:cantSplit/>
        </w:trP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rPr>
          <w:cantSplit/>
        </w:trP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rPr>
          <w:cantSplit/>
        </w:trP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rPr>
          <w:cantSplit/>
        </w:trP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rPr>
          <w:cantSplit/>
        </w:trP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rPr>
          <w:cantSplit/>
        </w:trP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line="269" w:lineRule="auto"/>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45"/>
            <w:shd w:val="clear" w:color="auto" w:fill="DCE6F1"/>
          </w:tcPr>
          <w:p>
            <w:pPr>
              <w:spacing w:before="0"/>
              <w:jc w:val="center"/>
            </w:pPr>
            <w:r/>
            <w:r>
              <w:rPr>
                <w:rFonts w:ascii="游ゴシック" w:hAnsi="游ゴシック" w:eastAsia="游ゴシック"/>
                <w:b/>
                <w:sz w:val="17"/>
              </w:rPr>
              <w:t>サービス</w:t>
            </w:r>
          </w:p>
        </w:tc>
        <w:tc>
          <w:tcPr>
            <w:tcW w:type="dxa" w:w="1658"/>
            <w:shd w:val="clear" w:color="auto" w:fill="DCE6F1"/>
          </w:tcPr>
          <w:p>
            <w:pPr>
              <w:jc w:val="center"/>
            </w:pPr>
            <w:r/>
            <w:r>
              <w:rPr>
                <w:rFonts w:ascii="游ゴシック" w:hAnsi="游ゴシック" w:eastAsia="游ゴシック"/>
                <w:b/>
                <w:sz w:val="17"/>
              </w:rPr>
              <w:t>事業所数の変化</w:t>
            </w:r>
          </w:p>
        </w:tc>
        <w:tc>
          <w:tcPr>
            <w:tcW w:type="dxa" w:w="2145"/>
            <w:shd w:val="clear" w:color="auto" w:fill="DCE6F1"/>
          </w:tcPr>
          <w:p>
            <w:pPr>
              <w:jc w:val="center"/>
            </w:pPr>
            <w:r/>
            <w:r>
              <w:rPr>
                <w:rFonts w:ascii="游ゴシック" w:hAnsi="游ゴシック" w:eastAsia="游ゴシック"/>
                <w:b/>
                <w:sz w:val="17"/>
              </w:rPr>
              <w:t>定員の変化</w:t>
            </w:r>
          </w:p>
        </w:tc>
        <w:tc>
          <w:tcPr>
            <w:tcW w:type="dxa" w:w="1268"/>
            <w:shd w:val="clear" w:color="auto" w:fill="DCE6F1"/>
          </w:tcPr>
          <w:p>
            <w:pPr>
              <w:jc w:val="center"/>
            </w:pPr>
            <w:r/>
            <w:r>
              <w:rPr>
                <w:rFonts w:ascii="游ゴシック" w:hAnsi="游ゴシック" w:eastAsia="游ゴシック"/>
                <w:b/>
                <w:sz w:val="17"/>
              </w:rPr>
              <w:t>給付月額の変化</w:t>
            </w:r>
          </w:p>
        </w:tc>
        <w:tc>
          <w:tcPr>
            <w:tcW w:type="dxa" w:w="2535"/>
            <w:shd w:val="clear" w:color="auto" w:fill="DCE6F1"/>
          </w:tcPr>
          <w:p>
            <w:pPr>
              <w:jc w:val="center"/>
            </w:pPr>
            <w:r/>
            <w:r>
              <w:rPr>
                <w:rFonts w:ascii="游ゴシック" w:hAnsi="游ゴシック" w:eastAsia="游ゴシック"/>
                <w:b/>
                <w:sz w:val="17"/>
              </w:rPr>
              <w:t>読み方</w:t>
            </w:r>
          </w:p>
        </w:tc>
      </w:tr>
      <w:tr>
        <w:trPr>
          <w:cantSplit/>
        </w:trP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rPr>
          <w:cantSplit/>
        </w:trP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1事業所の減がそのまま定員減となっている（1ユニット18人相当）。既存の事業所において定員の変更があったかは［要確認］</w:t>
            </w:r>
          </w:p>
        </w:tc>
      </w:tr>
      <w:tr>
        <w:trPr>
          <w:cantSplit/>
        </w:trP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rPr>
          <w:cantSplit/>
        </w:trP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rPr>
          <w:cantSplit/>
        </w:trP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line="269" w:lineRule="auto"/>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3061"/>
            <w:shd w:val="clear" w:color="auto" w:fill="DCE6F1"/>
          </w:tcPr>
          <w:p>
            <w:pPr>
              <w:jc w:val="center"/>
            </w:pPr>
            <w:r/>
            <w:r>
              <w:rPr>
                <w:rFonts w:ascii="游ゴシック" w:hAnsi="游ゴシック" w:eastAsia="游ゴシック"/>
                <w:b/>
                <w:sz w:val="17"/>
              </w:rPr>
              <w:t>サービス</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247"/>
            <w:shd w:val="clear" w:color="auto" w:fill="DCE6F1"/>
          </w:tcPr>
          <w:p>
            <w:pPr>
              <w:jc w:val="center"/>
            </w:pPr>
            <w:r/>
            <w:r>
              <w:rPr>
                <w:rFonts w:ascii="游ゴシック" w:hAnsi="游ゴシック" w:eastAsia="游ゴシック"/>
                <w:b/>
                <w:sz w:val="17"/>
              </w:rPr>
              <w:t>大雪／全国</w:t>
            </w:r>
          </w:p>
        </w:tc>
      </w:tr>
      <w:tr>
        <w:trPr>
          <w:cantSplit/>
        </w:trP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rPr>
          <w:cantSplit/>
        </w:trP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line="269" w:lineRule="auto"/>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line="269" w:lineRule="auto"/>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928"/>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東川町</w:t>
            </w:r>
          </w:p>
        </w:tc>
        <w:tc>
          <w:tcPr>
            <w:tcW w:type="dxa" w:w="1361"/>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c>
          <w:tcPr>
            <w:tcW w:type="dxa" w:w="1587"/>
            <w:shd w:val="clear" w:color="auto" w:fill="DCE6F1"/>
          </w:tcPr>
          <w:p>
            <w:pPr>
              <w:jc w:val="center"/>
            </w:pPr>
            <w:r/>
            <w:r>
              <w:rPr>
                <w:rFonts w:ascii="游ゴシック" w:hAnsi="游ゴシック" w:eastAsia="游ゴシック"/>
                <w:b/>
                <w:sz w:val="17"/>
              </w:rPr>
              <w:t>上川管内平均</w:t>
            </w:r>
          </w:p>
        </w:tc>
        <w:tc>
          <w:tcPr>
            <w:tcW w:type="dxa" w:w="1361"/>
            <w:shd w:val="clear" w:color="auto" w:fill="DCE6F1"/>
          </w:tcPr>
          <w:p>
            <w:pPr>
              <w:jc w:val="center"/>
            </w:pPr>
            <w:r/>
            <w:r>
              <w:rPr>
                <w:rFonts w:ascii="游ゴシック" w:hAnsi="游ゴシック" w:eastAsia="游ゴシック"/>
                <w:b/>
                <w:sz w:val="17"/>
              </w:rPr>
              <w:t>旭川市</w:t>
            </w:r>
          </w:p>
        </w:tc>
      </w:tr>
      <w:tr>
        <w:trPr>
          <w:cantSplit/>
        </w:trP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rPr>
          <w:cantSplit/>
        </w:trP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rPr>
          <w:cantSplit/>
        </w:trP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rPr>
          <w:cantSplit/>
        </w:trP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rPr>
          <w:cantSplit/>
        </w:trP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line="269" w:lineRule="auto"/>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line="269" w:lineRule="auto"/>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line="269" w:lineRule="auto"/>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line="269" w:lineRule="auto"/>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line="269" w:lineRule="auto"/>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line="269" w:lineRule="auto"/>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line="269" w:lineRule="auto"/>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line="269" w:lineRule="auto"/>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572"/>
            <w:shd w:val="clear" w:color="auto" w:fill="DCE6F1"/>
          </w:tcPr>
          <w:p>
            <w:pPr>
              <w:spacing w:before="0"/>
              <w:jc w:val="center"/>
            </w:pPr>
            <w:r/>
            <w:r>
              <w:rPr>
                <w:rFonts w:ascii="游ゴシック" w:hAnsi="游ゴシック" w:eastAsia="游ゴシック"/>
                <w:b/>
                <w:sz w:val="17"/>
              </w:rPr>
              <w:t>サービス</w:t>
            </w:r>
          </w:p>
        </w:tc>
        <w:tc>
          <w:tcPr>
            <w:tcW w:type="dxa" w:w="1179"/>
            <w:shd w:val="clear" w:color="auto" w:fill="DCE6F1"/>
          </w:tcPr>
          <w:p>
            <w:pPr>
              <w:jc w:val="center"/>
            </w:pPr>
            <w:r/>
            <w:r>
              <w:rPr>
                <w:rFonts w:ascii="游ゴシック" w:hAnsi="游ゴシック" w:eastAsia="游ゴシック"/>
                <w:b/>
                <w:sz w:val="17"/>
              </w:rPr>
              <w:t>H29</w:t>
            </w:r>
          </w:p>
        </w:tc>
        <w:tc>
          <w:tcPr>
            <w:tcW w:type="dxa" w:w="1179"/>
            <w:shd w:val="clear" w:color="auto" w:fill="DCE6F1"/>
          </w:tcPr>
          <w:p>
            <w:pPr>
              <w:jc w:val="center"/>
            </w:pPr>
            <w:r/>
            <w:r>
              <w:rPr>
                <w:rFonts w:ascii="游ゴシック" w:hAnsi="游ゴシック" w:eastAsia="游ゴシック"/>
                <w:b/>
                <w:sz w:val="17"/>
              </w:rPr>
              <w:t>R6</w:t>
            </w:r>
          </w:p>
        </w:tc>
        <w:tc>
          <w:tcPr>
            <w:tcW w:type="dxa" w:w="1179"/>
            <w:shd w:val="clear" w:color="auto" w:fill="DCE6F1"/>
          </w:tcPr>
          <w:p>
            <w:pPr>
              <w:jc w:val="center"/>
            </w:pPr>
            <w:r/>
            <w:r>
              <w:rPr>
                <w:rFonts w:ascii="游ゴシック" w:hAnsi="游ゴシック" w:eastAsia="游ゴシック"/>
                <w:b/>
                <w:sz w:val="17"/>
              </w:rPr>
              <w:t>増減率</w:t>
            </w:r>
          </w:p>
        </w:tc>
        <w:tc>
          <w:tcPr>
            <w:tcW w:type="dxa" w:w="1500"/>
            <w:shd w:val="clear" w:color="auto" w:fill="DCE6F1"/>
          </w:tcPr>
          <w:p>
            <w:pPr>
              <w:jc w:val="center"/>
            </w:pPr>
            <w:r/>
            <w:r>
              <w:rPr>
                <w:rFonts w:ascii="游ゴシック" w:hAnsi="游ゴシック" w:eastAsia="游ゴシック"/>
                <w:b/>
                <w:sz w:val="17"/>
              </w:rPr>
              <w:t>認定者1万対（R6）</w:t>
            </w:r>
          </w:p>
        </w:tc>
        <w:tc>
          <w:tcPr>
            <w:tcW w:type="dxa" w:w="1179"/>
            <w:shd w:val="clear" w:color="auto" w:fill="DCE6F1"/>
          </w:tcPr>
          <w:p>
            <w:pPr>
              <w:jc w:val="center"/>
            </w:pPr>
            <w:r/>
            <w:r>
              <w:rPr>
                <w:rFonts w:ascii="游ゴシック" w:hAnsi="游ゴシック" w:eastAsia="游ゴシック"/>
                <w:b/>
                <w:sz w:val="17"/>
              </w:rPr>
              <w:t>全国</w:t>
            </w:r>
          </w:p>
        </w:tc>
        <w:tc>
          <w:tcPr>
            <w:tcW w:type="dxa" w:w="964"/>
            <w:shd w:val="clear" w:color="auto" w:fill="DCE6F1"/>
          </w:tcPr>
          <w:p>
            <w:pPr>
              <w:jc w:val="center"/>
            </w:pPr>
            <w:r/>
            <w:r>
              <w:rPr>
                <w:rFonts w:ascii="游ゴシック" w:hAnsi="游ゴシック" w:eastAsia="游ゴシック"/>
                <w:b/>
                <w:sz w:val="17"/>
              </w:rPr>
              <w:t>大雪／全国</w:t>
            </w:r>
          </w:p>
        </w:tc>
      </w:tr>
      <w:tr>
        <w:trPr>
          <w:cantSplit/>
        </w:trP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rPr>
          <w:cantSplit/>
        </w:trP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rPr>
          <w:cantSplit/>
        </w:trP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rPr>
          <w:cantSplit/>
        </w:trP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rPr>
          <w:cantSplit/>
        </w:trP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rPr>
          <w:cantSplit/>
        </w:trP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line="269" w:lineRule="auto"/>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注4）本表の従事者数は、厚生労働省「介護サービス施設・事業所調査」によるサービス別の値です。構成3町から提供を受けた社会資源一覧の従業員数は、同一の施設が複数のサービスで登録されている場合に同じ職員がサービスごとに数えられるため、延べの値となります。供給の担い手の分析には施設単位の実人数を用い、延べの値は用い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587"/>
            <w:shd w:val="clear" w:color="auto" w:fill="DCE6F1"/>
          </w:tcPr>
          <w:p>
            <w:pPr>
              <w:spacing w:before="0"/>
              <w:jc w:val="center"/>
            </w:pPr>
            <w:r/>
            <w:r>
              <w:rPr>
                <w:rFonts w:ascii="游ゴシック" w:hAnsi="游ゴシック" w:eastAsia="游ゴシック"/>
                <w:b/>
                <w:sz w:val="17"/>
              </w:rPr>
              <w:t>職種</w:t>
            </w:r>
          </w:p>
        </w:tc>
        <w:tc>
          <w:tcPr>
            <w:tcW w:type="dxa" w:w="624"/>
            <w:shd w:val="clear" w:color="auto" w:fill="DCE6F1"/>
          </w:tcPr>
          <w:p>
            <w:pPr>
              <w:jc w:val="center"/>
            </w:pPr>
            <w:r/>
            <w:r>
              <w:rPr>
                <w:rFonts w:ascii="游ゴシック" w:hAnsi="游ゴシック" w:eastAsia="游ゴシック"/>
                <w:b/>
                <w:sz w:val="17"/>
              </w:rPr>
              <w:t>H29</w:t>
            </w:r>
          </w:p>
        </w:tc>
        <w:tc>
          <w:tcPr>
            <w:tcW w:type="dxa" w:w="624"/>
            <w:shd w:val="clear" w:color="auto" w:fill="DCE6F1"/>
          </w:tcPr>
          <w:p>
            <w:pPr>
              <w:jc w:val="center"/>
            </w:pPr>
            <w:r/>
            <w:r>
              <w:rPr>
                <w:rFonts w:ascii="游ゴシック" w:hAnsi="游ゴシック" w:eastAsia="游ゴシック"/>
                <w:b/>
                <w:sz w:val="17"/>
              </w:rPr>
              <w:t>H30</w:t>
            </w:r>
          </w:p>
        </w:tc>
        <w:tc>
          <w:tcPr>
            <w:tcW w:type="dxa" w:w="624"/>
            <w:shd w:val="clear" w:color="auto" w:fill="DCE6F1"/>
          </w:tcPr>
          <w:p>
            <w:pPr>
              <w:jc w:val="center"/>
            </w:pPr>
            <w:r/>
            <w:r>
              <w:rPr>
                <w:rFonts w:ascii="游ゴシック" w:hAnsi="游ゴシック" w:eastAsia="游ゴシック"/>
                <w:b/>
                <w:sz w:val="17"/>
              </w:rPr>
              <w:t>R元</w:t>
            </w:r>
          </w:p>
        </w:tc>
        <w:tc>
          <w:tcPr>
            <w:tcW w:type="dxa" w:w="624"/>
            <w:shd w:val="clear" w:color="auto" w:fill="DCE6F1"/>
          </w:tcPr>
          <w:p>
            <w:pPr>
              <w:jc w:val="center"/>
            </w:pPr>
            <w:r/>
            <w:r>
              <w:rPr>
                <w:rFonts w:ascii="游ゴシック" w:hAnsi="游ゴシック" w:eastAsia="游ゴシック"/>
                <w:b/>
                <w:sz w:val="17"/>
              </w:rPr>
              <w:t>R3</w:t>
            </w:r>
          </w:p>
        </w:tc>
        <w:tc>
          <w:tcPr>
            <w:tcW w:type="dxa" w:w="624"/>
            <w:shd w:val="clear" w:color="auto" w:fill="DCE6F1"/>
          </w:tcPr>
          <w:p>
            <w:pPr>
              <w:jc w:val="center"/>
            </w:pPr>
            <w:r/>
            <w:r>
              <w:rPr>
                <w:rFonts w:ascii="游ゴシック" w:hAnsi="游ゴシック" w:eastAsia="游ゴシック"/>
                <w:b/>
                <w:sz w:val="17"/>
              </w:rPr>
              <w:t>R4</w:t>
            </w:r>
          </w:p>
        </w:tc>
        <w:tc>
          <w:tcPr>
            <w:tcW w:type="dxa" w:w="624"/>
            <w:shd w:val="clear" w:color="auto" w:fill="DCE6F1"/>
          </w:tcPr>
          <w:p>
            <w:pPr>
              <w:jc w:val="center"/>
            </w:pPr>
            <w:r/>
            <w:r>
              <w:rPr>
                <w:rFonts w:ascii="游ゴシック" w:hAnsi="游ゴシック" w:eastAsia="游ゴシック"/>
                <w:b/>
                <w:sz w:val="17"/>
              </w:rPr>
              <w:t>R5</w:t>
            </w:r>
          </w:p>
        </w:tc>
        <w:tc>
          <w:tcPr>
            <w:tcW w:type="dxa" w:w="624"/>
            <w:shd w:val="clear" w:color="auto" w:fill="DCE6F1"/>
          </w:tcPr>
          <w:p>
            <w:pPr>
              <w:jc w:val="center"/>
            </w:pPr>
            <w:r/>
            <w:r>
              <w:rPr>
                <w:rFonts w:ascii="游ゴシック" w:hAnsi="游ゴシック" w:eastAsia="游ゴシック"/>
                <w:b/>
                <w:sz w:val="17"/>
              </w:rPr>
              <w:t>R6</w:t>
            </w:r>
          </w:p>
        </w:tc>
        <w:tc>
          <w:tcPr>
            <w:tcW w:type="dxa" w:w="794"/>
            <w:shd w:val="clear" w:color="auto" w:fill="DCE6F1"/>
          </w:tcPr>
          <w:p>
            <w:pPr>
              <w:jc w:val="center"/>
            </w:pPr>
            <w:r/>
            <w:r>
              <w:rPr>
                <w:rFonts w:ascii="游ゴシック" w:hAnsi="游ゴシック" w:eastAsia="游ゴシック"/>
                <w:b/>
                <w:sz w:val="17"/>
              </w:rPr>
              <w:t>H29→R6</w:t>
            </w:r>
          </w:p>
        </w:tc>
        <w:tc>
          <w:tcPr>
            <w:tcW w:type="dxa" w:w="3005"/>
            <w:shd w:val="clear" w:color="auto" w:fill="DCE6F1"/>
          </w:tcPr>
          <w:p>
            <w:pPr>
              <w:jc w:val="center"/>
            </w:pPr>
            <w:r/>
            <w:r>
              <w:rPr>
                <w:rFonts w:ascii="游ゴシック" w:hAnsi="游ゴシック" w:eastAsia="游ゴシック"/>
                <w:b/>
                <w:sz w:val="17"/>
              </w:rPr>
              <w:t>評価</w:t>
            </w:r>
          </w:p>
        </w:tc>
      </w:tr>
      <w:tr>
        <w:trPr>
          <w:cantSplit/>
        </w:trP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rPr>
          <w:cantSplit/>
        </w:trP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rPr>
          <w:cantSplit/>
        </w:trP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rPr>
          <w:cantSplit/>
        </w:trP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rPr>
          <w:cantSplit/>
        </w:trP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【リハビリテーション専門職の配置】</w:t>
      </w:r>
    </w:p>
    <w:p>
      <w:pPr>
        <w:spacing w:after="80" w:line="269" w:lineRule="auto"/>
      </w:pPr>
      <w:r>
        <w:rPr>
          <w:rFonts w:ascii="游ゴシック" w:hAnsi="游ゴシック" w:eastAsia="游ゴシック"/>
          <w:b w:val="0"/>
          <w:sz w:val="21"/>
        </w:rPr>
        <w:t>リハビリテーション専門職の配置は、3職種とも全国を上回ります。理学療法士は全国の1.67倍、言語聴覚士は2.41倍です。訪問リハビリテーション・通所リハビリテーションの事業所数も認定者1万人当たりで全国を上回っており、リハビリテーションの提供体制は当区域の強みです。</w:t>
      </w:r>
    </w:p>
    <w:p>
      <w:pPr>
        <w:spacing w:after="20" w:line="269" w:lineRule="auto"/>
        <w:jc w:val="right"/>
      </w:pPr>
      <w:r>
        <w:rPr>
          <w:rFonts w:ascii="游ゴシック" w:hAnsi="游ゴシック" w:eastAsia="游ゴシック"/>
          <w:b w:val="0"/>
          <w:sz w:val="17"/>
        </w:rPr>
        <w:t>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020"/>
            <w:shd w:val="clear" w:color="auto" w:fill="DCE6F1"/>
          </w:tcPr>
          <w:p>
            <w:pPr>
              <w:jc w:val="center"/>
            </w:pPr>
            <w:r/>
            <w:r>
              <w:rPr>
                <w:rFonts w:ascii="游ゴシック" w:hAnsi="游ゴシック" w:eastAsia="游ゴシック"/>
                <w:b/>
                <w:sz w:val="17"/>
              </w:rPr>
              <w:t>実数</w:t>
            </w:r>
          </w:p>
        </w:tc>
        <w:tc>
          <w:tcPr>
            <w:tcW w:type="dxa" w:w="794"/>
            <w:shd w:val="clear" w:color="auto" w:fill="DCE6F1"/>
          </w:tcPr>
          <w:p>
            <w:pPr>
              <w:jc w:val="center"/>
            </w:pPr>
            <w:r/>
            <w:r>
              <w:rPr>
                <w:rFonts w:ascii="游ゴシック" w:hAnsi="游ゴシック" w:eastAsia="游ゴシック"/>
                <w:b/>
                <w:sz w:val="17"/>
              </w:rPr>
              <w:t>年度</w:t>
            </w:r>
          </w:p>
        </w:tc>
      </w:tr>
      <w:tr>
        <w:trPr>
          <w:cantSplit/>
        </w:trPr>
        <w:tc>
          <w:tcPr>
            <w:tcW w:type="dxa" w:w="3061"/>
          </w:tcPr>
          <w:p>
            <w:r/>
            <w:r>
              <w:rPr>
                <w:rFonts w:ascii="游ゴシック" w:hAnsi="游ゴシック" w:eastAsia="游ゴシック"/>
                <w:sz w:val="17"/>
              </w:rPr>
              <w:t>理学療法士</w:t>
            </w:r>
          </w:p>
        </w:tc>
        <w:tc>
          <w:tcPr>
            <w:tcW w:type="dxa" w:w="1134"/>
          </w:tcPr>
          <w:p>
            <w:r/>
            <w:r>
              <w:rPr>
                <w:rFonts w:ascii="游ゴシック" w:hAnsi="游ゴシック" w:eastAsia="游ゴシック"/>
                <w:sz w:val="17"/>
              </w:rPr>
              <w:t>61.16</w:t>
            </w:r>
          </w:p>
        </w:tc>
        <w:tc>
          <w:tcPr>
            <w:tcW w:type="dxa" w:w="1134"/>
          </w:tcPr>
          <w:p>
            <w:r/>
            <w:r>
              <w:rPr>
                <w:rFonts w:ascii="游ゴシック" w:hAnsi="游ゴシック" w:eastAsia="游ゴシック"/>
                <w:sz w:val="17"/>
              </w:rPr>
              <w:t>25.51</w:t>
            </w:r>
          </w:p>
        </w:tc>
        <w:tc>
          <w:tcPr>
            <w:tcW w:type="dxa" w:w="1134"/>
          </w:tcPr>
          <w:p>
            <w:r/>
            <w:r>
              <w:rPr>
                <w:rFonts w:ascii="游ゴシック" w:hAnsi="游ゴシック" w:eastAsia="游ゴシック"/>
                <w:sz w:val="17"/>
              </w:rPr>
              <w:t>36.53</w:t>
            </w:r>
          </w:p>
        </w:tc>
        <w:tc>
          <w:tcPr>
            <w:tcW w:type="dxa" w:w="1134"/>
          </w:tcPr>
          <w:p>
            <w:r/>
            <w:r>
              <w:rPr>
                <w:rFonts w:ascii="游ゴシック" w:hAnsi="游ゴシック" w:eastAsia="游ゴシック"/>
                <w:sz w:val="17"/>
              </w:rPr>
              <w:t>1.67</w:t>
            </w:r>
          </w:p>
        </w:tc>
        <w:tc>
          <w:tcPr>
            <w:tcW w:type="dxa" w:w="1020"/>
          </w:tcPr>
          <w:p>
            <w:r/>
            <w:r>
              <w:rPr>
                <w:rFonts w:ascii="游ゴシック" w:hAnsi="游ゴシック" w:eastAsia="游ゴシック"/>
                <w:sz w:val="17"/>
              </w:rPr>
              <w:t>12人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作業療法士</w:t>
            </w:r>
          </w:p>
        </w:tc>
        <w:tc>
          <w:tcPr>
            <w:tcW w:type="dxa" w:w="1134"/>
          </w:tcPr>
          <w:p>
            <w:r/>
            <w:r>
              <w:rPr>
                <w:rFonts w:ascii="游ゴシック" w:hAnsi="游ゴシック" w:eastAsia="游ゴシック"/>
                <w:sz w:val="17"/>
              </w:rPr>
              <w:t>20.39</w:t>
            </w:r>
          </w:p>
        </w:tc>
        <w:tc>
          <w:tcPr>
            <w:tcW w:type="dxa" w:w="1134"/>
          </w:tcPr>
          <w:p>
            <w:r/>
            <w:r>
              <w:rPr>
                <w:rFonts w:ascii="游ゴシック" w:hAnsi="游ゴシック" w:eastAsia="游ゴシック"/>
                <w:sz w:val="17"/>
              </w:rPr>
              <w:t>17.02</w:t>
            </w:r>
          </w:p>
        </w:tc>
        <w:tc>
          <w:tcPr>
            <w:tcW w:type="dxa" w:w="1134"/>
          </w:tcPr>
          <w:p>
            <w:r/>
            <w:r>
              <w:rPr>
                <w:rFonts w:ascii="游ゴシック" w:hAnsi="游ゴシック" w:eastAsia="游ゴシック"/>
                <w:sz w:val="17"/>
              </w:rPr>
              <w:t>18.28</w:t>
            </w:r>
          </w:p>
        </w:tc>
        <w:tc>
          <w:tcPr>
            <w:tcW w:type="dxa" w:w="1134"/>
          </w:tcPr>
          <w:p>
            <w:r/>
            <w:r>
              <w:rPr>
                <w:rFonts w:ascii="游ゴシック" w:hAnsi="游ゴシック" w:eastAsia="游ゴシック"/>
                <w:sz w:val="17"/>
              </w:rPr>
              <w:t>1.12</w:t>
            </w:r>
          </w:p>
        </w:tc>
        <w:tc>
          <w:tcPr>
            <w:tcW w:type="dxa" w:w="1020"/>
          </w:tcPr>
          <w:p>
            <w:r/>
            <w:r>
              <w:rPr>
                <w:rFonts w:ascii="游ゴシック" w:hAnsi="游ゴシック" w:eastAsia="游ゴシック"/>
                <w:sz w:val="17"/>
              </w:rPr>
              <w:t>4人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言語聴覚士</w:t>
            </w:r>
          </w:p>
        </w:tc>
        <w:tc>
          <w:tcPr>
            <w:tcW w:type="dxa" w:w="1134"/>
          </w:tcPr>
          <w:p>
            <w:r/>
            <w:r>
              <w:rPr>
                <w:rFonts w:ascii="游ゴシック" w:hAnsi="游ゴシック" w:eastAsia="游ゴシック"/>
                <w:sz w:val="17"/>
              </w:rPr>
              <w:t>10.19</w:t>
            </w:r>
          </w:p>
        </w:tc>
        <w:tc>
          <w:tcPr>
            <w:tcW w:type="dxa" w:w="1134"/>
          </w:tcPr>
          <w:p>
            <w:r/>
            <w:r>
              <w:rPr>
                <w:rFonts w:ascii="游ゴシック" w:hAnsi="游ゴシック" w:eastAsia="游ゴシック"/>
                <w:sz w:val="17"/>
              </w:rPr>
              <w:t>4.03</w:t>
            </w:r>
          </w:p>
        </w:tc>
        <w:tc>
          <w:tcPr>
            <w:tcW w:type="dxa" w:w="1134"/>
          </w:tcPr>
          <w:p>
            <w:r/>
            <w:r>
              <w:rPr>
                <w:rFonts w:ascii="游ゴシック" w:hAnsi="游ゴシック" w:eastAsia="游ゴシック"/>
                <w:sz w:val="17"/>
              </w:rPr>
              <w:t>4.22</w:t>
            </w:r>
          </w:p>
        </w:tc>
        <w:tc>
          <w:tcPr>
            <w:tcW w:type="dxa" w:w="1134"/>
          </w:tcPr>
          <w:p>
            <w:r/>
            <w:r>
              <w:rPr>
                <w:rFonts w:ascii="游ゴシック" w:hAnsi="游ゴシック" w:eastAsia="游ゴシック"/>
                <w:sz w:val="17"/>
              </w:rPr>
              <w:t>2.41</w:t>
            </w:r>
          </w:p>
        </w:tc>
        <w:tc>
          <w:tcPr>
            <w:tcW w:type="dxa" w:w="1020"/>
          </w:tcPr>
          <w:p>
            <w:r/>
            <w:r>
              <w:rPr>
                <w:rFonts w:ascii="游ゴシック" w:hAnsi="游ゴシック" w:eastAsia="游ゴシック"/>
                <w:sz w:val="17"/>
              </w:rPr>
              <w:t>2人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訪問リハビリテーション事業所数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8.60</w:t>
            </w:r>
          </w:p>
        </w:tc>
        <w:tc>
          <w:tcPr>
            <w:tcW w:type="dxa" w:w="1134"/>
          </w:tcPr>
          <w:p>
            <w:r/>
            <w:r>
              <w:rPr>
                <w:rFonts w:ascii="游ゴシック" w:hAnsi="游ゴシック" w:eastAsia="游ゴシック"/>
                <w:sz w:val="17"/>
              </w:rPr>
              <w:t>8.78</w:t>
            </w:r>
          </w:p>
        </w:tc>
        <w:tc>
          <w:tcPr>
            <w:tcW w:type="dxa" w:w="1134"/>
          </w:tcPr>
          <w:p>
            <w:r/>
            <w:r>
              <w:rPr>
                <w:rFonts w:ascii="游ゴシック" w:hAnsi="游ゴシック" w:eastAsia="游ゴシック"/>
                <w:sz w:val="17"/>
              </w:rPr>
              <w:t>1.74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通所リハビリテーション事業所数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8.09</w:t>
            </w:r>
          </w:p>
        </w:tc>
        <w:tc>
          <w:tcPr>
            <w:tcW w:type="dxa" w:w="1134"/>
          </w:tcPr>
          <w:p>
            <w:r/>
            <w:r>
              <w:rPr>
                <w:rFonts w:ascii="游ゴシック" w:hAnsi="游ゴシック" w:eastAsia="游ゴシック"/>
                <w:sz w:val="17"/>
              </w:rPr>
              <w:t>11.45</w:t>
            </w:r>
          </w:p>
        </w:tc>
        <w:tc>
          <w:tcPr>
            <w:tcW w:type="dxa" w:w="1134"/>
          </w:tcPr>
          <w:p>
            <w:r/>
            <w:r>
              <w:rPr>
                <w:rFonts w:ascii="游ゴシック" w:hAnsi="游ゴシック" w:eastAsia="游ゴシック"/>
                <w:sz w:val="17"/>
              </w:rPr>
              <w:t>1.34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bl>
    <w:p>
      <w:pPr>
        <w:spacing w:after="160" w:line="269" w:lineRule="auto"/>
        <w:jc w:val="right"/>
      </w:pPr>
      <w:r>
        <w:rPr>
          <w:rFonts w:ascii="游ゴシック" w:hAnsi="游ゴシック" w:eastAsia="游ゴシック"/>
          <w:b w:val="0"/>
          <w:sz w:val="17"/>
        </w:rPr>
        <w:t>資料：地域包括ケア「見える化」システム M1系列・K3系列</w:t>
      </w:r>
    </w:p>
    <w:p>
      <w:pPr>
        <w:spacing w:after="160" w:line="269" w:lineRule="auto"/>
      </w:pPr>
      <w:r>
        <w:rPr>
          <w:rFonts w:ascii="游ゴシック" w:hAnsi="游ゴシック" w:eastAsia="游ゴシック"/>
          <w:b w:val="0"/>
          <w:sz w:val="17"/>
        </w:rPr>
        <w:t>注）3職種はいずれも介護老人保健施設及び通所リハビリテーション（老健）に所属する職員です。作業療法士は令和3年度の11人から令和5年度に4人へ減っており、個々の事業所の状況により変動します。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リハビリテーション関係の加算の算定状況をみると、11指標のうち6指標が全国の2倍以上です。とりわけ生活機能向上連携加算（全国比2.24）と入所前後訪問指導加算（同2.10）は、リハビリテーション専門職が居宅を訪問し生活環境を評価する取組であり、住宅改修の点検及び福祉用具の利用状況の点検に直接つながります（第5章 基本目標5）。</w:t>
      </w:r>
    </w:p>
    <w:p>
      <w:pPr>
        <w:spacing w:after="160" w:line="269" w:lineRule="auto"/>
        <w:jc w:val="right"/>
      </w:pPr>
      <w:r>
        <w:rPr>
          <w:rFonts w:ascii="游ゴシック" w:hAnsi="游ゴシック" w:eastAsia="游ゴシック"/>
          <w:b w:val="0"/>
          <w:sz w:val="17"/>
        </w:rPr>
        <w:t>資料：地域包括ケア「見える化」システム N1〜N17系列</w:t>
      </w:r>
    </w:p>
    <w:p>
      <w:pPr>
        <w:pStyle w:val="Heading3"/>
        <w:spacing w:before="180" w:after="100"/>
      </w:pPr>
      <w:r>
        <w:rPr>
          <w:rFonts w:ascii="游ゴシック" w:hAnsi="游ゴシック" w:eastAsia="游ゴシック"/>
          <w:sz w:val="22"/>
        </w:rPr>
        <w:t>6 施設・住まいの供給量</w:t>
      </w:r>
    </w:p>
    <w:p>
      <w:pPr>
        <w:spacing w:after="80" w:line="269" w:lineRule="auto"/>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施設・事業所数</w:t>
            </w:r>
          </w:p>
        </w:tc>
        <w:tc>
          <w:tcPr>
            <w:tcW w:type="dxa" w:w="1361"/>
            <w:shd w:val="clear" w:color="auto" w:fill="DCE6F1"/>
          </w:tcPr>
          <w:p>
            <w:pPr>
              <w:jc w:val="center"/>
            </w:pPr>
            <w:r/>
            <w:r>
              <w:rPr>
                <w:rFonts w:ascii="游ゴシック" w:hAnsi="游ゴシック" w:eastAsia="游ゴシック"/>
                <w:b/>
                <w:sz w:val="17"/>
              </w:rPr>
              <w:t>定員</w:t>
            </w:r>
          </w:p>
        </w:tc>
        <w:tc>
          <w:tcPr>
            <w:tcW w:type="dxa" w:w="2041"/>
            <w:shd w:val="clear" w:color="auto" w:fill="DCE6F1"/>
          </w:tcPr>
          <w:p>
            <w:pPr>
              <w:jc w:val="center"/>
            </w:pPr>
            <w:r/>
            <w:r>
              <w:rPr>
                <w:rFonts w:ascii="游ゴシック" w:hAnsi="游ゴシック" w:eastAsia="游ゴシック"/>
                <w:b/>
                <w:sz w:val="17"/>
              </w:rPr>
              <w:t>町別の分布</w:t>
            </w:r>
          </w:p>
        </w:tc>
        <w:tc>
          <w:tcPr>
            <w:tcW w:type="dxa" w:w="2154"/>
            <w:shd w:val="clear" w:color="auto" w:fill="DCE6F1"/>
          </w:tcPr>
          <w:p>
            <w:pPr>
              <w:jc w:val="center"/>
            </w:pPr>
            <w:r/>
            <w:r>
              <w:rPr>
                <w:rFonts w:ascii="游ゴシック" w:hAnsi="游ゴシック" w:eastAsia="游ゴシック"/>
                <w:b/>
                <w:sz w:val="17"/>
              </w:rPr>
              <w:t>備考</w:t>
            </w:r>
          </w:p>
        </w:tc>
      </w:tr>
      <w:tr>
        <w:trPr>
          <w:cantSplit/>
        </w:trP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rPr>
          <w:cantSplit/>
        </w:trP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rPr>
          <w:cantSplit/>
        </w:trP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rPr>
          <w:cantSplit/>
        </w:trP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rPr>
          <w:cantSplit/>
        </w:trP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入居者154人。施設別の入居率は98.3％と97.0％</w:t>
            </w:r>
          </w:p>
        </w:tc>
      </w:tr>
      <w:tr>
        <w:trPr>
          <w:cantSplit/>
        </w:trP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rPr>
          <w:cantSplit/>
        </w:trP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line="269" w:lineRule="auto"/>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spacing w:after="160" w:line="269" w:lineRule="auto"/>
      </w:pPr>
      <w:r>
        <w:rPr>
          <w:rFonts w:ascii="游ゴシック" w:hAnsi="游ゴシック" w:eastAsia="游ゴシック"/>
          <w:b w:val="0"/>
          <w:sz w:val="17"/>
        </w:rPr>
        <w:t>注）上表は定員（戸数）によるものです。家賃、共益費、食費等の費用の水準は、北海道において情報の収集が行われていることを確認できていないため把握していません。このため、費用の面から住まいを選ぶことができるかどうかは本計画では扱っていません［要確認］。国の第10期基本指針（案）の別表が求める高齢者向け住まいの状況は、施設数・定員・入居者数の範囲で整理しています（資料6）。</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【指定を受けない住まいと在宅サービスの関係】</w:t>
      </w:r>
    </w:p>
    <w:p>
      <w:pPr>
        <w:spacing w:after="80" w:line="269" w:lineRule="auto"/>
      </w:pPr>
      <w:r>
        <w:rPr>
          <w:rFonts w:ascii="游ゴシック" w:hAnsi="游ゴシック" w:eastAsia="游ゴシック"/>
          <w:b w:val="0"/>
          <w:sz w:val="20"/>
        </w:rPr>
        <w:t>介護保険の指定を受けない住まいの入居者は、在宅の受給者として居宅サービスを利用します。国は、同一の建物に居住する方へのサービス提供の割合が多くなるにつれて訪問の件数は増加し、移動に要する時間及び距離は短くなるという実態を示し、全国の住宅型有料老人ホームでは、要介護者のうち週21回以上（1日平均3回以上）訪問介護を利用している入居者の割合が平均27.7％であり、要介護1及び要介護2でも18.5％であるとしています。併設又は隣接の介護等の事業所がある住宅型有料老人ホームは79.1％、サービス付き高齢者向け住宅（非特定施設）は83.4％です。</w:t>
      </w:r>
    </w:p>
    <w:p>
      <w:pPr>
        <w:spacing w:after="80" w:line="269" w:lineRule="auto"/>
      </w:pPr>
      <w:r>
        <w:rPr>
          <w:rFonts w:ascii="游ゴシック" w:hAnsi="游ゴシック" w:eastAsia="游ゴシック"/>
          <w:b w:val="0"/>
          <w:sz w:val="20"/>
        </w:rPr>
        <w:t>本広域連合の訪問介護の1人1月あたり利用回数は全国の1.87倍であり（第2節1）、区域内の訪問介護13事業所のうち8事業所が住まいに併設しています（第6節）。上記の全国の実態と同じ構造によるものと考えられますが、同一の建物に居住する方への提供の割合は把握していないため、本計画では要因を特定していません［要確認］。</w:t>
      </w:r>
    </w:p>
    <w:p>
      <w:pPr>
        <w:spacing w:after="160" w:line="269" w:lineRule="auto"/>
      </w:pPr>
      <w:r>
        <w:rPr>
          <w:rFonts w:ascii="游ゴシック" w:hAnsi="游ゴシック" w:eastAsia="游ゴシック"/>
          <w:b w:val="0"/>
          <w:sz w:val="17"/>
        </w:rPr>
        <w:t>注）全国の値は国の調査研究事業及び介護給付費等実態統計によるものであり、本広域連合の値ではありません。国は、高齢者住まいの入居者に対するサービス提供を行う事業所における経営の実態及びサービス提供の実態を把握したうえで必要な見直しを検討することとしており、通所系サービスについては報酬の区分の見直しの方向が示されていますが、訪問系サービスについては対応の方向が示されていません（第1章第9節6）。</w:t>
        <w:br/>
        <w:t>出典：厚生労働省『高齢者住まいに対するサービス提供の在り方』（第262回社会保障審議会介護給付費分科会 資料2、令和8年8月5日）</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【区域ごとの入居定員総数（法第117条第5項による勘案）】</w:t>
      </w:r>
    </w:p>
    <w:p>
      <w:pPr>
        <w:spacing w:after="80" w:line="269" w:lineRule="auto"/>
      </w:pPr>
      <w:r>
        <w:rPr>
          <w:rFonts w:ascii="游ゴシック" w:hAnsi="游ゴシック" w:eastAsia="游ゴシック"/>
          <w:b w:val="0"/>
          <w:sz w:val="20"/>
        </w:rPr>
        <w:t>社会福祉法等の一部を改正する法律（令和8年法律第51号）により、介護給付等対象サービスの種類ごとの量、地域支援事業の量及びこれらの中長期的な推計を定めるに当たっては、本広域連合が定める区域ごとの有料老人ホーム（老人福祉法第29条第1項の届出が行われているもの）及び登録有料老人ホーム並びに高齢者の居住の安定確保に関する法律に規定する登録住宅（サービス付き高齢者向け住宅）のそれぞれの入居定員総数を勘案しなければならないものとされました（第117条第5項。第1章第9節2）。</w:t>
      </w:r>
    </w:p>
    <w:p>
      <w:pPr>
        <w:spacing w:after="80" w:line="269" w:lineRule="auto"/>
      </w:pPr>
      <w:r>
        <w:rPr>
          <w:rFonts w:ascii="游ゴシック" w:hAnsi="游ゴシック" w:eastAsia="游ゴシック"/>
          <w:b w:val="0"/>
          <w:sz w:val="20"/>
        </w:rPr>
        <w:t>勘案の対象となる定員は、本節第1項の表のうち有料老人ホーム（住宅型9施設223人及び介護付き3施設156人）及びサービス付き高齢者向け住宅（2施設66戸）であり、合計で14施設445人（戸）です。町別の内訳は同表のとおりです。このうち介護保険の指定を受けない住まいの入居者は在宅の受給者として居宅サービスを利用するため、第6章第2節の在宅サービスの見込量に含まれており、施設・居住系サービスの定員には含まれません。</w:t>
      </w:r>
    </w:p>
    <w:p>
      <w:pPr>
        <w:spacing w:after="160" w:line="269" w:lineRule="auto"/>
      </w:pPr>
      <w:r>
        <w:rPr>
          <w:rFonts w:ascii="游ゴシック" w:hAnsi="游ゴシック" w:eastAsia="游ゴシック"/>
          <w:b w:val="0"/>
          <w:sz w:val="17"/>
        </w:rPr>
        <w:t>注1）本広域連合が定める区域（日常生活圏域）は3町（3圏域）とする案によっています（第6章第4節4）［要協議］。圏域が確定した時点で圏域ごとの入居定員総数を掲げます。</w:t>
        <w:br/>
        <w:t>注2）登録有料老人ホームの制度は公布の日から起算して2年を超えない範囲内において政令で定める日から施行されるため、本計画の策定の時点では登録を受けた有料老人ホームはありません（第1章第9節2）。登録の対象となる状態は政令で定められることとされており、区域内の住宅型有料老人ホームのうち登録の対象となるものの範囲は確認できていません［要確認］。</w:t>
        <w:br/>
        <w:t>注3）軽費老人ホーム（1施設50人）は本項の勘案の対象ではありませんが、同じく介護保険の指定を受けない住まいであるため本節第1項の表に併せて掲げています。</w:t>
      </w:r>
    </w:p>
    <w:p>
      <w:pPr>
        <w:pStyle w:val="Heading3"/>
        <w:spacing w:before="180" w:after="100"/>
      </w:pPr>
      <w:r>
        <w:rPr>
          <w:rFonts w:ascii="游ゴシック" w:hAnsi="游ゴシック" w:eastAsia="游ゴシック"/>
          <w:sz w:val="22"/>
        </w:rPr>
        <w:t>7 サービスの通常の事業実施地域</w:t>
      </w:r>
    </w:p>
    <w:p>
      <w:pPr>
        <w:spacing w:after="80" w:line="269" w:lineRule="auto"/>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サービス</w:t>
            </w:r>
          </w:p>
        </w:tc>
        <w:tc>
          <w:tcPr>
            <w:tcW w:type="dxa" w:w="1928"/>
            <w:shd w:val="clear" w:color="auto" w:fill="DCE6F1"/>
          </w:tcPr>
          <w:p>
            <w:pPr>
              <w:jc w:val="center"/>
            </w:pPr>
            <w:r/>
            <w:r>
              <w:rPr>
                <w:rFonts w:ascii="游ゴシック" w:hAnsi="游ゴシック" w:eastAsia="游ゴシック"/>
                <w:b/>
                <w:sz w:val="17"/>
              </w:rPr>
              <w:t>区域内の事業所数</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rPr>
          <w:cantSplit/>
        </w:trP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rPr>
          <w:cantSplit/>
        </w:trP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line="269" w:lineRule="auto"/>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【運営法人の状況】</w:t>
      </w:r>
    </w:p>
    <w:p>
      <w:pPr>
        <w:spacing w:after="80" w:line="269" w:lineRule="auto"/>
      </w:pPr>
      <w:r>
        <w:rPr>
          <w:rFonts w:ascii="游ゴシック" w:hAnsi="游ゴシック" w:eastAsia="游ゴシック"/>
          <w:b w:val="0"/>
          <w:sz w:val="20"/>
        </w:rPr>
        <w:t>区域内の指定事業所は延べ124件であり、法人と事業所名が同じものをまとめると実75事業所です。これを運営する法人は28法人で、事業所数の多い上位6法人が39事業所（52.0％）を運営しています。一方、1事業所のみを運営する法人は13法人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28"/>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事業所数</w:t>
            </w:r>
          </w:p>
        </w:tc>
        <w:tc>
          <w:tcPr>
            <w:tcW w:type="dxa" w:w="1928"/>
            <w:shd w:val="clear" w:color="auto" w:fill="DCE6F1"/>
          </w:tcPr>
          <w:p>
            <w:pPr>
              <w:jc w:val="center"/>
            </w:pPr>
            <w:r/>
            <w:r>
              <w:rPr>
                <w:rFonts w:ascii="游ゴシック" w:hAnsi="游ゴシック" w:eastAsia="游ゴシック"/>
                <w:b/>
                <w:sz w:val="17"/>
              </w:rPr>
              <w:t>実事業所に対する割合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628"/>
          </w:tcPr>
          <w:p>
            <w:r/>
            <w:r>
              <w:rPr>
                <w:rFonts w:ascii="游ゴシック" w:hAnsi="游ゴシック" w:eastAsia="游ゴシック"/>
                <w:sz w:val="17"/>
              </w:rPr>
              <w:t>上位6法人</w:t>
            </w:r>
          </w:p>
        </w:tc>
        <w:tc>
          <w:tcPr>
            <w:tcW w:type="dxa" w:w="1247"/>
          </w:tcPr>
          <w:p>
            <w:r/>
            <w:r>
              <w:rPr>
                <w:rFonts w:ascii="游ゴシック" w:hAnsi="游ゴシック" w:eastAsia="游ゴシック"/>
                <w:sz w:val="17"/>
              </w:rPr>
              <w:t>39</w:t>
            </w:r>
          </w:p>
        </w:tc>
        <w:tc>
          <w:tcPr>
            <w:tcW w:type="dxa" w:w="1928"/>
          </w:tcPr>
          <w:p>
            <w:r/>
            <w:r>
              <w:rPr>
                <w:rFonts w:ascii="游ゴシック" w:hAnsi="游ゴシック" w:eastAsia="游ゴシック"/>
                <w:sz w:val="17"/>
              </w:rPr>
              <w:t>52.0％</w:t>
            </w:r>
          </w:p>
        </w:tc>
        <w:tc>
          <w:tcPr>
            <w:tcW w:type="dxa" w:w="2948"/>
          </w:tcPr>
          <w:p>
            <w:r/>
            <w:r>
              <w:rPr>
                <w:rFonts w:ascii="游ゴシック" w:hAnsi="游ゴシック" w:eastAsia="游ゴシック"/>
                <w:sz w:val="17"/>
              </w:rPr>
              <w:t>最も多い法人は14事業所</w:t>
            </w:r>
          </w:p>
        </w:tc>
      </w:tr>
      <w:tr>
        <w:trPr>
          <w:cantSplit/>
        </w:trPr>
        <w:tc>
          <w:tcPr>
            <w:tcW w:type="dxa" w:w="3628"/>
          </w:tcPr>
          <w:p>
            <w:r/>
            <w:r>
              <w:rPr>
                <w:rFonts w:ascii="游ゴシック" w:hAnsi="游ゴシック" w:eastAsia="游ゴシック"/>
                <w:sz w:val="17"/>
              </w:rPr>
              <w:t>1事業所のみを運営する法人（13法人）</w:t>
            </w:r>
          </w:p>
        </w:tc>
        <w:tc>
          <w:tcPr>
            <w:tcW w:type="dxa" w:w="1247"/>
          </w:tcPr>
          <w:p>
            <w:r/>
            <w:r>
              <w:rPr>
                <w:rFonts w:ascii="游ゴシック" w:hAnsi="游ゴシック" w:eastAsia="游ゴシック"/>
                <w:sz w:val="17"/>
              </w:rPr>
              <w:t>13</w:t>
            </w:r>
          </w:p>
        </w:tc>
        <w:tc>
          <w:tcPr>
            <w:tcW w:type="dxa" w:w="1928"/>
          </w:tcPr>
          <w:p>
            <w:r/>
            <w:r>
              <w:rPr>
                <w:rFonts w:ascii="游ゴシック" w:hAnsi="游ゴシック" w:eastAsia="游ゴシック"/>
                <w:sz w:val="17"/>
              </w:rPr>
              <w:t>17.3％</w:t>
            </w:r>
          </w:p>
        </w:tc>
        <w:tc>
          <w:tcPr>
            <w:tcW w:type="dxa" w:w="2948"/>
          </w:tcPr>
          <w:p>
            <w:r/>
            <w:r>
              <w:rPr>
                <w:rFonts w:ascii="游ゴシック" w:hAnsi="游ゴシック" w:eastAsia="游ゴシック"/>
                <w:sz w:val="17"/>
              </w:rPr>
              <w:t>―</w:t>
            </w:r>
          </w:p>
        </w:tc>
      </w:tr>
      <w:tr>
        <w:trPr>
          <w:cantSplit/>
        </w:trPr>
        <w:tc>
          <w:tcPr>
            <w:tcW w:type="dxa" w:w="3628"/>
          </w:tcPr>
          <w:p>
            <w:r/>
            <w:r>
              <w:rPr>
                <w:rFonts w:ascii="游ゴシック" w:hAnsi="游ゴシック" w:eastAsia="游ゴシック"/>
                <w:sz w:val="17"/>
              </w:rPr>
              <w:t>実事業所　計</w:t>
            </w:r>
          </w:p>
        </w:tc>
        <w:tc>
          <w:tcPr>
            <w:tcW w:type="dxa" w:w="1247"/>
          </w:tcPr>
          <w:p>
            <w:r/>
            <w:r>
              <w:rPr>
                <w:rFonts w:ascii="游ゴシック" w:hAnsi="游ゴシック" w:eastAsia="游ゴシック"/>
                <w:sz w:val="17"/>
              </w:rPr>
              <w:t>75</w:t>
            </w:r>
          </w:p>
        </w:tc>
        <w:tc>
          <w:tcPr>
            <w:tcW w:type="dxa" w:w="1928"/>
          </w:tcPr>
          <w:p>
            <w:r/>
            <w:r>
              <w:rPr>
                <w:rFonts w:ascii="游ゴシック" w:hAnsi="游ゴシック" w:eastAsia="游ゴシック"/>
                <w:sz w:val="17"/>
              </w:rPr>
              <w:t>100.0％</w:t>
            </w:r>
          </w:p>
        </w:tc>
        <w:tc>
          <w:tcPr>
            <w:tcW w:type="dxa" w:w="2948"/>
          </w:tcPr>
          <w:p>
            <w:r/>
            <w:r>
              <w:rPr>
                <w:rFonts w:ascii="游ゴシック" w:hAnsi="游ゴシック" w:eastAsia="游ゴシック"/>
                <w:sz w:val="17"/>
              </w:rPr>
              <w:t>運営法人は28法人</w:t>
            </w:r>
          </w:p>
        </w:tc>
      </w:tr>
    </w:tbl>
    <w:p>
      <w:pPr>
        <w:spacing w:after="160" w:line="269" w:lineRule="auto"/>
        <w:jc w:val="right"/>
      </w:pPr>
      <w:r>
        <w:rPr>
          <w:rFonts w:ascii="游ゴシック" w:hAnsi="游ゴシック" w:eastAsia="游ゴシック"/>
          <w:b w:val="0"/>
          <w:sz w:val="17"/>
        </w:rPr>
        <w:t>資料：北海道　介護保険事業所一覧（令和8年6月30日現在）</w:t>
      </w:r>
    </w:p>
    <w:p>
      <w:pPr>
        <w:spacing w:after="80" w:line="269" w:lineRule="auto"/>
      </w:pPr>
      <w:r>
        <w:rPr>
          <w:rFonts w:ascii="游ゴシック" w:hAnsi="游ゴシック" w:eastAsia="游ゴシック"/>
          <w:b w:val="0"/>
          <w:sz w:val="20"/>
        </w:rPr>
        <w:t>小規模多機能型居宅介護の5事業所は、すべて同一の法人が美瑛町で運営しています。特定のサービスが1法人に集中している場合、当該法人の事業継続の状況が区域全体の供給量に直接影響します。第6章の整備方針では、事業所数だけでなく運営法人の分布も併せて確認します。</w:t>
      </w:r>
    </w:p>
    <w:p>
      <w:pPr>
        <w:spacing w:after="160" w:line="269" w:lineRule="auto"/>
      </w:pPr>
      <w:r>
        <w:rPr>
          <w:rFonts w:ascii="游ゴシック" w:hAnsi="游ゴシック" w:eastAsia="游ゴシック"/>
          <w:b w:val="0"/>
          <w:sz w:val="17"/>
        </w:rPr>
        <w:t>運営法人の分布は、北海道が公表する介護保険事業所一覧の法人名により集計したものです。同一法人が複数のサービスの指定を受けている場合、延べ件数では重複して数えられます。</w:t>
      </w:r>
    </w:p>
    <w:p>
      <w:pPr>
        <w:pStyle w:val="Heading3"/>
        <w:spacing w:before="180" w:after="100"/>
      </w:pPr>
      <w:r>
        <w:rPr>
          <w:rFonts w:ascii="游ゴシック" w:hAnsi="游ゴシック" w:eastAsia="游ゴシック"/>
          <w:sz w:val="22"/>
        </w:rPr>
        <w:t>8 施設・居住系の入退所の状況</w:t>
      </w:r>
    </w:p>
    <w:p>
      <w:pPr>
        <w:spacing w:after="80" w:line="269" w:lineRule="auto"/>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402"/>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line="269" w:lineRule="auto"/>
      </w:pPr>
      <w:r>
        <w:rPr>
          <w:rFonts w:ascii="游ゴシック" w:hAnsi="游ゴシック" w:eastAsia="游ゴシック"/>
          <w:b w:val="0"/>
          <w:sz w:val="20"/>
        </w:rPr>
        <w:t>特定施設入居者生活介護については、区域内3施設の入居者は154人です。施設別の入居率は、居所変更実態調査に回答した2施設が98.3％（定員58人・入居者57人。令和7年4月1日現在）、未回答の1施設が97.0％（定員100人・入居者97人。令和7年10月6日現在）で、いずれも高い水準です。時点が異なるため、区域内合計の入居率（定員156人に対し98.7％）は参考値として扱いま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要介護度</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969"/>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rPr>
          <w:cantSplit/>
        </w:trP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定員156人に対し98.7％（参考値）</w:t>
            </w:r>
          </w:p>
        </w:tc>
      </w:tr>
    </w:tbl>
    <w:p>
      <w:pPr>
        <w:spacing w:after="160" w:line="269" w:lineRule="auto"/>
      </w:pPr>
      <w:r>
        <w:rPr>
          <w:rFonts w:ascii="游ゴシック" w:hAnsi="游ゴシック" w:eastAsia="游ゴシック"/>
          <w:b w:val="0"/>
          <w:sz w:val="17"/>
        </w:rPr>
        <w:t>特定施設の入居者数及び要介護度は、居所変更実態調査に回答した2施設（令和7年4月1日現在）と、介護サービス情報公表システムの個別公表画面（記入日 令和7年10月6日）による1施設を合わせたものです。時点が異なるため、合計の入居率は参考値です。定員は北海道保健福祉部の名簿による156人としています（調査では2施設の定員を58人と回答しており、名簿の56人と2人ちがいます）。</w:t>
      </w:r>
    </w:p>
    <w:p>
      <w:pPr>
        <w:pStyle w:val="Heading2"/>
        <w:spacing w:before="180" w:after="100"/>
      </w:pPr>
      <w:bookmarkStart w:id="115" w:name="_Toc10_015"/>
      <w:r>
        <w:rPr>
          <w:rFonts w:ascii="游ゴシック" w:hAnsi="游ゴシック" w:eastAsia="游ゴシック"/>
          <w:sz w:val="25"/>
        </w:rPr>
        <w:t>第4節 高齢者の生活実態</w:t>
      </w:r>
      <w:bookmarkEnd w:id="115"/>
    </w:p>
    <w:p>
      <w:pPr>
        <w:spacing w:after="80" w:line="269" w:lineRule="auto"/>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【調査の対象者の範囲】</w:t>
      </w:r>
    </w:p>
    <w:p>
      <w:pPr>
        <w:spacing w:after="80" w:line="269" w:lineRule="auto"/>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【1　主要指標の状況】</w:t>
      </w:r>
    </w:p>
    <w:p>
      <w:pPr>
        <w:spacing w:after="80" w:line="269" w:lineRule="auto"/>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51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広域連合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rPr>
          <w:cantSplit/>
        </w:trP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rPr>
          <w:cantSplit/>
        </w:trP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rPr>
          <w:cantSplit/>
        </w:trP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rPr>
          <w:cantSplit/>
        </w:trP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rPr>
          <w:cantSplit/>
        </w:trP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rPr>
          <w:cantSplit/>
        </w:trP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rPr>
          <w:cantSplit/>
        </w:trP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rPr>
          <w:cantSplit/>
        </w:trP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rPr>
          <w:cantSplit/>
        </w:trP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rPr>
          <w:cantSplit/>
        </w:trP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rPr>
          <w:cantSplit/>
        </w:trP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rPr>
          <w:cantSplit/>
        </w:trP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line="269" w:lineRule="auto"/>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ごとの有効回答であり、回答者数4,729票を下回ります。本節で用いた指標の分母は4,128票から4,729票の間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　年齢構成の影響と町間の差】</w:t>
      </w:r>
    </w:p>
    <w:p>
      <w:pPr>
        <w:spacing w:after="80" w:line="269" w:lineRule="auto"/>
      </w:pPr>
      <w:r>
        <w:rPr>
          <w:rFonts w:ascii="游ゴシック" w:hAnsi="游ゴシック" w:eastAsia="游ゴシック"/>
          <w:b w:val="0"/>
          <w:sz w:val="20"/>
        </w:rPr>
        <w:t>町間の差が年齢構成の違いによるものか、地域固有の差かを判別するため、広域連合全体の年齢階級別回答者数を基準人口として直接法により年齢調整を行いました。美瑛町のフレイル該当割合は粗率21.6％・年齢調整後21.3％、東神楽町は粗率17.0％・年齢調整後18.1％で、年齢調整により両町の差は4.6ポイントから3.2ポイントへ縮小します。町間の差には年齢構成の違いによる分が含まれ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268"/>
            <w:shd w:val="clear" w:color="auto" w:fill="DCE6F1"/>
          </w:tcPr>
          <w:p>
            <w:pPr>
              <w:spacing w:before="0"/>
              <w:jc w:val="center"/>
            </w:pPr>
            <w:r/>
            <w:r>
              <w:rPr>
                <w:rFonts w:ascii="游ゴシック" w:hAnsi="游ゴシック" w:eastAsia="游ゴシック"/>
                <w:b/>
                <w:sz w:val="17"/>
              </w:rPr>
              <w:t>指標</w:t>
            </w:r>
          </w:p>
        </w:tc>
        <w:tc>
          <w:tcPr>
            <w:tcW w:type="dxa" w:w="1191"/>
            <w:shd w:val="clear" w:color="auto" w:fill="DCE6F1"/>
          </w:tcPr>
          <w:p>
            <w:pPr>
              <w:jc w:val="center"/>
            </w:pPr>
            <w:r/>
            <w:r>
              <w:rPr>
                <w:rFonts w:ascii="游ゴシック" w:hAnsi="游ゴシック" w:eastAsia="游ゴシック"/>
                <w:b/>
                <w:sz w:val="17"/>
              </w:rPr>
              <w:t>東川町</w:t>
              <w:br/>
              <w:t>粗率</w:t>
            </w:r>
          </w:p>
        </w:tc>
        <w:tc>
          <w:tcPr>
            <w:tcW w:type="dxa" w:w="1191"/>
            <w:shd w:val="clear" w:color="auto" w:fill="DCE6F1"/>
          </w:tcPr>
          <w:p>
            <w:pPr>
              <w:jc w:val="center"/>
            </w:pPr>
            <w:r/>
            <w:r>
              <w:rPr>
                <w:rFonts w:ascii="游ゴシック" w:hAnsi="游ゴシック" w:eastAsia="游ゴシック"/>
                <w:b/>
                <w:sz w:val="17"/>
              </w:rPr>
              <w:t>東川町</w:t>
              <w:br/>
              <w:t>調整</w:t>
            </w:r>
          </w:p>
        </w:tc>
        <w:tc>
          <w:tcPr>
            <w:tcW w:type="dxa" w:w="1191"/>
            <w:shd w:val="clear" w:color="auto" w:fill="DCE6F1"/>
          </w:tcPr>
          <w:p>
            <w:pPr>
              <w:jc w:val="center"/>
            </w:pPr>
            <w:r/>
            <w:r>
              <w:rPr>
                <w:rFonts w:ascii="游ゴシック" w:hAnsi="游ゴシック" w:eastAsia="游ゴシック"/>
                <w:b/>
                <w:sz w:val="17"/>
              </w:rPr>
              <w:t>美瑛町</w:t>
              <w:br/>
              <w:t>粗率</w:t>
            </w:r>
          </w:p>
        </w:tc>
        <w:tc>
          <w:tcPr>
            <w:tcW w:type="dxa" w:w="1191"/>
            <w:shd w:val="clear" w:color="auto" w:fill="DCE6F1"/>
          </w:tcPr>
          <w:p>
            <w:pPr>
              <w:jc w:val="center"/>
            </w:pPr>
            <w:r/>
            <w:r>
              <w:rPr>
                <w:rFonts w:ascii="游ゴシック" w:hAnsi="游ゴシック" w:eastAsia="游ゴシック"/>
                <w:b/>
                <w:sz w:val="17"/>
              </w:rPr>
              <w:t>美瑛町</w:t>
              <w:br/>
              <w:t>調整</w:t>
            </w:r>
          </w:p>
        </w:tc>
        <w:tc>
          <w:tcPr>
            <w:tcW w:type="dxa" w:w="1191"/>
            <w:shd w:val="clear" w:color="auto" w:fill="DCE6F1"/>
          </w:tcPr>
          <w:p>
            <w:pPr>
              <w:jc w:val="center"/>
            </w:pPr>
            <w:r/>
            <w:r>
              <w:rPr>
                <w:rFonts w:ascii="游ゴシック" w:hAnsi="游ゴシック" w:eastAsia="游ゴシック"/>
                <w:b/>
                <w:sz w:val="17"/>
              </w:rPr>
              <w:t>東神楽町</w:t>
              <w:br/>
              <w:t>粗率</w:t>
            </w:r>
          </w:p>
        </w:tc>
        <w:tc>
          <w:tcPr>
            <w:tcW w:type="dxa" w:w="1191"/>
            <w:shd w:val="clear" w:color="auto" w:fill="DCE6F1"/>
          </w:tcPr>
          <w:p>
            <w:pPr>
              <w:jc w:val="center"/>
            </w:pPr>
            <w:r/>
            <w:r>
              <w:rPr>
                <w:rFonts w:ascii="游ゴシック" w:hAnsi="游ゴシック" w:eastAsia="游ゴシック"/>
                <w:b/>
                <w:sz w:val="17"/>
              </w:rPr>
              <w:t>東神楽町</w:t>
              <w:br/>
              <w:t>調整</w:t>
            </w:r>
          </w:p>
        </w:tc>
      </w:tr>
      <w:tr>
        <w:trPr>
          <w:cantSplit/>
        </w:trPr>
        <w:tc>
          <w:tcPr>
            <w:tcW w:type="dxa" w:w="2268"/>
          </w:tcPr>
          <w:p>
            <w:r/>
            <w:r>
              <w:rPr>
                <w:rFonts w:ascii="游ゴシック" w:hAnsi="游ゴシック" w:eastAsia="游ゴシック"/>
                <w:sz w:val="17"/>
              </w:rPr>
              <w:t>フレイル</w:t>
            </w:r>
          </w:p>
        </w:tc>
        <w:tc>
          <w:tcPr>
            <w:tcW w:type="dxa" w:w="1191"/>
          </w:tcPr>
          <w:p>
            <w:r/>
            <w:r>
              <w:rPr>
                <w:rFonts w:ascii="游ゴシック" w:hAnsi="游ゴシック" w:eastAsia="游ゴシック"/>
                <w:sz w:val="17"/>
              </w:rPr>
              <w:t>18.4</w:t>
            </w:r>
          </w:p>
        </w:tc>
        <w:tc>
          <w:tcPr>
            <w:tcW w:type="dxa" w:w="1191"/>
          </w:tcPr>
          <w:p>
            <w:r/>
            <w:r>
              <w:rPr>
                <w:rFonts w:ascii="游ゴシック" w:hAnsi="游ゴシック" w:eastAsia="游ゴシック"/>
                <w:sz w:val="17"/>
              </w:rPr>
              <w:t>18.0</w:t>
            </w:r>
          </w:p>
        </w:tc>
        <w:tc>
          <w:tcPr>
            <w:tcW w:type="dxa" w:w="1191"/>
          </w:tcPr>
          <w:p>
            <w:r/>
            <w:r>
              <w:rPr>
                <w:rFonts w:ascii="游ゴシック" w:hAnsi="游ゴシック" w:eastAsia="游ゴシック"/>
                <w:sz w:val="17"/>
              </w:rPr>
              <w:t>21.6</w:t>
            </w:r>
          </w:p>
        </w:tc>
        <w:tc>
          <w:tcPr>
            <w:tcW w:type="dxa" w:w="1191"/>
          </w:tcPr>
          <w:p>
            <w:r/>
            <w:r>
              <w:rPr>
                <w:rFonts w:ascii="游ゴシック" w:hAnsi="游ゴシック" w:eastAsia="游ゴシック"/>
                <w:sz w:val="17"/>
              </w:rPr>
              <w:t>21.3</w:t>
            </w:r>
          </w:p>
        </w:tc>
        <w:tc>
          <w:tcPr>
            <w:tcW w:type="dxa" w:w="1191"/>
          </w:tcPr>
          <w:p>
            <w:r/>
            <w:r>
              <w:rPr>
                <w:rFonts w:ascii="游ゴシック" w:hAnsi="游ゴシック" w:eastAsia="游ゴシック"/>
                <w:sz w:val="17"/>
              </w:rPr>
              <w:t>17.0</w:t>
            </w:r>
          </w:p>
        </w:tc>
        <w:tc>
          <w:tcPr>
            <w:tcW w:type="dxa" w:w="1191"/>
          </w:tcPr>
          <w:p>
            <w:r/>
            <w:r>
              <w:rPr>
                <w:rFonts w:ascii="游ゴシック" w:hAnsi="游ゴシック" w:eastAsia="游ゴシック"/>
                <w:sz w:val="17"/>
              </w:rPr>
              <w:t>18.1</w:t>
            </w:r>
          </w:p>
        </w:tc>
      </w:tr>
      <w:tr>
        <w:trPr>
          <w:cantSplit/>
        </w:trPr>
        <w:tc>
          <w:tcPr>
            <w:tcW w:type="dxa" w:w="2268"/>
          </w:tcPr>
          <w:p>
            <w:r/>
            <w:r>
              <w:rPr>
                <w:rFonts w:ascii="游ゴシック" w:hAnsi="游ゴシック" w:eastAsia="游ゴシック"/>
                <w:sz w:val="17"/>
              </w:rPr>
              <w:t>閉じこもり</w:t>
            </w:r>
          </w:p>
        </w:tc>
        <w:tc>
          <w:tcPr>
            <w:tcW w:type="dxa" w:w="1191"/>
          </w:tcPr>
          <w:p>
            <w:r/>
            <w:r>
              <w:rPr>
                <w:rFonts w:ascii="游ゴシック" w:hAnsi="游ゴシック" w:eastAsia="游ゴシック"/>
                <w:sz w:val="17"/>
              </w:rPr>
              <w:t>8.6</w:t>
            </w:r>
          </w:p>
        </w:tc>
        <w:tc>
          <w:tcPr>
            <w:tcW w:type="dxa" w:w="1191"/>
          </w:tcPr>
          <w:p>
            <w:r/>
            <w:r>
              <w:rPr>
                <w:rFonts w:ascii="游ゴシック" w:hAnsi="游ゴシック" w:eastAsia="游ゴシック"/>
                <w:sz w:val="17"/>
              </w:rPr>
              <w:t>8.3</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9.5</w:t>
            </w:r>
          </w:p>
        </w:tc>
        <w:tc>
          <w:tcPr>
            <w:tcW w:type="dxa" w:w="1191"/>
          </w:tcPr>
          <w:p>
            <w:r/>
            <w:r>
              <w:rPr>
                <w:rFonts w:ascii="游ゴシック" w:hAnsi="游ゴシック" w:eastAsia="游ゴシック"/>
                <w:sz w:val="17"/>
              </w:rPr>
              <w:t>7.2</w:t>
            </w:r>
          </w:p>
        </w:tc>
        <w:tc>
          <w:tcPr>
            <w:tcW w:type="dxa" w:w="1191"/>
          </w:tcPr>
          <w:p>
            <w:r/>
            <w:r>
              <w:rPr>
                <w:rFonts w:ascii="游ゴシック" w:hAnsi="游ゴシック" w:eastAsia="游ゴシック"/>
                <w:sz w:val="17"/>
              </w:rPr>
              <w:t>7.9</w:t>
            </w:r>
          </w:p>
        </w:tc>
      </w:tr>
      <w:tr>
        <w:trPr>
          <w:cantSplit/>
        </w:trPr>
        <w:tc>
          <w:tcPr>
            <w:tcW w:type="dxa" w:w="2268"/>
          </w:tcPr>
          <w:p>
            <w:r/>
            <w:r>
              <w:rPr>
                <w:rFonts w:ascii="游ゴシック" w:hAnsi="游ゴシック" w:eastAsia="游ゴシック"/>
                <w:sz w:val="17"/>
              </w:rPr>
              <w:t>IADL低下</w:t>
            </w:r>
          </w:p>
        </w:tc>
        <w:tc>
          <w:tcPr>
            <w:tcW w:type="dxa" w:w="1191"/>
          </w:tcPr>
          <w:p>
            <w:r/>
            <w:r>
              <w:rPr>
                <w:rFonts w:ascii="游ゴシック" w:hAnsi="游ゴシック" w:eastAsia="游ゴシック"/>
                <w:sz w:val="17"/>
              </w:rPr>
              <w:t>10.1</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9.4</w:t>
            </w:r>
          </w:p>
        </w:tc>
        <w:tc>
          <w:tcPr>
            <w:tcW w:type="dxa" w:w="1191"/>
          </w:tcPr>
          <w:p>
            <w:r/>
            <w:r>
              <w:rPr>
                <w:rFonts w:ascii="游ゴシック" w:hAnsi="游ゴシック" w:eastAsia="游ゴシック"/>
                <w:sz w:val="17"/>
              </w:rPr>
              <w:t>9.2</w:t>
            </w:r>
          </w:p>
        </w:tc>
        <w:tc>
          <w:tcPr>
            <w:tcW w:type="dxa" w:w="1191"/>
          </w:tcPr>
          <w:p>
            <w:r/>
            <w:r>
              <w:rPr>
                <w:rFonts w:ascii="游ゴシック" w:hAnsi="游ゴシック" w:eastAsia="游ゴシック"/>
                <w:sz w:val="17"/>
              </w:rPr>
              <w:t>9.8</w:t>
            </w:r>
          </w:p>
        </w:tc>
        <w:tc>
          <w:tcPr>
            <w:tcW w:type="dxa" w:w="1191"/>
          </w:tcPr>
          <w:p>
            <w:r/>
            <w:r>
              <w:rPr>
                <w:rFonts w:ascii="游ゴシック" w:hAnsi="游ゴシック" w:eastAsia="游ゴシック"/>
                <w:sz w:val="17"/>
              </w:rPr>
              <w:t>10.5</w:t>
            </w:r>
          </w:p>
        </w:tc>
      </w:tr>
      <w:tr>
        <w:trPr>
          <w:cantSplit/>
        </w:trPr>
        <w:tc>
          <w:tcPr>
            <w:tcW w:type="dxa" w:w="2268"/>
          </w:tcPr>
          <w:p>
            <w:r/>
            <w:r>
              <w:rPr>
                <w:rFonts w:ascii="游ゴシック" w:hAnsi="游ゴシック" w:eastAsia="游ゴシック"/>
                <w:sz w:val="17"/>
              </w:rPr>
              <w:t>うつ</w:t>
            </w:r>
          </w:p>
        </w:tc>
        <w:tc>
          <w:tcPr>
            <w:tcW w:type="dxa" w:w="1191"/>
          </w:tcPr>
          <w:p>
            <w:r/>
            <w:r>
              <w:rPr>
                <w:rFonts w:ascii="游ゴシック" w:hAnsi="游ゴシック" w:eastAsia="游ゴシック"/>
                <w:sz w:val="17"/>
              </w:rPr>
              <w:t>25.0</w:t>
            </w:r>
          </w:p>
        </w:tc>
        <w:tc>
          <w:tcPr>
            <w:tcW w:type="dxa" w:w="1191"/>
          </w:tcPr>
          <w:p>
            <w:r/>
            <w:r>
              <w:rPr>
                <w:rFonts w:ascii="游ゴシック" w:hAnsi="游ゴシック" w:eastAsia="游ゴシック"/>
                <w:sz w:val="17"/>
              </w:rPr>
              <w:t>24.6</w:t>
            </w:r>
          </w:p>
        </w:tc>
        <w:tc>
          <w:tcPr>
            <w:tcW w:type="dxa" w:w="1191"/>
          </w:tcPr>
          <w:p>
            <w:r/>
            <w:r>
              <w:rPr>
                <w:rFonts w:ascii="游ゴシック" w:hAnsi="游ゴシック" w:eastAsia="游ゴシック"/>
                <w:sz w:val="17"/>
              </w:rPr>
              <w:t>32.1</w:t>
            </w:r>
          </w:p>
        </w:tc>
        <w:tc>
          <w:tcPr>
            <w:tcW w:type="dxa" w:w="1191"/>
          </w:tcPr>
          <w:p>
            <w:r/>
            <w:r>
              <w:rPr>
                <w:rFonts w:ascii="游ゴシック" w:hAnsi="游ゴシック" w:eastAsia="游ゴシック"/>
                <w:sz w:val="17"/>
              </w:rPr>
              <w:t>31.8</w:t>
            </w:r>
          </w:p>
        </w:tc>
        <w:tc>
          <w:tcPr>
            <w:tcW w:type="dxa" w:w="1191"/>
          </w:tcPr>
          <w:p>
            <w:r/>
            <w:r>
              <w:rPr>
                <w:rFonts w:ascii="游ゴシック" w:hAnsi="游ゴシック" w:eastAsia="游ゴシック"/>
                <w:sz w:val="17"/>
              </w:rPr>
              <w:t>26.8</w:t>
            </w:r>
          </w:p>
        </w:tc>
        <w:tc>
          <w:tcPr>
            <w:tcW w:type="dxa" w:w="1191"/>
          </w:tcPr>
          <w:p>
            <w:r/>
            <w:r>
              <w:rPr>
                <w:rFonts w:ascii="游ゴシック" w:hAnsi="游ゴシック" w:eastAsia="游ゴシック"/>
                <w:sz w:val="17"/>
              </w:rPr>
              <w:t>27.4</w:t>
            </w:r>
          </w:p>
        </w:tc>
      </w:tr>
      <w:tr>
        <w:trPr>
          <w:cantSplit/>
        </w:trPr>
        <w:tc>
          <w:tcPr>
            <w:tcW w:type="dxa" w:w="2268"/>
          </w:tcPr>
          <w:p>
            <w:r/>
            <w:r>
              <w:rPr>
                <w:rFonts w:ascii="游ゴシック" w:hAnsi="游ゴシック" w:eastAsia="游ゴシック"/>
                <w:sz w:val="17"/>
              </w:rPr>
              <w:t>社会参加あり</w:t>
            </w:r>
          </w:p>
        </w:tc>
        <w:tc>
          <w:tcPr>
            <w:tcW w:type="dxa" w:w="1191"/>
          </w:tcPr>
          <w:p>
            <w:r/>
            <w:r>
              <w:rPr>
                <w:rFonts w:ascii="游ゴシック" w:hAnsi="游ゴシック" w:eastAsia="游ゴシック"/>
                <w:sz w:val="17"/>
              </w:rPr>
              <w:t>38.2</w:t>
            </w:r>
          </w:p>
        </w:tc>
        <w:tc>
          <w:tcPr>
            <w:tcW w:type="dxa" w:w="1191"/>
          </w:tcPr>
          <w:p>
            <w:r/>
            <w:r>
              <w:rPr>
                <w:rFonts w:ascii="游ゴシック" w:hAnsi="游ゴシック" w:eastAsia="游ゴシック"/>
                <w:sz w:val="17"/>
              </w:rPr>
              <w:t>38.0</w:t>
            </w:r>
          </w:p>
        </w:tc>
        <w:tc>
          <w:tcPr>
            <w:tcW w:type="dxa" w:w="1191"/>
          </w:tcPr>
          <w:p>
            <w:r/>
            <w:r>
              <w:rPr>
                <w:rFonts w:ascii="游ゴシック" w:hAnsi="游ゴシック" w:eastAsia="游ゴシック"/>
                <w:sz w:val="17"/>
              </w:rPr>
              <w:t>35.4</w:t>
            </w:r>
          </w:p>
        </w:tc>
        <w:tc>
          <w:tcPr>
            <w:tcW w:type="dxa" w:w="1191"/>
          </w:tcPr>
          <w:p>
            <w:r/>
            <w:r>
              <w:rPr>
                <w:rFonts w:ascii="游ゴシック" w:hAnsi="游ゴシック" w:eastAsia="游ゴシック"/>
                <w:sz w:val="17"/>
              </w:rPr>
              <w:t>35.1</w:t>
            </w:r>
          </w:p>
        </w:tc>
        <w:tc>
          <w:tcPr>
            <w:tcW w:type="dxa" w:w="1191"/>
          </w:tcPr>
          <w:p>
            <w:r/>
            <w:r>
              <w:rPr>
                <w:rFonts w:ascii="游ゴシック" w:hAnsi="游ゴシック" w:eastAsia="游ゴシック"/>
                <w:sz w:val="17"/>
              </w:rPr>
              <w:t>34.8</w:t>
            </w:r>
          </w:p>
        </w:tc>
        <w:tc>
          <w:tcPr>
            <w:tcW w:type="dxa" w:w="1191"/>
          </w:tcPr>
          <w:p>
            <w:r/>
            <w:r>
              <w:rPr>
                <w:rFonts w:ascii="游ゴシック" w:hAnsi="游ゴシック" w:eastAsia="游ゴシック"/>
                <w:sz w:val="17"/>
              </w:rPr>
              <w:t>35.1</w:t>
            </w:r>
          </w:p>
        </w:tc>
      </w:tr>
    </w:tbl>
    <w:p>
      <w:pPr>
        <w:spacing w:after="160" w:line="269" w:lineRule="auto"/>
      </w:pPr>
      <w:r>
        <w:rPr>
          <w:rFonts w:ascii="游ゴシック" w:hAnsi="游ゴシック" w:eastAsia="游ゴシック"/>
          <w:b w:val="0"/>
          <w:sz w:val="17"/>
        </w:rPr>
        <w:t>出典：同上。単位は％。年齢調整は直接法（基準人口＝広域連合全体の年齢階級別回答者数）によります。いずれかの年齢階級の分母が5票未満の地域は調整率を算定していません。</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粗率による町間の差を検定すると、美瑛町と東神楽町の差が統計的に有意であったのは11指標のうち7指標です。有意でなかった4指標（運動機能低下・認知機能低下・IADL低下・月1回以上の社会参加）は、本調査の標本規模では町間の差を確かめられなかったもので、差がないこと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【3　同規模の保険者との比較】</w:t>
      </w:r>
    </w:p>
    <w:p>
      <w:pPr>
        <w:spacing w:after="80" w:line="269" w:lineRule="auto"/>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770"/>
            <w:shd w:val="clear" w:color="auto" w:fill="DCE6F1"/>
          </w:tcPr>
          <w:p>
            <w:pPr>
              <w:spacing w:before="0"/>
              <w:jc w:val="center"/>
            </w:pPr>
            <w:r/>
            <w:r>
              <w:rPr>
                <w:rFonts w:ascii="游ゴシック" w:hAnsi="游ゴシック" w:eastAsia="游ゴシック"/>
                <w:b/>
                <w:sz w:val="17"/>
              </w:rPr>
              <w:t>指標</w:t>
            </w:r>
          </w:p>
        </w:tc>
        <w:tc>
          <w:tcPr>
            <w:tcW w:type="dxa" w:w="1274"/>
            <w:shd w:val="clear" w:color="auto" w:fill="DCE6F1"/>
          </w:tcPr>
          <w:p>
            <w:pPr>
              <w:jc w:val="center"/>
            </w:pPr>
            <w:r/>
            <w:r>
              <w:rPr>
                <w:rFonts w:ascii="游ゴシック" w:hAnsi="游ゴシック" w:eastAsia="游ゴシック"/>
                <w:b/>
                <w:sz w:val="17"/>
              </w:rPr>
              <w:t>大雪地区</w:t>
              <w:br/>
              <w:t>広域連合</w:t>
            </w:r>
          </w:p>
        </w:tc>
        <w:tc>
          <w:tcPr>
            <w:tcW w:type="dxa" w:w="1108"/>
            <w:shd w:val="clear" w:color="auto" w:fill="DCE6F1"/>
          </w:tcPr>
          <w:p>
            <w:pPr>
              <w:jc w:val="center"/>
            </w:pPr>
            <w:r/>
            <w:r>
              <w:rPr>
                <w:rFonts w:ascii="游ゴシック" w:hAnsi="游ゴシック" w:eastAsia="游ゴシック"/>
                <w:b/>
                <w:sz w:val="17"/>
              </w:rPr>
              <w:t>同規模</w:t>
            </w:r>
          </w:p>
        </w:tc>
        <w:tc>
          <w:tcPr>
            <w:tcW w:type="dxa" w:w="997"/>
            <w:shd w:val="clear" w:color="auto" w:fill="DCE6F1"/>
          </w:tcPr>
          <w:p>
            <w:pPr>
              <w:jc w:val="center"/>
            </w:pPr>
            <w:r/>
            <w:r>
              <w:rPr>
                <w:rFonts w:ascii="游ゴシック" w:hAnsi="游ゴシック" w:eastAsia="游ゴシック"/>
                <w:b/>
                <w:sz w:val="17"/>
              </w:rPr>
              <w:t>差</w:t>
            </w:r>
          </w:p>
        </w:tc>
        <w:tc>
          <w:tcPr>
            <w:tcW w:type="dxa" w:w="3601"/>
            <w:shd w:val="clear" w:color="auto" w:fill="DCE6F1"/>
          </w:tcPr>
          <w:p>
            <w:pPr>
              <w:jc w:val="center"/>
            </w:pPr>
            <w:r/>
            <w:r>
              <w:rPr>
                <w:rFonts w:ascii="游ゴシック" w:hAnsi="游ゴシック" w:eastAsia="游ゴシック"/>
                <w:b/>
                <w:sz w:val="17"/>
              </w:rPr>
              <w:t>内容</w:t>
            </w:r>
          </w:p>
        </w:tc>
      </w:tr>
      <w:tr>
        <w:trPr>
          <w:cantSplit/>
        </w:trP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rPr>
          <w:cantSplit/>
        </w:trP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rPr>
          <w:cantSplit/>
        </w:trP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rPr>
          <w:cantSplit/>
        </w:trP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rPr>
          <w:cantSplit/>
        </w:trP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rPr>
          <w:cantSplit/>
        </w:trP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line="269" w:lineRule="auto"/>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【4　社会参加との関連】</w:t>
      </w:r>
    </w:p>
    <w:p>
      <w:pPr>
        <w:spacing w:after="80" w:line="269" w:lineRule="auto"/>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17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参加あり</w:t>
            </w:r>
          </w:p>
        </w:tc>
        <w:tc>
          <w:tcPr>
            <w:tcW w:type="dxa" w:w="1474"/>
            <w:shd w:val="clear" w:color="auto" w:fill="DCE6F1"/>
          </w:tcPr>
          <w:p>
            <w:pPr>
              <w:jc w:val="center"/>
            </w:pPr>
            <w:r/>
            <w:r>
              <w:rPr>
                <w:rFonts w:ascii="游ゴシック" w:hAnsi="游ゴシック" w:eastAsia="游ゴシック"/>
                <w:b/>
                <w:sz w:val="17"/>
              </w:rPr>
              <w:t>参加なし</w:t>
            </w:r>
          </w:p>
        </w:tc>
        <w:tc>
          <w:tcPr>
            <w:tcW w:type="dxa" w:w="1247"/>
            <w:shd w:val="clear" w:color="auto" w:fill="DCE6F1"/>
          </w:tcPr>
          <w:p>
            <w:pPr>
              <w:jc w:val="center"/>
            </w:pPr>
            <w:r/>
            <w:r>
              <w:rPr>
                <w:rFonts w:ascii="游ゴシック" w:hAnsi="游ゴシック" w:eastAsia="游ゴシック"/>
                <w:b/>
                <w:sz w:val="17"/>
              </w:rPr>
              <w:t>差</w:t>
            </w:r>
          </w:p>
        </w:tc>
        <w:tc>
          <w:tcPr>
            <w:tcW w:type="dxa" w:w="2041"/>
            <w:shd w:val="clear" w:color="auto" w:fill="DCE6F1"/>
          </w:tcPr>
          <w:p>
            <w:pPr>
              <w:jc w:val="center"/>
            </w:pPr>
            <w:r/>
            <w:r>
              <w:rPr>
                <w:rFonts w:ascii="游ゴシック" w:hAnsi="游ゴシック" w:eastAsia="游ゴシック"/>
                <w:b/>
                <w:sz w:val="17"/>
              </w:rPr>
              <w:t>検定</w:t>
            </w:r>
          </w:p>
        </w:tc>
      </w:tr>
      <w:tr>
        <w:trPr>
          <w:cantSplit/>
        </w:trP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rPr>
          <w:cantSplit/>
        </w:trP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【5　暮らし向きとの関連】</w:t>
      </w:r>
    </w:p>
    <w:p>
      <w:pPr>
        <w:spacing w:after="80" w:line="269" w:lineRule="auto"/>
      </w:pPr>
      <w:r>
        <w:rPr>
          <w:rFonts w:ascii="游ゴシック" w:hAnsi="游ゴシック" w:eastAsia="游ゴシック"/>
          <w:b w:val="0"/>
          <w:sz w:val="20"/>
        </w:rPr>
        <w:t>暮らし向き別にみると、フレイル該当割合は「大変苦しい」層42.7％に対し「大変ゆとりがある」層6.8％で6.3倍の差があります。本調査で扱った区分のうち差が最も大きいものです。暮らし向きが「苦しい」（大変苦しい・やや苦しい）と回答した方は広域連合全体で28.6％で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494"/>
            <w:shd w:val="clear" w:color="auto" w:fill="DCE6F1"/>
          </w:tcPr>
          <w:p>
            <w:pPr>
              <w:spacing w:before="0"/>
              <w:jc w:val="center"/>
            </w:pPr>
            <w:r/>
            <w:r>
              <w:rPr>
                <w:rFonts w:ascii="游ゴシック" w:hAnsi="游ゴシック" w:eastAsia="游ゴシック"/>
                <w:b/>
                <w:sz w:val="17"/>
              </w:rPr>
              <w:t>指標</w:t>
            </w:r>
          </w:p>
        </w:tc>
        <w:tc>
          <w:tcPr>
            <w:tcW w:type="dxa" w:w="1134"/>
            <w:shd w:val="clear" w:color="auto" w:fill="DCE6F1"/>
          </w:tcPr>
          <w:p>
            <w:pPr>
              <w:jc w:val="center"/>
            </w:pPr>
            <w:r/>
            <w:r>
              <w:rPr>
                <w:rFonts w:ascii="游ゴシック" w:hAnsi="游ゴシック" w:eastAsia="游ゴシック"/>
                <w:b/>
                <w:sz w:val="17"/>
              </w:rPr>
              <w:t>大変苦しい</w:t>
            </w:r>
          </w:p>
        </w:tc>
        <w:tc>
          <w:tcPr>
            <w:tcW w:type="dxa" w:w="1134"/>
            <w:shd w:val="clear" w:color="auto" w:fill="DCE6F1"/>
          </w:tcPr>
          <w:p>
            <w:pPr>
              <w:jc w:val="center"/>
            </w:pPr>
            <w:r/>
            <w:r>
              <w:rPr>
                <w:rFonts w:ascii="游ゴシック" w:hAnsi="游ゴシック" w:eastAsia="游ゴシック"/>
                <w:b/>
                <w:sz w:val="17"/>
              </w:rPr>
              <w:t>やや苦しい</w:t>
            </w:r>
          </w:p>
        </w:tc>
        <w:tc>
          <w:tcPr>
            <w:tcW w:type="dxa" w:w="1077"/>
            <w:shd w:val="clear" w:color="auto" w:fill="DCE6F1"/>
          </w:tcPr>
          <w:p>
            <w:pPr>
              <w:jc w:val="center"/>
            </w:pPr>
            <w:r/>
            <w:r>
              <w:rPr>
                <w:rFonts w:ascii="游ゴシック" w:hAnsi="游ゴシック" w:eastAsia="游ゴシック"/>
                <w:b/>
                <w:sz w:val="17"/>
              </w:rPr>
              <w:t>ふつう</w:t>
            </w:r>
          </w:p>
        </w:tc>
        <w:tc>
          <w:tcPr>
            <w:tcW w:type="dxa" w:w="1304"/>
            <w:shd w:val="clear" w:color="auto" w:fill="DCE6F1"/>
          </w:tcPr>
          <w:p>
            <w:pPr>
              <w:jc w:val="center"/>
            </w:pPr>
            <w:r/>
            <w:r>
              <w:rPr>
                <w:rFonts w:ascii="游ゴシック" w:hAnsi="游ゴシック" w:eastAsia="游ゴシック"/>
                <w:b/>
                <w:sz w:val="17"/>
              </w:rPr>
              <w:t>ややゆとりがある</w:t>
            </w:r>
          </w:p>
        </w:tc>
        <w:tc>
          <w:tcPr>
            <w:tcW w:type="dxa" w:w="1304"/>
            <w:shd w:val="clear" w:color="auto" w:fill="DCE6F1"/>
          </w:tcPr>
          <w:p>
            <w:pPr>
              <w:jc w:val="center"/>
            </w:pPr>
            <w:r/>
            <w:r>
              <w:rPr>
                <w:rFonts w:ascii="游ゴシック" w:hAnsi="游ゴシック" w:eastAsia="游ゴシック"/>
                <w:b/>
                <w:sz w:val="17"/>
              </w:rPr>
              <w:t>大変ゆとりがある</w:t>
            </w:r>
          </w:p>
        </w:tc>
        <w:tc>
          <w:tcPr>
            <w:tcW w:type="dxa" w:w="1077"/>
            <w:shd w:val="clear" w:color="auto" w:fill="DCE6F1"/>
          </w:tcPr>
          <w:p>
            <w:pPr>
              <w:jc w:val="center"/>
            </w:pPr>
            <w:r/>
            <w:r>
              <w:rPr>
                <w:rFonts w:ascii="游ゴシック" w:hAnsi="游ゴシック" w:eastAsia="游ゴシック"/>
                <w:b/>
                <w:sz w:val="17"/>
              </w:rPr>
              <w:t>検定</w:t>
            </w:r>
          </w:p>
        </w:tc>
      </w:tr>
      <w:tr>
        <w:trPr>
          <w:cantSplit/>
        </w:trPr>
        <w:tc>
          <w:tcPr>
            <w:tcW w:type="dxa" w:w="2494"/>
          </w:tcPr>
          <w:p>
            <w:r/>
            <w:r>
              <w:rPr>
                <w:rFonts w:ascii="游ゴシック" w:hAnsi="游ゴシック" w:eastAsia="游ゴシック"/>
                <w:sz w:val="17"/>
              </w:rPr>
              <w:t>フレイルあり割合</w:t>
            </w:r>
          </w:p>
        </w:tc>
        <w:tc>
          <w:tcPr>
            <w:tcW w:type="dxa" w:w="1134"/>
          </w:tcPr>
          <w:p>
            <w:r/>
            <w:r>
              <w:rPr>
                <w:rFonts w:ascii="游ゴシック" w:hAnsi="游ゴシック" w:eastAsia="游ゴシック"/>
                <w:sz w:val="17"/>
              </w:rPr>
              <w:t>42.7</w:t>
            </w:r>
          </w:p>
        </w:tc>
        <w:tc>
          <w:tcPr>
            <w:tcW w:type="dxa" w:w="1134"/>
          </w:tcPr>
          <w:p>
            <w:r/>
            <w:r>
              <w:rPr>
                <w:rFonts w:ascii="游ゴシック" w:hAnsi="游ゴシック" w:eastAsia="游ゴシック"/>
                <w:sz w:val="17"/>
              </w:rPr>
              <w:t>26.8</w:t>
            </w:r>
          </w:p>
        </w:tc>
        <w:tc>
          <w:tcPr>
            <w:tcW w:type="dxa" w:w="1077"/>
          </w:tcPr>
          <w:p>
            <w:r/>
            <w:r>
              <w:rPr>
                <w:rFonts w:ascii="游ゴシック" w:hAnsi="游ゴシック" w:eastAsia="游ゴシック"/>
                <w:sz w:val="17"/>
              </w:rPr>
              <w:t>15.7</w:t>
            </w:r>
          </w:p>
        </w:tc>
        <w:tc>
          <w:tcPr>
            <w:tcW w:type="dxa" w:w="1304"/>
          </w:tcPr>
          <w:p>
            <w:r/>
            <w:r>
              <w:rPr>
                <w:rFonts w:ascii="游ゴシック" w:hAnsi="游ゴシック" w:eastAsia="游ゴシック"/>
                <w:sz w:val="17"/>
              </w:rPr>
              <w:t>8.3</w:t>
            </w:r>
          </w:p>
        </w:tc>
        <w:tc>
          <w:tcPr>
            <w:tcW w:type="dxa" w:w="1304"/>
          </w:tcPr>
          <w:p>
            <w:r/>
            <w:r>
              <w:rPr>
                <w:rFonts w:ascii="游ゴシック" w:hAnsi="游ゴシック" w:eastAsia="游ゴシック"/>
                <w:sz w:val="17"/>
              </w:rPr>
              <w:t>6.8</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うつ割合</w:t>
            </w:r>
          </w:p>
        </w:tc>
        <w:tc>
          <w:tcPr>
            <w:tcW w:type="dxa" w:w="1134"/>
          </w:tcPr>
          <w:p>
            <w:r/>
            <w:r>
              <w:rPr>
                <w:rFonts w:ascii="游ゴシック" w:hAnsi="游ゴシック" w:eastAsia="游ゴシック"/>
                <w:sz w:val="17"/>
              </w:rPr>
              <w:t>49.0</w:t>
            </w:r>
          </w:p>
        </w:tc>
        <w:tc>
          <w:tcPr>
            <w:tcW w:type="dxa" w:w="1134"/>
          </w:tcPr>
          <w:p>
            <w:r/>
            <w:r>
              <w:rPr>
                <w:rFonts w:ascii="游ゴシック" w:hAnsi="游ゴシック" w:eastAsia="游ゴシック"/>
                <w:sz w:val="17"/>
              </w:rPr>
              <w:t>39.0</w:t>
            </w:r>
          </w:p>
        </w:tc>
        <w:tc>
          <w:tcPr>
            <w:tcW w:type="dxa" w:w="1077"/>
          </w:tcPr>
          <w:p>
            <w:r/>
            <w:r>
              <w:rPr>
                <w:rFonts w:ascii="游ゴシック" w:hAnsi="游ゴシック" w:eastAsia="游ゴシック"/>
                <w:sz w:val="17"/>
              </w:rPr>
              <w:t>24.2</w:t>
            </w:r>
          </w:p>
        </w:tc>
        <w:tc>
          <w:tcPr>
            <w:tcW w:type="dxa" w:w="1304"/>
          </w:tcPr>
          <w:p>
            <w:r/>
            <w:r>
              <w:rPr>
                <w:rFonts w:ascii="游ゴシック" w:hAnsi="游ゴシック" w:eastAsia="游ゴシック"/>
                <w:sz w:val="17"/>
              </w:rPr>
              <w:t>14.9</w:t>
            </w:r>
          </w:p>
        </w:tc>
        <w:tc>
          <w:tcPr>
            <w:tcW w:type="dxa" w:w="1304"/>
          </w:tcPr>
          <w:p>
            <w:r/>
            <w:r>
              <w:rPr>
                <w:rFonts w:ascii="游ゴシック" w:hAnsi="游ゴシック" w:eastAsia="游ゴシック"/>
                <w:sz w:val="17"/>
              </w:rPr>
              <w:t>12.6</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閉じこもり者割合</w:t>
            </w:r>
          </w:p>
        </w:tc>
        <w:tc>
          <w:tcPr>
            <w:tcW w:type="dxa" w:w="1134"/>
          </w:tcPr>
          <w:p>
            <w:r/>
            <w:r>
              <w:rPr>
                <w:rFonts w:ascii="游ゴシック" w:hAnsi="游ゴシック" w:eastAsia="游ゴシック"/>
                <w:sz w:val="17"/>
              </w:rPr>
              <w:t>18.9</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7.0</w:t>
            </w:r>
          </w:p>
        </w:tc>
        <w:tc>
          <w:tcPr>
            <w:tcW w:type="dxa" w:w="1304"/>
          </w:tcPr>
          <w:p>
            <w:r/>
            <w:r>
              <w:rPr>
                <w:rFonts w:ascii="游ゴシック" w:hAnsi="游ゴシック" w:eastAsia="游ゴシック"/>
                <w:sz w:val="17"/>
              </w:rPr>
              <w:t>7.8</w:t>
            </w:r>
          </w:p>
        </w:tc>
        <w:tc>
          <w:tcPr>
            <w:tcW w:type="dxa" w:w="1304"/>
          </w:tcPr>
          <w:p>
            <w:r/>
            <w:r>
              <w:rPr>
                <w:rFonts w:ascii="游ゴシック" w:hAnsi="游ゴシック" w:eastAsia="游ゴシック"/>
                <w:sz w:val="17"/>
              </w:rPr>
              <w:t>3.9</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生活動作の困りごとあり割合</w:t>
            </w:r>
          </w:p>
        </w:tc>
        <w:tc>
          <w:tcPr>
            <w:tcW w:type="dxa" w:w="1134"/>
          </w:tcPr>
          <w:p>
            <w:r/>
            <w:r>
              <w:rPr>
                <w:rFonts w:ascii="游ゴシック" w:hAnsi="游ゴシック" w:eastAsia="游ゴシック"/>
                <w:sz w:val="17"/>
              </w:rPr>
              <w:t>60.9</w:t>
            </w:r>
          </w:p>
        </w:tc>
        <w:tc>
          <w:tcPr>
            <w:tcW w:type="dxa" w:w="1134"/>
          </w:tcPr>
          <w:p>
            <w:r/>
            <w:r>
              <w:rPr>
                <w:rFonts w:ascii="游ゴシック" w:hAnsi="游ゴシック" w:eastAsia="游ゴシック"/>
                <w:sz w:val="17"/>
              </w:rPr>
              <w:t>53.2</w:t>
            </w:r>
          </w:p>
        </w:tc>
        <w:tc>
          <w:tcPr>
            <w:tcW w:type="dxa" w:w="1077"/>
          </w:tcPr>
          <w:p>
            <w:r/>
            <w:r>
              <w:rPr>
                <w:rFonts w:ascii="游ゴシック" w:hAnsi="游ゴシック" w:eastAsia="游ゴシック"/>
                <w:sz w:val="17"/>
              </w:rPr>
              <w:t>36.0</w:t>
            </w:r>
          </w:p>
        </w:tc>
        <w:tc>
          <w:tcPr>
            <w:tcW w:type="dxa" w:w="1304"/>
          </w:tcPr>
          <w:p>
            <w:r/>
            <w:r>
              <w:rPr>
                <w:rFonts w:ascii="游ゴシック" w:hAnsi="游ゴシック" w:eastAsia="游ゴシック"/>
                <w:sz w:val="17"/>
              </w:rPr>
              <w:t>29.6</w:t>
            </w:r>
          </w:p>
        </w:tc>
        <w:tc>
          <w:tcPr>
            <w:tcW w:type="dxa" w:w="1304"/>
          </w:tcPr>
          <w:p>
            <w:r/>
            <w:r>
              <w:rPr>
                <w:rFonts w:ascii="游ゴシック" w:hAnsi="游ゴシック" w:eastAsia="游ゴシック"/>
                <w:sz w:val="17"/>
              </w:rPr>
              <w:t>20.0</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社会参加あり割合</w:t>
            </w:r>
          </w:p>
        </w:tc>
        <w:tc>
          <w:tcPr>
            <w:tcW w:type="dxa" w:w="1134"/>
          </w:tcPr>
          <w:p>
            <w:r/>
            <w:r>
              <w:rPr>
                <w:rFonts w:ascii="游ゴシック" w:hAnsi="游ゴシック" w:eastAsia="游ゴシック"/>
                <w:sz w:val="17"/>
              </w:rPr>
              <w:t>25.1</w:t>
            </w:r>
          </w:p>
        </w:tc>
        <w:tc>
          <w:tcPr>
            <w:tcW w:type="dxa" w:w="1134"/>
          </w:tcPr>
          <w:p>
            <w:r/>
            <w:r>
              <w:rPr>
                <w:rFonts w:ascii="游ゴシック" w:hAnsi="游ゴシック" w:eastAsia="游ゴシック"/>
                <w:sz w:val="17"/>
              </w:rPr>
              <w:t>33.9</w:t>
            </w:r>
          </w:p>
        </w:tc>
        <w:tc>
          <w:tcPr>
            <w:tcW w:type="dxa" w:w="1077"/>
          </w:tcPr>
          <w:p>
            <w:r/>
            <w:r>
              <w:rPr>
                <w:rFonts w:ascii="游ゴシック" w:hAnsi="游ゴシック" w:eastAsia="游ゴシック"/>
                <w:sz w:val="17"/>
              </w:rPr>
              <w:t>36.5</w:t>
            </w:r>
          </w:p>
        </w:tc>
        <w:tc>
          <w:tcPr>
            <w:tcW w:type="dxa" w:w="1304"/>
          </w:tcPr>
          <w:p>
            <w:r/>
            <w:r>
              <w:rPr>
                <w:rFonts w:ascii="游ゴシック" w:hAnsi="游ゴシック" w:eastAsia="游ゴシック"/>
                <w:sz w:val="17"/>
              </w:rPr>
              <w:t>44.3</w:t>
            </w:r>
          </w:p>
        </w:tc>
        <w:tc>
          <w:tcPr>
            <w:tcW w:type="dxa" w:w="1304"/>
          </w:tcPr>
          <w:p>
            <w:r/>
            <w:r>
              <w:rPr>
                <w:rFonts w:ascii="游ゴシック" w:hAnsi="游ゴシック" w:eastAsia="游ゴシック"/>
                <w:sz w:val="17"/>
              </w:rPr>
              <w:t>44.6</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通いの場参加割合</w:t>
            </w:r>
          </w:p>
        </w:tc>
        <w:tc>
          <w:tcPr>
            <w:tcW w:type="dxa" w:w="1134"/>
          </w:tcPr>
          <w:p>
            <w:r/>
            <w:r>
              <w:rPr>
                <w:rFonts w:ascii="游ゴシック" w:hAnsi="游ゴシック" w:eastAsia="游ゴシック"/>
                <w:sz w:val="17"/>
              </w:rPr>
              <w:t>7.8</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8.8</w:t>
            </w:r>
          </w:p>
        </w:tc>
        <w:tc>
          <w:tcPr>
            <w:tcW w:type="dxa" w:w="1304"/>
          </w:tcPr>
          <w:p>
            <w:r/>
            <w:r>
              <w:rPr>
                <w:rFonts w:ascii="游ゴシック" w:hAnsi="游ゴシック" w:eastAsia="游ゴシック"/>
                <w:sz w:val="17"/>
              </w:rPr>
              <w:t>8.5</w:t>
            </w:r>
          </w:p>
        </w:tc>
        <w:tc>
          <w:tcPr>
            <w:tcW w:type="dxa" w:w="1304"/>
          </w:tcPr>
          <w:p>
            <w:r/>
            <w:r>
              <w:rPr>
                <w:rFonts w:ascii="游ゴシック" w:hAnsi="游ゴシック" w:eastAsia="游ゴシック"/>
                <w:sz w:val="17"/>
              </w:rPr>
              <w:t>7.9</w:t>
            </w:r>
          </w:p>
        </w:tc>
        <w:tc>
          <w:tcPr>
            <w:tcW w:type="dxa" w:w="1077"/>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分母は暮らし向きの設問に回答した4,596票で、区分別の回答者数は大変苦しい314人・やや苦しい1,000人・ふつう2,722人・ややゆとりがある457人・大変ゆとりがある103人です。検定は「苦しい計」と「ふつう」の差によ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【6　生活実態の主な値】</w:t>
      </w:r>
    </w:p>
    <w:p>
      <w:pPr>
        <w:spacing w:after="80" w:line="269" w:lineRule="auto"/>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175"/>
            <w:shd w:val="clear" w:color="auto" w:fill="DCE6F1"/>
          </w:tcPr>
          <w:p>
            <w:pPr>
              <w:spacing w:before="0"/>
              <w:jc w:val="center"/>
            </w:pPr>
            <w:r/>
            <w:r>
              <w:rPr>
                <w:rFonts w:ascii="游ゴシック" w:hAnsi="游ゴシック" w:eastAsia="游ゴシック"/>
                <w:b/>
                <w:sz w:val="17"/>
              </w:rPr>
              <w:t>項目</w:t>
            </w:r>
          </w:p>
        </w:tc>
        <w:tc>
          <w:tcPr>
            <w:tcW w:type="dxa" w:w="1020"/>
            <w:shd w:val="clear" w:color="auto" w:fill="DCE6F1"/>
          </w:tcPr>
          <w:p>
            <w:pPr>
              <w:jc w:val="center"/>
            </w:pPr>
            <w:r/>
            <w:r>
              <w:rPr>
                <w:rFonts w:ascii="游ゴシック" w:hAnsi="游ゴシック" w:eastAsia="游ゴシック"/>
                <w:b/>
                <w:sz w:val="17"/>
              </w:rPr>
              <w:t>割合</w:t>
            </w:r>
          </w:p>
        </w:tc>
        <w:tc>
          <w:tcPr>
            <w:tcW w:type="dxa" w:w="1020"/>
            <w:shd w:val="clear" w:color="auto" w:fill="DCE6F1"/>
          </w:tcPr>
          <w:p>
            <w:pPr>
              <w:jc w:val="center"/>
            </w:pPr>
            <w:r/>
            <w:r>
              <w:rPr>
                <w:rFonts w:ascii="游ゴシック" w:hAnsi="游ゴシック" w:eastAsia="游ゴシック"/>
                <w:b/>
                <w:sz w:val="17"/>
              </w:rPr>
              <w:t>分母</w:t>
            </w:r>
          </w:p>
        </w:tc>
        <w:tc>
          <w:tcPr>
            <w:tcW w:type="dxa" w:w="4195"/>
            <w:shd w:val="clear" w:color="auto" w:fill="DCE6F1"/>
          </w:tcPr>
          <w:p>
            <w:pPr>
              <w:jc w:val="center"/>
            </w:pPr>
            <w:r/>
            <w:r>
              <w:rPr>
                <w:rFonts w:ascii="游ゴシック" w:hAnsi="游ゴシック" w:eastAsia="游ゴシック"/>
                <w:b/>
                <w:sz w:val="17"/>
              </w:rPr>
              <w:t>内容</w:t>
            </w:r>
          </w:p>
        </w:tc>
      </w:tr>
      <w:tr>
        <w:trPr>
          <w:cantSplit/>
        </w:trPr>
        <w:tc>
          <w:tcPr>
            <w:tcW w:type="dxa" w:w="3175"/>
          </w:tcPr>
          <w:p>
            <w:r/>
            <w:r>
              <w:rPr>
                <w:rFonts w:ascii="游ゴシック" w:hAnsi="游ゴシック" w:eastAsia="游ゴシック"/>
                <w:sz w:val="17"/>
              </w:rPr>
              <w:t>生活動作の困りごととして除雪を挙げた者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該当数1,002人。生活動作の困りごとのうち最も多い。3町はいずれも豪雪地帯又は特別豪雪地帯の指定を受けている</w:t>
            </w:r>
          </w:p>
        </w:tc>
      </w:tr>
      <w:tr>
        <w:trPr>
          <w:cantSplit/>
        </w:trP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rPr>
          <w:cantSplit/>
        </w:trP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rPr>
          <w:cantSplit/>
        </w:trP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rPr>
          <w:cantSplit/>
        </w:trP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rPr>
          <w:cantSplit/>
        </w:trP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line="269" w:lineRule="auto"/>
      </w:pPr>
      <w:r>
        <w:rPr>
          <w:rFonts w:ascii="游ゴシック" w:hAnsi="游ゴシック" w:eastAsia="游ゴシック"/>
          <w:b w:val="0"/>
          <w:sz w:val="17"/>
        </w:rPr>
        <w:t>出典：同上。分母は設問により異なります（回答者のうち当該設問に回答した方。上表では4,128票から4,645票）。「生活動作の困りごととして除雪を挙げた者」は、困りごとがある方に占める割合ではなく、回答者4,128票に占める割合（該当数1,002人）です。「何らかの介護・介助が必要だが現在は受けていない」方は、認定を受けながらサービスを利用していない方（第2節3）とは別の集団であり、合算でき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【7　地区別の状況】</w:t>
      </w:r>
    </w:p>
    <w:p>
      <w:pPr>
        <w:spacing w:after="80" w:line="269" w:lineRule="auto"/>
      </w:pPr>
      <w:r>
        <w:rPr>
          <w:rFonts w:ascii="游ゴシック" w:hAnsi="游ゴシック" w:eastAsia="游ゴシック"/>
          <w:b w:val="0"/>
          <w:sz w:val="20"/>
        </w:rPr>
        <w:t>本調査は小学校区別の集計ができます。東神楽町3・東川町4・美瑛町5の計12小学校区のうち、回答者数が100票に満たない地区が4地区あり、値の変動が大きくなります。日常生活圏域（第1章第7節）の設定において、統計の単位として小学校区を用いるかは［要確認］と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41"/>
            <w:shd w:val="clear" w:color="auto" w:fill="DCE6F1"/>
          </w:tcPr>
          <w:p>
            <w:pPr>
              <w:spacing w:before="0"/>
              <w:jc w:val="center"/>
            </w:pPr>
            <w:r/>
            <w:r>
              <w:rPr>
                <w:rFonts w:ascii="游ゴシック" w:hAnsi="游ゴシック" w:eastAsia="游ゴシック"/>
                <w:b/>
                <w:sz w:val="17"/>
              </w:rPr>
              <w:t>町</w:t>
            </w:r>
          </w:p>
        </w:tc>
        <w:tc>
          <w:tcPr>
            <w:tcW w:type="dxa" w:w="2327"/>
            <w:shd w:val="clear" w:color="auto" w:fill="DCE6F1"/>
          </w:tcPr>
          <w:p>
            <w:pPr>
              <w:jc w:val="center"/>
            </w:pPr>
            <w:r/>
            <w:r>
              <w:rPr>
                <w:rFonts w:ascii="游ゴシック" w:hAnsi="游ゴシック" w:eastAsia="游ゴシック"/>
                <w:b/>
                <w:sz w:val="17"/>
              </w:rPr>
              <w:t>地区</w:t>
            </w:r>
          </w:p>
        </w:tc>
        <w:tc>
          <w:tcPr>
            <w:tcW w:type="dxa" w:w="1108"/>
            <w:shd w:val="clear" w:color="auto" w:fill="DCE6F1"/>
          </w:tcPr>
          <w:p>
            <w:pPr>
              <w:jc w:val="center"/>
            </w:pPr>
            <w:r/>
            <w:r>
              <w:rPr>
                <w:rFonts w:ascii="游ゴシック" w:hAnsi="游ゴシック" w:eastAsia="游ゴシック"/>
                <w:b/>
                <w:sz w:val="17"/>
              </w:rPr>
              <w:t>回答者数</w:t>
            </w:r>
          </w:p>
        </w:tc>
        <w:tc>
          <w:tcPr>
            <w:tcW w:type="dxa" w:w="1219"/>
            <w:shd w:val="clear" w:color="auto" w:fill="DCE6F1"/>
          </w:tcPr>
          <w:p>
            <w:pPr>
              <w:jc w:val="center"/>
            </w:pPr>
            <w:r/>
            <w:r>
              <w:rPr>
                <w:rFonts w:ascii="游ゴシック" w:hAnsi="游ゴシック" w:eastAsia="游ゴシック"/>
                <w:b/>
                <w:sz w:val="17"/>
              </w:rPr>
              <w:t>75歳以上</w:t>
              <w:br/>
              <w:t>構成比</w:t>
            </w:r>
          </w:p>
        </w:tc>
        <w:tc>
          <w:tcPr>
            <w:tcW w:type="dxa" w:w="1219"/>
            <w:shd w:val="clear" w:color="auto" w:fill="DCE6F1"/>
          </w:tcPr>
          <w:p>
            <w:pPr>
              <w:jc w:val="center"/>
            </w:pPr>
            <w:r/>
            <w:r>
              <w:rPr>
                <w:rFonts w:ascii="游ゴシック" w:hAnsi="游ゴシック" w:eastAsia="游ゴシック"/>
                <w:b/>
                <w:sz w:val="17"/>
              </w:rPr>
              <w:t>フレイル</w:t>
              <w:br/>
              <w:t>あり割合</w:t>
            </w:r>
          </w:p>
        </w:tc>
        <w:tc>
          <w:tcPr>
            <w:tcW w:type="dxa" w:w="1219"/>
            <w:shd w:val="clear" w:color="auto" w:fill="DCE6F1"/>
          </w:tcPr>
          <w:p>
            <w:pPr>
              <w:jc w:val="center"/>
            </w:pPr>
            <w:r/>
            <w:r>
              <w:rPr>
                <w:rFonts w:ascii="游ゴシック" w:hAnsi="游ゴシック" w:eastAsia="游ゴシック"/>
                <w:b/>
                <w:sz w:val="17"/>
              </w:rPr>
              <w:t>閉じこもり</w:t>
              <w:br/>
              <w:t>者割合</w:t>
            </w:r>
          </w:p>
        </w:tc>
        <w:tc>
          <w:tcPr>
            <w:tcW w:type="dxa" w:w="1219"/>
            <w:shd w:val="clear" w:color="auto" w:fill="DCE6F1"/>
          </w:tcPr>
          <w:p>
            <w:pPr>
              <w:jc w:val="center"/>
            </w:pPr>
            <w:r/>
            <w:r>
              <w:rPr>
                <w:rFonts w:ascii="游ゴシック" w:hAnsi="游ゴシック" w:eastAsia="游ゴシック"/>
                <w:b/>
                <w:sz w:val="17"/>
              </w:rPr>
              <w:t>社会参加</w:t>
              <w:br/>
              <w:t>あり割合</w:t>
            </w:r>
          </w:p>
        </w:tc>
      </w:tr>
      <w:tr>
        <w:trPr>
          <w:cantSplit/>
        </w:trPr>
        <w:tc>
          <w:tcPr>
            <w:tcW w:type="dxa" w:w="1441"/>
          </w:tcPr>
          <w:p>
            <w:r/>
            <w:r>
              <w:rPr>
                <w:rFonts w:ascii="游ゴシック" w:hAnsi="游ゴシック" w:eastAsia="游ゴシック"/>
                <w:sz w:val="17"/>
              </w:rPr>
              <w:t>大雪地区広域連合</w:t>
            </w:r>
          </w:p>
        </w:tc>
        <w:tc>
          <w:tcPr>
            <w:tcW w:type="dxa" w:w="2327"/>
          </w:tcPr>
          <w:p>
            <w:r/>
            <w:r>
              <w:rPr>
                <w:rFonts w:ascii="游ゴシック" w:hAnsi="游ゴシック" w:eastAsia="游ゴシック"/>
                <w:sz w:val="17"/>
              </w:rPr>
              <w:t>全体</w:t>
            </w:r>
          </w:p>
        </w:tc>
        <w:tc>
          <w:tcPr>
            <w:tcW w:type="dxa" w:w="1108"/>
          </w:tcPr>
          <w:p>
            <w:r/>
            <w:r>
              <w:rPr>
                <w:rFonts w:ascii="游ゴシック" w:hAnsi="游ゴシック" w:eastAsia="游ゴシック"/>
                <w:sz w:val="17"/>
              </w:rPr>
              <w:t>4,729</w:t>
            </w:r>
          </w:p>
        </w:tc>
        <w:tc>
          <w:tcPr>
            <w:tcW w:type="dxa" w:w="1219"/>
          </w:tcPr>
          <w:p>
            <w:r/>
            <w:r>
              <w:rPr>
                <w:rFonts w:ascii="游ゴシック" w:hAnsi="游ゴシック" w:eastAsia="游ゴシック"/>
                <w:sz w:val="17"/>
              </w:rPr>
              <w:t>54.1</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8.5</w:t>
            </w:r>
          </w:p>
        </w:tc>
        <w:tc>
          <w:tcPr>
            <w:tcW w:type="dxa" w:w="1219"/>
          </w:tcPr>
          <w:p>
            <w:r/>
            <w:r>
              <w:rPr>
                <w:rFonts w:ascii="游ゴシック" w:hAnsi="游ゴシック" w:eastAsia="游ゴシック"/>
                <w:sz w:val="17"/>
              </w:rPr>
              <w:t>36.0</w:t>
            </w:r>
          </w:p>
        </w:tc>
      </w:tr>
      <w:tr>
        <w:trPr>
          <w:cantSplit/>
        </w:trPr>
        <w:tc>
          <w:tcPr>
            <w:tcW w:type="dxa" w:w="1441"/>
          </w:tcPr>
          <w:p>
            <w:r/>
            <w:r>
              <w:rPr>
                <w:rFonts w:ascii="游ゴシック" w:hAnsi="游ゴシック" w:eastAsia="游ゴシック"/>
                <w:sz w:val="17"/>
              </w:rPr>
              <w:t>東川町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1,416</w:t>
            </w:r>
          </w:p>
        </w:tc>
        <w:tc>
          <w:tcPr>
            <w:tcW w:type="dxa" w:w="1219"/>
          </w:tcPr>
          <w:p>
            <w:r/>
            <w:r>
              <w:rPr>
                <w:rFonts w:ascii="游ゴシック" w:hAnsi="游ゴシック" w:eastAsia="游ゴシック"/>
                <w:sz w:val="17"/>
              </w:rPr>
              <w:t>58.8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8.6</w:t>
            </w:r>
          </w:p>
        </w:tc>
        <w:tc>
          <w:tcPr>
            <w:tcW w:type="dxa" w:w="1219"/>
          </w:tcPr>
          <w:p>
            <w:r/>
            <w:r>
              <w:rPr>
                <w:rFonts w:ascii="游ゴシック" w:hAnsi="游ゴシック" w:eastAsia="游ゴシック"/>
                <w:sz w:val="17"/>
              </w:rPr>
              <w:t>38.2</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東川第1小学校区</w:t>
            </w:r>
          </w:p>
        </w:tc>
        <w:tc>
          <w:tcPr>
            <w:tcW w:type="dxa" w:w="1108"/>
          </w:tcPr>
          <w:p>
            <w:r/>
            <w:r>
              <w:rPr>
                <w:rFonts w:ascii="游ゴシック" w:hAnsi="游ゴシック" w:eastAsia="游ゴシック"/>
                <w:sz w:val="17"/>
              </w:rPr>
              <w:t>123</w:t>
            </w:r>
          </w:p>
        </w:tc>
        <w:tc>
          <w:tcPr>
            <w:tcW w:type="dxa" w:w="1219"/>
          </w:tcPr>
          <w:p>
            <w:r/>
            <w:r>
              <w:rPr>
                <w:rFonts w:ascii="游ゴシック" w:hAnsi="游ゴシック" w:eastAsia="游ゴシック"/>
                <w:sz w:val="17"/>
              </w:rPr>
              <w:t>65.9</w:t>
            </w:r>
          </w:p>
        </w:tc>
        <w:tc>
          <w:tcPr>
            <w:tcW w:type="dxa" w:w="1219"/>
          </w:tcPr>
          <w:p>
            <w:r/>
            <w:r>
              <w:rPr>
                <w:rFonts w:ascii="游ゴシック" w:hAnsi="游ゴシック" w:eastAsia="游ゴシック"/>
                <w:sz w:val="17"/>
              </w:rPr>
              <w:t>20.5</w:t>
            </w:r>
          </w:p>
        </w:tc>
        <w:tc>
          <w:tcPr>
            <w:tcW w:type="dxa" w:w="1219"/>
          </w:tcPr>
          <w:p>
            <w:r/>
            <w:r>
              <w:rPr>
                <w:rFonts w:ascii="游ゴシック" w:hAnsi="游ゴシック" w:eastAsia="游ゴシック"/>
                <w:sz w:val="17"/>
              </w:rPr>
              <w:t>7.6</w:t>
            </w:r>
          </w:p>
        </w:tc>
        <w:tc>
          <w:tcPr>
            <w:tcW w:type="dxa" w:w="1219"/>
          </w:tcPr>
          <w:p>
            <w:r/>
            <w:r>
              <w:rPr>
                <w:rFonts w:ascii="游ゴシック" w:hAnsi="游ゴシック" w:eastAsia="游ゴシック"/>
                <w:sz w:val="17"/>
              </w:rPr>
              <w:t>43.5</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東川第2小学校区</w:t>
            </w:r>
          </w:p>
        </w:tc>
        <w:tc>
          <w:tcPr>
            <w:tcW w:type="dxa" w:w="1108"/>
          </w:tcPr>
          <w:p>
            <w:r/>
            <w:r>
              <w:rPr>
                <w:rFonts w:ascii="游ゴシック" w:hAnsi="游ゴシック" w:eastAsia="游ゴシック"/>
                <w:sz w:val="17"/>
              </w:rPr>
              <w:t>151</w:t>
            </w:r>
          </w:p>
        </w:tc>
        <w:tc>
          <w:tcPr>
            <w:tcW w:type="dxa" w:w="1219"/>
          </w:tcPr>
          <w:p>
            <w:r/>
            <w:r>
              <w:rPr>
                <w:rFonts w:ascii="游ゴシック" w:hAnsi="游ゴシック" w:eastAsia="游ゴシック"/>
                <w:sz w:val="17"/>
              </w:rPr>
              <w:t>66.9</w:t>
            </w:r>
          </w:p>
        </w:tc>
        <w:tc>
          <w:tcPr>
            <w:tcW w:type="dxa" w:w="1219"/>
          </w:tcPr>
          <w:p>
            <w:r/>
            <w:r>
              <w:rPr>
                <w:rFonts w:ascii="游ゴシック" w:hAnsi="游ゴシック" w:eastAsia="游ゴシック"/>
                <w:sz w:val="17"/>
              </w:rPr>
              <w:t>19.2</w:t>
            </w:r>
          </w:p>
        </w:tc>
        <w:tc>
          <w:tcPr>
            <w:tcW w:type="dxa" w:w="1219"/>
          </w:tcPr>
          <w:p>
            <w:r/>
            <w:r>
              <w:rPr>
                <w:rFonts w:ascii="游ゴシック" w:hAnsi="游ゴシック" w:eastAsia="游ゴシック"/>
                <w:sz w:val="17"/>
              </w:rPr>
              <w:t>11.4</w:t>
            </w:r>
          </w:p>
        </w:tc>
        <w:tc>
          <w:tcPr>
            <w:tcW w:type="dxa" w:w="1219"/>
          </w:tcPr>
          <w:p>
            <w:r/>
            <w:r>
              <w:rPr>
                <w:rFonts w:ascii="游ゴシック" w:hAnsi="游ゴシック" w:eastAsia="游ゴシック"/>
                <w:sz w:val="17"/>
              </w:rPr>
              <w:t>38.8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東川第3小学校区</w:t>
            </w:r>
          </w:p>
        </w:tc>
        <w:tc>
          <w:tcPr>
            <w:tcW w:type="dxa" w:w="1108"/>
          </w:tcPr>
          <w:p>
            <w:r/>
            <w:r>
              <w:rPr>
                <w:rFonts w:ascii="游ゴシック" w:hAnsi="游ゴシック" w:eastAsia="游ゴシック"/>
                <w:sz w:val="17"/>
              </w:rPr>
              <w:t>102</w:t>
            </w:r>
          </w:p>
        </w:tc>
        <w:tc>
          <w:tcPr>
            <w:tcW w:type="dxa" w:w="1219"/>
          </w:tcPr>
          <w:p>
            <w:r/>
            <w:r>
              <w:rPr>
                <w:rFonts w:ascii="游ゴシック" w:hAnsi="游ゴシック" w:eastAsia="游ゴシック"/>
                <w:sz w:val="17"/>
              </w:rPr>
              <w:t>57.8</w:t>
            </w:r>
          </w:p>
        </w:tc>
        <w:tc>
          <w:tcPr>
            <w:tcW w:type="dxa" w:w="1219"/>
          </w:tcPr>
          <w:p>
            <w:r/>
            <w:r>
              <w:rPr>
                <w:rFonts w:ascii="游ゴシック" w:hAnsi="游ゴシック" w:eastAsia="游ゴシック"/>
                <w:sz w:val="17"/>
              </w:rPr>
              <w:t>15.7</w:t>
            </w:r>
          </w:p>
        </w:tc>
        <w:tc>
          <w:tcPr>
            <w:tcW w:type="dxa" w:w="1219"/>
          </w:tcPr>
          <w:p>
            <w:r/>
            <w:r>
              <w:rPr>
                <w:rFonts w:ascii="游ゴシック" w:hAnsi="游ゴシック" w:eastAsia="游ゴシック"/>
                <w:sz w:val="17"/>
              </w:rPr>
              <w:t>11.0</w:t>
            </w:r>
          </w:p>
        </w:tc>
        <w:tc>
          <w:tcPr>
            <w:tcW w:type="dxa" w:w="1219"/>
          </w:tcPr>
          <w:p>
            <w:r/>
            <w:r>
              <w:rPr>
                <w:rFonts w:ascii="游ゴシック" w:hAnsi="游ゴシック" w:eastAsia="游ゴシック"/>
                <w:sz w:val="17"/>
              </w:rPr>
              <w:t>37.8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東川小学校区</w:t>
            </w:r>
          </w:p>
        </w:tc>
        <w:tc>
          <w:tcPr>
            <w:tcW w:type="dxa" w:w="1108"/>
          </w:tcPr>
          <w:p>
            <w:r/>
            <w:r>
              <w:rPr>
                <w:rFonts w:ascii="游ゴシック" w:hAnsi="游ゴシック" w:eastAsia="游ゴシック"/>
                <w:sz w:val="17"/>
              </w:rPr>
              <w:t>1,040</w:t>
            </w:r>
          </w:p>
        </w:tc>
        <w:tc>
          <w:tcPr>
            <w:tcW w:type="dxa" w:w="1219"/>
          </w:tcPr>
          <w:p>
            <w:r/>
            <w:r>
              <w:rPr>
                <w:rFonts w:ascii="游ゴシック" w:hAnsi="游ゴシック" w:eastAsia="游ゴシック"/>
                <w:sz w:val="17"/>
              </w:rPr>
              <w:t>56.8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8.1</w:t>
            </w:r>
          </w:p>
        </w:tc>
        <w:tc>
          <w:tcPr>
            <w:tcW w:type="dxa" w:w="1219"/>
          </w:tcPr>
          <w:p>
            <w:r/>
            <w:r>
              <w:rPr>
                <w:rFonts w:ascii="游ゴシック" w:hAnsi="游ゴシック" w:eastAsia="游ゴシック"/>
                <w:sz w:val="17"/>
              </w:rPr>
              <w:t>37.6</w:t>
            </w:r>
          </w:p>
        </w:tc>
      </w:tr>
      <w:tr>
        <w:trPr>
          <w:cantSplit/>
        </w:trPr>
        <w:tc>
          <w:tcPr>
            <w:tcW w:type="dxa" w:w="1441"/>
          </w:tcPr>
          <w:p>
            <w:r/>
            <w:r>
              <w:rPr>
                <w:rFonts w:ascii="游ゴシック" w:hAnsi="游ゴシック" w:eastAsia="游ゴシック"/>
                <w:sz w:val="17"/>
              </w:rPr>
              <w:t>美瑛町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1,727</w:t>
            </w:r>
          </w:p>
        </w:tc>
        <w:tc>
          <w:tcPr>
            <w:tcW w:type="dxa" w:w="1219"/>
          </w:tcPr>
          <w:p>
            <w:r/>
            <w:r>
              <w:rPr>
                <w:rFonts w:ascii="游ゴシック" w:hAnsi="游ゴシック" w:eastAsia="游ゴシック"/>
                <w:sz w:val="17"/>
              </w:rPr>
              <w:t>55.1</w:t>
            </w:r>
          </w:p>
        </w:tc>
        <w:tc>
          <w:tcPr>
            <w:tcW w:type="dxa" w:w="1219"/>
          </w:tcPr>
          <w:p>
            <w:r/>
            <w:r>
              <w:rPr>
                <w:rFonts w:ascii="游ゴシック" w:hAnsi="游ゴシック" w:eastAsia="游ゴシック"/>
                <w:sz w:val="17"/>
              </w:rPr>
              <w:t>21.6</w:t>
            </w:r>
          </w:p>
        </w:tc>
        <w:tc>
          <w:tcPr>
            <w:tcW w:type="dxa" w:w="1219"/>
          </w:tcPr>
          <w:p>
            <w:r/>
            <w:r>
              <w:rPr>
                <w:rFonts w:ascii="游ゴシック" w:hAnsi="游ゴシック" w:eastAsia="游ゴシック"/>
                <w:sz w:val="17"/>
              </w:rPr>
              <w:t>9.7</w:t>
            </w:r>
          </w:p>
        </w:tc>
        <w:tc>
          <w:tcPr>
            <w:tcW w:type="dxa" w:w="1219"/>
          </w:tcPr>
          <w:p>
            <w:r/>
            <w:r>
              <w:rPr>
                <w:rFonts w:ascii="游ゴシック" w:hAnsi="游ゴシック" w:eastAsia="游ゴシック"/>
                <w:sz w:val="17"/>
              </w:rPr>
              <w:t>35.4</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美瑛小学校区</w:t>
            </w:r>
          </w:p>
        </w:tc>
        <w:tc>
          <w:tcPr>
            <w:tcW w:type="dxa" w:w="1108"/>
          </w:tcPr>
          <w:p>
            <w:r/>
            <w:r>
              <w:rPr>
                <w:rFonts w:ascii="游ゴシック" w:hAnsi="游ゴシック" w:eastAsia="游ゴシック"/>
                <w:sz w:val="17"/>
              </w:rPr>
              <w:t>939</w:t>
            </w:r>
          </w:p>
        </w:tc>
        <w:tc>
          <w:tcPr>
            <w:tcW w:type="dxa" w:w="1219"/>
          </w:tcPr>
          <w:p>
            <w:r/>
            <w:r>
              <w:rPr>
                <w:rFonts w:ascii="游ゴシック" w:hAnsi="游ゴシック" w:eastAsia="游ゴシック"/>
                <w:sz w:val="17"/>
              </w:rPr>
              <w:t>55.9</w:t>
            </w:r>
          </w:p>
        </w:tc>
        <w:tc>
          <w:tcPr>
            <w:tcW w:type="dxa" w:w="1219"/>
          </w:tcPr>
          <w:p>
            <w:r/>
            <w:r>
              <w:rPr>
                <w:rFonts w:ascii="游ゴシック" w:hAnsi="游ゴシック" w:eastAsia="游ゴシック"/>
                <w:sz w:val="17"/>
              </w:rPr>
              <w:t>21.9</w:t>
            </w:r>
          </w:p>
        </w:tc>
        <w:tc>
          <w:tcPr>
            <w:tcW w:type="dxa" w:w="1219"/>
          </w:tcPr>
          <w:p>
            <w:r/>
            <w:r>
              <w:rPr>
                <w:rFonts w:ascii="游ゴシック" w:hAnsi="游ゴシック" w:eastAsia="游ゴシック"/>
                <w:sz w:val="17"/>
              </w:rPr>
              <w:t>8.7</w:t>
            </w:r>
          </w:p>
        </w:tc>
        <w:tc>
          <w:tcPr>
            <w:tcW w:type="dxa" w:w="1219"/>
          </w:tcPr>
          <w:p>
            <w:r/>
            <w:r>
              <w:rPr>
                <w:rFonts w:ascii="游ゴシック" w:hAnsi="游ゴシック" w:eastAsia="游ゴシック"/>
                <w:sz w:val="17"/>
              </w:rPr>
              <w:t>36.3</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美馬牛小学校区</w:t>
            </w:r>
          </w:p>
        </w:tc>
        <w:tc>
          <w:tcPr>
            <w:tcW w:type="dxa" w:w="1108"/>
          </w:tcPr>
          <w:p>
            <w:r/>
            <w:r>
              <w:rPr>
                <w:rFonts w:ascii="游ゴシック" w:hAnsi="游ゴシック" w:eastAsia="游ゴシック"/>
                <w:sz w:val="17"/>
              </w:rPr>
              <w:t>149</w:t>
            </w:r>
          </w:p>
        </w:tc>
        <w:tc>
          <w:tcPr>
            <w:tcW w:type="dxa" w:w="1219"/>
          </w:tcPr>
          <w:p>
            <w:r/>
            <w:r>
              <w:rPr>
                <w:rFonts w:ascii="游ゴシック" w:hAnsi="游ゴシック" w:eastAsia="游ゴシック"/>
                <w:sz w:val="17"/>
              </w:rPr>
              <w:t>53.7</w:t>
            </w:r>
          </w:p>
        </w:tc>
        <w:tc>
          <w:tcPr>
            <w:tcW w:type="dxa" w:w="1219"/>
          </w:tcPr>
          <w:p>
            <w:r/>
            <w:r>
              <w:rPr>
                <w:rFonts w:ascii="游ゴシック" w:hAnsi="游ゴシック" w:eastAsia="游ゴシック"/>
                <w:sz w:val="17"/>
              </w:rPr>
              <w:t>18.8</w:t>
            </w:r>
          </w:p>
        </w:tc>
        <w:tc>
          <w:tcPr>
            <w:tcW w:type="dxa" w:w="1219"/>
          </w:tcPr>
          <w:p>
            <w:r/>
            <w:r>
              <w:rPr>
                <w:rFonts w:ascii="游ゴシック" w:hAnsi="游ゴシック" w:eastAsia="游ゴシック"/>
                <w:sz w:val="17"/>
              </w:rPr>
              <w:t>6.8</w:t>
            </w:r>
          </w:p>
        </w:tc>
        <w:tc>
          <w:tcPr>
            <w:tcW w:type="dxa" w:w="1219"/>
          </w:tcPr>
          <w:p>
            <w:r/>
            <w:r>
              <w:rPr>
                <w:rFonts w:ascii="游ゴシック" w:hAnsi="游ゴシック" w:eastAsia="游ゴシック"/>
                <w:sz w:val="17"/>
              </w:rPr>
              <w:t>34.3</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美沢小学校区</w:t>
            </w:r>
          </w:p>
        </w:tc>
        <w:tc>
          <w:tcPr>
            <w:tcW w:type="dxa" w:w="1108"/>
          </w:tcPr>
          <w:p>
            <w:r/>
            <w:r>
              <w:rPr>
                <w:rFonts w:ascii="游ゴシック" w:hAnsi="游ゴシック" w:eastAsia="游ゴシック"/>
                <w:sz w:val="17"/>
              </w:rPr>
              <w:t>57</w:t>
            </w:r>
          </w:p>
        </w:tc>
        <w:tc>
          <w:tcPr>
            <w:tcW w:type="dxa" w:w="1219"/>
          </w:tcPr>
          <w:p>
            <w:r/>
            <w:r>
              <w:rPr>
                <w:rFonts w:ascii="游ゴシック" w:hAnsi="游ゴシック" w:eastAsia="游ゴシック"/>
                <w:sz w:val="17"/>
              </w:rPr>
              <w:t>42.1</w:t>
            </w:r>
          </w:p>
        </w:tc>
        <w:tc>
          <w:tcPr>
            <w:tcW w:type="dxa" w:w="1219"/>
          </w:tcPr>
          <w:p>
            <w:r/>
            <w:r>
              <w:rPr>
                <w:rFonts w:ascii="游ゴシック" w:hAnsi="游ゴシック" w:eastAsia="游ゴシック"/>
                <w:sz w:val="17"/>
              </w:rPr>
              <w:t>15.8</w:t>
            </w:r>
          </w:p>
        </w:tc>
        <w:tc>
          <w:tcPr>
            <w:tcW w:type="dxa" w:w="1219"/>
          </w:tcPr>
          <w:p>
            <w:r/>
            <w:r>
              <w:rPr>
                <w:rFonts w:ascii="游ゴシック" w:hAnsi="游ゴシック" w:eastAsia="游ゴシック"/>
                <w:sz w:val="17"/>
              </w:rPr>
              <w:t>10.5</w:t>
            </w:r>
          </w:p>
        </w:tc>
        <w:tc>
          <w:tcPr>
            <w:tcW w:type="dxa" w:w="1219"/>
          </w:tcPr>
          <w:p>
            <w:r/>
            <w:r>
              <w:rPr>
                <w:rFonts w:ascii="游ゴシック" w:hAnsi="游ゴシック" w:eastAsia="游ゴシック"/>
                <w:sz w:val="17"/>
              </w:rPr>
              <w:t>28.8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明徳小学校区</w:t>
            </w:r>
          </w:p>
        </w:tc>
        <w:tc>
          <w:tcPr>
            <w:tcW w:type="dxa" w:w="1108"/>
          </w:tcPr>
          <w:p>
            <w:r/>
            <w:r>
              <w:rPr>
                <w:rFonts w:ascii="游ゴシック" w:hAnsi="游ゴシック" w:eastAsia="游ゴシック"/>
                <w:sz w:val="17"/>
              </w:rPr>
              <w:t>49</w:t>
            </w:r>
          </w:p>
        </w:tc>
        <w:tc>
          <w:tcPr>
            <w:tcW w:type="dxa" w:w="1219"/>
          </w:tcPr>
          <w:p>
            <w:r/>
            <w:r>
              <w:rPr>
                <w:rFonts w:ascii="游ゴシック" w:hAnsi="游ゴシック" w:eastAsia="游ゴシック"/>
                <w:sz w:val="17"/>
              </w:rPr>
              <w:t>59.2</w:t>
            </w:r>
          </w:p>
        </w:tc>
        <w:tc>
          <w:tcPr>
            <w:tcW w:type="dxa" w:w="1219"/>
          </w:tcPr>
          <w:p>
            <w:r/>
            <w:r>
              <w:rPr>
                <w:rFonts w:ascii="游ゴシック" w:hAnsi="游ゴシック" w:eastAsia="游ゴシック"/>
                <w:sz w:val="17"/>
              </w:rPr>
              <w:t>25.0</w:t>
            </w:r>
          </w:p>
        </w:tc>
        <w:tc>
          <w:tcPr>
            <w:tcW w:type="dxa" w:w="1219"/>
          </w:tcPr>
          <w:p>
            <w:r/>
            <w:r>
              <w:rPr>
                <w:rFonts w:ascii="游ゴシック" w:hAnsi="游ゴシック" w:eastAsia="游ゴシック"/>
                <w:sz w:val="17"/>
              </w:rPr>
              <w:t>21.7</w:t>
            </w:r>
          </w:p>
        </w:tc>
        <w:tc>
          <w:tcPr>
            <w:tcW w:type="dxa" w:w="1219"/>
          </w:tcPr>
          <w:p>
            <w:r/>
            <w:r>
              <w:rPr>
                <w:rFonts w:ascii="游ゴシック" w:hAnsi="游ゴシック" w:eastAsia="游ゴシック"/>
                <w:sz w:val="17"/>
              </w:rPr>
              <w:t>32.7</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美瑛東小学校区</w:t>
            </w:r>
          </w:p>
        </w:tc>
        <w:tc>
          <w:tcPr>
            <w:tcW w:type="dxa" w:w="1108"/>
          </w:tcPr>
          <w:p>
            <w:r/>
            <w:r>
              <w:rPr>
                <w:rFonts w:ascii="游ゴシック" w:hAnsi="游ゴシック" w:eastAsia="游ゴシック"/>
                <w:sz w:val="17"/>
              </w:rPr>
              <w:t>533</w:t>
            </w:r>
          </w:p>
        </w:tc>
        <w:tc>
          <w:tcPr>
            <w:tcW w:type="dxa" w:w="1219"/>
          </w:tcPr>
          <w:p>
            <w:r/>
            <w:r>
              <w:rPr>
                <w:rFonts w:ascii="游ゴシック" w:hAnsi="游ゴシック" w:eastAsia="游ゴシック"/>
                <w:sz w:val="17"/>
              </w:rPr>
              <w:t>55.2</w:t>
            </w:r>
          </w:p>
        </w:tc>
        <w:tc>
          <w:tcPr>
            <w:tcW w:type="dxa" w:w="1219"/>
          </w:tcPr>
          <w:p>
            <w:r/>
            <w:r>
              <w:rPr>
                <w:rFonts w:ascii="游ゴシック" w:hAnsi="游ゴシック" w:eastAsia="游ゴシック"/>
                <w:sz w:val="17"/>
              </w:rPr>
              <w:t>22.3</w:t>
            </w:r>
          </w:p>
        </w:tc>
        <w:tc>
          <w:tcPr>
            <w:tcW w:type="dxa" w:w="1219"/>
          </w:tcPr>
          <w:p>
            <w:r/>
            <w:r>
              <w:rPr>
                <w:rFonts w:ascii="游ゴシック" w:hAnsi="游ゴシック" w:eastAsia="游ゴシック"/>
                <w:sz w:val="17"/>
              </w:rPr>
              <w:t>11.1</w:t>
            </w:r>
          </w:p>
        </w:tc>
        <w:tc>
          <w:tcPr>
            <w:tcW w:type="dxa" w:w="1219"/>
          </w:tcPr>
          <w:p>
            <w:r/>
            <w:r>
              <w:rPr>
                <w:rFonts w:ascii="游ゴシック" w:hAnsi="游ゴシック" w:eastAsia="游ゴシック"/>
                <w:sz w:val="17"/>
              </w:rPr>
              <w:t>34.9</w:t>
            </w:r>
          </w:p>
        </w:tc>
      </w:tr>
      <w:tr>
        <w:trPr>
          <w:cantSplit/>
        </w:trPr>
        <w:tc>
          <w:tcPr>
            <w:tcW w:type="dxa" w:w="1441"/>
          </w:tcPr>
          <w:p>
            <w:r/>
            <w:r>
              <w:rPr>
                <w:rFonts w:ascii="游ゴシック" w:hAnsi="游ゴシック" w:eastAsia="游ゴシック"/>
                <w:sz w:val="17"/>
              </w:rPr>
              <w:t>東神楽町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1,586</w:t>
            </w:r>
          </w:p>
        </w:tc>
        <w:tc>
          <w:tcPr>
            <w:tcW w:type="dxa" w:w="1219"/>
          </w:tcPr>
          <w:p>
            <w:r/>
            <w:r>
              <w:rPr>
                <w:rFonts w:ascii="游ゴシック" w:hAnsi="游ゴシック" w:eastAsia="游ゴシック"/>
                <w:sz w:val="17"/>
              </w:rPr>
              <w:t>48.7</w:t>
            </w:r>
          </w:p>
        </w:tc>
        <w:tc>
          <w:tcPr>
            <w:tcW w:type="dxa" w:w="1219"/>
          </w:tcPr>
          <w:p>
            <w:r/>
            <w:r>
              <w:rPr>
                <w:rFonts w:ascii="游ゴシック" w:hAnsi="游ゴシック" w:eastAsia="游ゴシック"/>
                <w:sz w:val="17"/>
              </w:rPr>
              <w:t>17.0</w:t>
            </w:r>
          </w:p>
        </w:tc>
        <w:tc>
          <w:tcPr>
            <w:tcW w:type="dxa" w:w="1219"/>
          </w:tcPr>
          <w:p>
            <w:r/>
            <w:r>
              <w:rPr>
                <w:rFonts w:ascii="游ゴシック" w:hAnsi="游ゴシック" w:eastAsia="游ゴシック"/>
                <w:sz w:val="17"/>
              </w:rPr>
              <w:t>7.2</w:t>
            </w:r>
          </w:p>
        </w:tc>
        <w:tc>
          <w:tcPr>
            <w:tcW w:type="dxa" w:w="1219"/>
          </w:tcPr>
          <w:p>
            <w:r/>
            <w:r>
              <w:rPr>
                <w:rFonts w:ascii="游ゴシック" w:hAnsi="游ゴシック" w:eastAsia="游ゴシック"/>
                <w:sz w:val="17"/>
              </w:rPr>
              <w:t>34.8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東聖小学校区</w:t>
            </w:r>
          </w:p>
        </w:tc>
        <w:tc>
          <w:tcPr>
            <w:tcW w:type="dxa" w:w="1108"/>
          </w:tcPr>
          <w:p>
            <w:r/>
            <w:r>
              <w:rPr>
                <w:rFonts w:ascii="游ゴシック" w:hAnsi="游ゴシック" w:eastAsia="游ゴシック"/>
                <w:sz w:val="17"/>
              </w:rPr>
              <w:t>790</w:t>
            </w:r>
          </w:p>
        </w:tc>
        <w:tc>
          <w:tcPr>
            <w:tcW w:type="dxa" w:w="1219"/>
          </w:tcPr>
          <w:p>
            <w:r/>
            <w:r>
              <w:rPr>
                <w:rFonts w:ascii="游ゴシック" w:hAnsi="游ゴシック" w:eastAsia="游ゴシック"/>
                <w:sz w:val="17"/>
              </w:rPr>
              <w:t>43.5</w:t>
            </w:r>
          </w:p>
        </w:tc>
        <w:tc>
          <w:tcPr>
            <w:tcW w:type="dxa" w:w="1219"/>
          </w:tcPr>
          <w:p>
            <w:r/>
            <w:r>
              <w:rPr>
                <w:rFonts w:ascii="游ゴシック" w:hAnsi="游ゴシック" w:eastAsia="游ゴシック"/>
                <w:sz w:val="17"/>
              </w:rPr>
              <w:t>14.4</w:t>
            </w:r>
          </w:p>
        </w:tc>
        <w:tc>
          <w:tcPr>
            <w:tcW w:type="dxa" w:w="1219"/>
          </w:tcPr>
          <w:p>
            <w:r/>
            <w:r>
              <w:rPr>
                <w:rFonts w:ascii="游ゴシック" w:hAnsi="游ゴシック" w:eastAsia="游ゴシック"/>
                <w:sz w:val="17"/>
              </w:rPr>
              <w:t>5.6</w:t>
            </w:r>
          </w:p>
        </w:tc>
        <w:tc>
          <w:tcPr>
            <w:tcW w:type="dxa" w:w="1219"/>
          </w:tcPr>
          <w:p>
            <w:r/>
            <w:r>
              <w:rPr>
                <w:rFonts w:ascii="游ゴシック" w:hAnsi="游ゴシック" w:eastAsia="游ゴシック"/>
                <w:sz w:val="17"/>
              </w:rPr>
              <w:t>36.2</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東神楽小学校区</w:t>
            </w:r>
          </w:p>
        </w:tc>
        <w:tc>
          <w:tcPr>
            <w:tcW w:type="dxa" w:w="1108"/>
          </w:tcPr>
          <w:p>
            <w:r/>
            <w:r>
              <w:rPr>
                <w:rFonts w:ascii="游ゴシック" w:hAnsi="游ゴシック" w:eastAsia="游ゴシック"/>
                <w:sz w:val="17"/>
              </w:rPr>
              <w:t>775</w:t>
            </w:r>
          </w:p>
        </w:tc>
        <w:tc>
          <w:tcPr>
            <w:tcW w:type="dxa" w:w="1219"/>
          </w:tcPr>
          <w:p>
            <w:r/>
            <w:r>
              <w:rPr>
                <w:rFonts w:ascii="游ゴシック" w:hAnsi="游ゴシック" w:eastAsia="游ゴシック"/>
                <w:sz w:val="17"/>
              </w:rPr>
              <w:t>53.5</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8.9</w:t>
            </w:r>
          </w:p>
        </w:tc>
        <w:tc>
          <w:tcPr>
            <w:tcW w:type="dxa" w:w="1219"/>
          </w:tcPr>
          <w:p>
            <w:r/>
            <w:r>
              <w:rPr>
                <w:rFonts w:ascii="游ゴシック" w:hAnsi="游ゴシック" w:eastAsia="游ゴシック"/>
                <w:sz w:val="17"/>
              </w:rPr>
              <w:t>33.4</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志比内小学校区</w:t>
            </w:r>
          </w:p>
        </w:tc>
        <w:tc>
          <w:tcPr>
            <w:tcW w:type="dxa" w:w="1108"/>
          </w:tcPr>
          <w:p>
            <w:r/>
            <w:r>
              <w:rPr>
                <w:rFonts w:ascii="游ゴシック" w:hAnsi="游ゴシック" w:eastAsia="游ゴシック"/>
                <w:sz w:val="17"/>
              </w:rPr>
              <w:t>21</w:t>
            </w:r>
          </w:p>
        </w:tc>
        <w:tc>
          <w:tcPr>
            <w:tcW w:type="dxa" w:w="1219"/>
          </w:tcPr>
          <w:p>
            <w:r/>
            <w:r>
              <w:rPr>
                <w:rFonts w:ascii="游ゴシック" w:hAnsi="游ゴシック" w:eastAsia="游ゴシック"/>
                <w:sz w:val="17"/>
              </w:rPr>
              <w:t>66.7</w:t>
            </w:r>
          </w:p>
        </w:tc>
        <w:tc>
          <w:tcPr>
            <w:tcW w:type="dxa" w:w="1219"/>
          </w:tcPr>
          <w:p>
            <w:r/>
            <w:r>
              <w:rPr>
                <w:rFonts w:ascii="游ゴシック" w:hAnsi="游ゴシック" w:eastAsia="游ゴシック"/>
                <w:sz w:val="17"/>
              </w:rPr>
              <w:t>38.1</w:t>
            </w:r>
          </w:p>
        </w:tc>
        <w:tc>
          <w:tcPr>
            <w:tcW w:type="dxa" w:w="1219"/>
          </w:tcPr>
          <w:p>
            <w:r/>
            <w:r>
              <w:rPr>
                <w:rFonts w:ascii="游ゴシック" w:hAnsi="游ゴシック" w:eastAsia="游ゴシック"/>
                <w:sz w:val="17"/>
              </w:rPr>
              <w:t>4.8</w:t>
            </w:r>
          </w:p>
        </w:tc>
        <w:tc>
          <w:tcPr>
            <w:tcW w:type="dxa" w:w="1219"/>
          </w:tcPr>
          <w:p>
            <w:r/>
            <w:r>
              <w:rPr>
                <w:rFonts w:ascii="游ゴシック" w:hAnsi="游ゴシック" w:eastAsia="游ゴシック"/>
                <w:sz w:val="17"/>
              </w:rPr>
              <w:t>33.3</w:t>
            </w:r>
          </w:p>
        </w:tc>
      </w:tr>
    </w:tbl>
    <w:p>
      <w:pPr>
        <w:spacing w:after="160" w:line="269" w:lineRule="auto"/>
      </w:pPr>
      <w:r>
        <w:rPr>
          <w:rFonts w:ascii="游ゴシック" w:hAnsi="游ゴシック" w:eastAsia="游ゴシック"/>
          <w:b w:val="0"/>
          <w:sz w:val="17"/>
        </w:rPr>
        <w:t>出典：同上。単位は％（回答者数のみ人）。回答者数が100票に満たない地区（美沢小学校区57票・明徳小学校区49票・志比内小学校区21票）は値の変動が大きく、地区間の比較には用いられません。残る11指標及び年齢調整後の値は分析資料に収め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566"/>
            <w:shd w:val="clear" w:color="auto" w:fill="DCE6F1"/>
          </w:tcPr>
          <w:p>
            <w:pPr>
              <w:spacing w:before="0"/>
              <w:jc w:val="center"/>
            </w:pPr>
            <w:r/>
            <w:r>
              <w:rPr>
                <w:rFonts w:ascii="游ゴシック" w:hAnsi="游ゴシック" w:eastAsia="游ゴシック"/>
                <w:b/>
                <w:sz w:val="17"/>
              </w:rPr>
              <w:t>指標</w:t>
            </w:r>
          </w:p>
        </w:tc>
        <w:tc>
          <w:tcPr>
            <w:tcW w:type="dxa" w:w="1232"/>
            <w:shd w:val="clear" w:color="auto" w:fill="DCE6F1"/>
          </w:tcPr>
          <w:p>
            <w:pPr>
              <w:jc w:val="center"/>
            </w:pPr>
            <w:r/>
            <w:r>
              <w:rPr>
                <w:rFonts w:ascii="游ゴシック" w:hAnsi="游ゴシック" w:eastAsia="游ゴシック"/>
                <w:b/>
                <w:sz w:val="17"/>
              </w:rPr>
              <w:t>令和4年度</w:t>
            </w:r>
          </w:p>
        </w:tc>
        <w:tc>
          <w:tcPr>
            <w:tcW w:type="dxa" w:w="1232"/>
            <w:shd w:val="clear" w:color="auto" w:fill="DCE6F1"/>
          </w:tcPr>
          <w:p>
            <w:pPr>
              <w:jc w:val="center"/>
            </w:pPr>
            <w:r/>
            <w:r>
              <w:rPr>
                <w:rFonts w:ascii="游ゴシック" w:hAnsi="游ゴシック" w:eastAsia="游ゴシック"/>
                <w:b/>
                <w:sz w:val="17"/>
              </w:rPr>
              <w:t>令和7年度</w:t>
            </w:r>
          </w:p>
        </w:tc>
        <w:tc>
          <w:tcPr>
            <w:tcW w:type="dxa" w:w="1437"/>
            <w:shd w:val="clear" w:color="auto" w:fill="DCE6F1"/>
          </w:tcPr>
          <w:p>
            <w:pPr>
              <w:jc w:val="center"/>
            </w:pPr>
            <w:r/>
            <w:r>
              <w:rPr>
                <w:rFonts w:ascii="游ゴシック" w:hAnsi="游ゴシック" w:eastAsia="游ゴシック"/>
                <w:b/>
                <w:sz w:val="17"/>
              </w:rPr>
              <w:t>第9期目標</w:t>
            </w:r>
          </w:p>
        </w:tc>
        <w:tc>
          <w:tcPr>
            <w:tcW w:type="dxa" w:w="3285"/>
            <w:shd w:val="clear" w:color="auto" w:fill="DCE6F1"/>
          </w:tcPr>
          <w:p>
            <w:pPr>
              <w:jc w:val="center"/>
            </w:pPr>
            <w:r/>
            <w:r>
              <w:rPr>
                <w:rFonts w:ascii="游ゴシック" w:hAnsi="游ゴシック" w:eastAsia="游ゴシック"/>
                <w:b/>
                <w:sz w:val="17"/>
              </w:rPr>
              <w:t>評価</w:t>
            </w:r>
          </w:p>
        </w:tc>
      </w:tr>
      <w:tr>
        <w:trPr>
          <w:cantSplit/>
        </w:trP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rPr>
          <w:cantSplit/>
        </w:trP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9.0％（R7）</w:t>
            </w:r>
          </w:p>
        </w:tc>
        <w:tc>
          <w:tcPr>
            <w:tcW w:type="dxa" w:w="3285"/>
          </w:tcPr>
          <w:p>
            <w:r/>
            <w:r>
              <w:rPr>
                <w:rFonts w:ascii="游ゴシック" w:hAnsi="游ゴシック" w:eastAsia="游ゴシック"/>
                <w:sz w:val="17"/>
              </w:rPr>
              <w:t>令和7年度の中間目標9.0％を0.2ポイント下回る（令和8年度の期末目標は10.0％）。ただし統計が国の目標値と異なる（第3章第1節）</w:t>
            </w:r>
          </w:p>
        </w:tc>
      </w:tr>
      <w:tr>
        <w:trPr>
          <w:cantSplit/>
        </w:trP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spacing w:after="160" w:line="269" w:lineRule="auto"/>
        <w:jc w:val="right"/>
      </w:pPr>
      <w:r>
        <w:rPr>
          <w:rFonts w:ascii="游ゴシック" w:hAnsi="游ゴシック" w:eastAsia="游ゴシック"/>
          <w:b w:val="0"/>
          <w:sz w:val="17"/>
        </w:rPr>
        <w:t>資料：令和4年度は第9期介護保険事業計画 第2章第3節（令和4年11月実施・回収4,626票・回収率63.9％）、令和7年度は令和7年度 健康とくらしの調査（回収4,798票・回収率67.4％。分析対象4,729票）</w:t>
      </w:r>
    </w:p>
    <w:p>
      <w:pPr>
        <w:spacing w:after="160" w:line="269" w:lineRule="auto"/>
      </w:pPr>
      <w:r>
        <w:rPr>
          <w:rFonts w:ascii="游ゴシック" w:hAnsi="游ゴシック" w:eastAsia="游ゴシック"/>
          <w:b w:val="0"/>
          <w:sz w:val="17"/>
        </w:rPr>
        <w:t>前回と今回で回収票数・回収率が異なるため、割合で比較し、実数では比較していません。また各指標の分母は設問により異なり（今回は4,128票から4,729票）、前回の指標別の分母は第9期計画の本文からは確認できません。設問文と判定の方法が前回と同一であることを確かめた指標のみ掲げています。</w:t>
        <w:br/>
        <w:t>注）令和4年度調査の指標別の有効回答数を確認できないため、統計的な差の検定は有効回答数を約4,700として行っています。有効回答数が4,000から5,000の範囲にある限り判定は変わりませんが、確定値による検証を要します［要確認］。前回との比較は、第9期計画の本文に掲げられた指標に限っています。</w:t>
      </w:r>
    </w:p>
    <w:p>
      <w:pPr>
        <w:pStyle w:val="Heading2"/>
        <w:spacing w:before="180" w:after="100"/>
      </w:pPr>
      <w:bookmarkStart w:id="116" w:name="_Toc10_016"/>
      <w:r>
        <w:rPr>
          <w:rFonts w:ascii="游ゴシック" w:hAnsi="游ゴシック" w:eastAsia="游ゴシック"/>
          <w:sz w:val="25"/>
        </w:rPr>
        <w:t>第5節 在宅介護の実態</w:t>
      </w:r>
      <w:bookmarkEnd w:id="116"/>
    </w:p>
    <w:p>
      <w:pPr>
        <w:spacing w:after="80" w:line="269" w:lineRule="auto"/>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line="269" w:lineRule="auto"/>
      </w:pPr>
      <w:r>
        <w:rPr>
          <w:rFonts w:ascii="游ゴシック" w:hAnsi="游ゴシック" w:eastAsia="游ゴシック"/>
          <w:b/>
          <w:sz w:val="18"/>
        </w:rPr>
        <w:t>【図9　在宅介護実態調査 結果概要（第9期実施分）】　別冊の図表集「10_在宅介護実態調査」を参照</w:t>
      </w:r>
    </w:p>
    <w:p>
      <w:pPr>
        <w:spacing w:after="120" w:line="269" w:lineRule="auto"/>
      </w:pPr>
      <w:r>
        <w:rPr>
          <w:rFonts w:ascii="游ゴシック" w:hAnsi="游ゴシック" w:eastAsia="游ゴシック"/>
          <w:b/>
          <w:sz w:val="18"/>
        </w:rPr>
        <w:t>【図10　居所変更実態調査 結果概要】　別冊の図表集「11_居所変更実態調査」を参照</w:t>
      </w:r>
    </w:p>
    <w:p>
      <w:pPr>
        <w:spacing w:after="120" w:line="269" w:lineRule="auto"/>
      </w:pPr>
      <w:r>
        <w:rPr>
          <w:rFonts w:ascii="游ゴシック" w:hAnsi="游ゴシック" w:eastAsia="游ゴシック"/>
          <w:b/>
          <w:sz w:val="18"/>
        </w:rPr>
        <w:t>【図11　在宅生活改善調査 結果概要】　別冊の図表集「12_在宅生活改善調査」を参照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【重度者の在宅・居住系割合の上昇】</w:t>
      </w:r>
    </w:p>
    <w:p>
      <w:pPr>
        <w:spacing w:after="80" w:line="269" w:lineRule="auto"/>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814"/>
            <w:shd w:val="clear" w:color="auto" w:fill="DCE6F1"/>
          </w:tcPr>
          <w:p>
            <w:pPr>
              <w:jc w:val="center"/>
            </w:pPr>
            <w:r/>
            <w:r>
              <w:rPr>
                <w:rFonts w:ascii="游ゴシック" w:hAnsi="游ゴシック" w:eastAsia="游ゴシック"/>
                <w:b/>
                <w:sz w:val="17"/>
              </w:rPr>
              <w:t>平成26年度</w:t>
            </w:r>
          </w:p>
        </w:tc>
        <w:tc>
          <w:tcPr>
            <w:tcW w:type="dxa" w:w="1814"/>
            <w:shd w:val="clear" w:color="auto" w:fill="DCE6F1"/>
          </w:tcPr>
          <w:p>
            <w:pPr>
              <w:jc w:val="center"/>
            </w:pPr>
            <w:r/>
            <w:r>
              <w:rPr>
                <w:rFonts w:ascii="游ゴシック" w:hAnsi="游ゴシック" w:eastAsia="游ゴシック"/>
                <w:b/>
                <w:sz w:val="17"/>
              </w:rPr>
              <w:t>令和7年度</w:t>
            </w:r>
          </w:p>
        </w:tc>
        <w:tc>
          <w:tcPr>
            <w:tcW w:type="dxa" w:w="1701"/>
            <w:shd w:val="clear" w:color="auto" w:fill="DCE6F1"/>
          </w:tcPr>
          <w:p>
            <w:pPr>
              <w:jc w:val="center"/>
            </w:pPr>
            <w:r/>
            <w:r>
              <w:rPr>
                <w:rFonts w:ascii="游ゴシック" w:hAnsi="游ゴシック" w:eastAsia="游ゴシック"/>
                <w:b/>
                <w:sz w:val="17"/>
              </w:rPr>
              <w:t>増減</w:t>
            </w:r>
          </w:p>
        </w:tc>
      </w:tr>
      <w:tr>
        <w:trPr>
          <w:cantSplit/>
        </w:trP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rPr>
          <w:cantSplit/>
        </w:trP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rPr>
          <w:cantSplit/>
        </w:trP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line="269" w:lineRule="auto"/>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【在宅生活の継続に必要な生活支援】</w:t>
      </w:r>
    </w:p>
    <w:p>
      <w:pPr>
        <w:spacing w:after="80" w:line="269" w:lineRule="auto"/>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在宅生活の維持の見通しについて回答があった98人のうち、現在の状態では在宅生活の維持が困難とされた者は72人（73.5％）です（99人のうち1人はこの設問が無回答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必要な生活支援</w:t>
            </w:r>
          </w:p>
        </w:tc>
        <w:tc>
          <w:tcPr>
            <w:tcW w:type="dxa" w:w="1361"/>
            <w:shd w:val="clear" w:color="auto" w:fill="DCE6F1"/>
          </w:tcPr>
          <w:p>
            <w:pPr>
              <w:jc w:val="center"/>
            </w:pPr>
            <w:r/>
            <w:r>
              <w:rPr>
                <w:rFonts w:ascii="游ゴシック" w:hAnsi="游ゴシック" w:eastAsia="游ゴシック"/>
                <w:b/>
                <w:sz w:val="17"/>
              </w:rPr>
              <w:t>件数</w:t>
            </w:r>
          </w:p>
        </w:tc>
        <w:tc>
          <w:tcPr>
            <w:tcW w:type="dxa" w:w="2041"/>
            <w:shd w:val="clear" w:color="auto" w:fill="DCE6F1"/>
          </w:tcPr>
          <w:p>
            <w:pPr>
              <w:jc w:val="center"/>
            </w:pPr>
            <w:r/>
            <w:r>
              <w:rPr>
                <w:rFonts w:ascii="游ゴシック" w:hAnsi="游ゴシック" w:eastAsia="游ゴシック"/>
                <w:b/>
                <w:sz w:val="17"/>
              </w:rPr>
              <w:t>回答者99人に対する割合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br/>
        <w:t>注）回答者の要介護度の分布は、年報による在宅の認定者の分布と比べて要介護3以上が多く要支援1が少ない側に偏っており、この偏りは回答者が98人であることによる偶然だけでは説明しにくい大きさです。本節の値は「在宅で困難を抱える方の状況」として読むものであり、在宅の認定者全体の割合として用いることはできません。本調査を基礎とする代表KPI（H06・H12）の母集団も同じであり、この範囲で用います（第4章第3節）。</w:t>
        <w:br/>
        <w:t>注）第10期の実施済み3調査（在宅生活改善調査、居所変更実態調査及び介護人材実態調査）について、母数、回答の偏り、同一法人による重複及び未回答施設の取扱いは、本節並びに第3節及び第6節の注に記したとおりです。確定していないものは［要確認］として残しており、確定した後に本文の数値を改め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line="269" w:lineRule="auto"/>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bookmarkStart w:id="117" w:name="_Toc10_017"/>
      <w:r>
        <w:rPr>
          <w:rFonts w:ascii="游ゴシック" w:hAnsi="游ゴシック" w:eastAsia="游ゴシック"/>
          <w:sz w:val="25"/>
        </w:rPr>
        <w:t>第6節 介護事業所の現状</w:t>
      </w:r>
      <w:bookmarkEnd w:id="117"/>
    </w:p>
    <w:p>
      <w:pPr>
        <w:spacing w:after="80" w:line="269" w:lineRule="auto"/>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line="269" w:lineRule="auto"/>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300"/>
            <w:shd w:val="clear" w:color="auto" w:fill="DCE6F1"/>
          </w:tcPr>
          <w:p>
            <w:pPr>
              <w:spacing w:before="0"/>
              <w:jc w:val="center"/>
            </w:pPr>
            <w:r/>
            <w:r>
              <w:rPr>
                <w:rFonts w:ascii="游ゴシック" w:hAnsi="游ゴシック" w:eastAsia="游ゴシック"/>
                <w:b/>
                <w:sz w:val="17"/>
              </w:rPr>
              <w:t>把握領域</w:t>
            </w:r>
          </w:p>
        </w:tc>
        <w:tc>
          <w:tcPr>
            <w:tcW w:type="dxa" w:w="2817"/>
            <w:shd w:val="clear" w:color="auto" w:fill="DCE6F1"/>
          </w:tcPr>
          <w:p>
            <w:pPr>
              <w:jc w:val="center"/>
            </w:pPr>
            <w:r/>
            <w:r>
              <w:rPr>
                <w:rFonts w:ascii="游ゴシック" w:hAnsi="游ゴシック" w:eastAsia="游ゴシック"/>
                <w:b/>
                <w:sz w:val="17"/>
              </w:rPr>
              <w:t>既存の把握</w:t>
            </w:r>
          </w:p>
        </w:tc>
        <w:tc>
          <w:tcPr>
            <w:tcW w:type="dxa" w:w="3467"/>
            <w:shd w:val="clear" w:color="auto" w:fill="DCE6F1"/>
          </w:tcPr>
          <w:p>
            <w:pPr>
              <w:jc w:val="center"/>
            </w:pPr>
            <w:r/>
            <w:r>
              <w:rPr>
                <w:rFonts w:ascii="游ゴシック" w:hAnsi="游ゴシック" w:eastAsia="游ゴシック"/>
                <w:b/>
                <w:sz w:val="17"/>
              </w:rPr>
              <w:t>第10期の把握手段</w:t>
            </w:r>
          </w:p>
        </w:tc>
        <w:tc>
          <w:tcPr>
            <w:tcW w:type="dxa" w:w="2167"/>
            <w:shd w:val="clear" w:color="auto" w:fill="DCE6F1"/>
          </w:tcPr>
          <w:p>
            <w:pPr>
              <w:jc w:val="center"/>
            </w:pPr>
            <w:r/>
            <w:r>
              <w:rPr>
                <w:rFonts w:ascii="游ゴシック" w:hAnsi="游ゴシック" w:eastAsia="游ゴシック"/>
                <w:b/>
                <w:sz w:val="17"/>
              </w:rPr>
              <w:t>計画への接続</w:t>
            </w:r>
          </w:p>
        </w:tc>
      </w:tr>
      <w:tr>
        <w:trPr>
          <w:cantSplit/>
        </w:trP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見える化M2-a〜m（職種別従事者数・認定者1万対・H29～R6）／採用率と離職率の差（介護人材実態調査の採用者数・退職者数と、各年9月30日現在の在籍者数による）</w:t>
            </w:r>
          </w:p>
        </w:tc>
        <w:tc>
          <w:tcPr>
            <w:tcW w:type="dxa" w:w="2167"/>
          </w:tcPr>
          <w:p>
            <w:r/>
            <w:r>
              <w:rPr>
                <w:rFonts w:ascii="游ゴシック" w:hAnsi="游ゴシック" w:eastAsia="游ゴシック"/>
                <w:sz w:val="17"/>
              </w:rPr>
              <w:t>H13・H14。北海道の評価指標⑥と接続</w:t>
            </w:r>
          </w:p>
        </w:tc>
      </w:tr>
      <w:tr>
        <w:trPr>
          <w:cantSplit/>
        </w:trP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rPr>
          <w:cantSplit/>
        </w:trP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rPr>
          <w:cantSplit/>
        </w:trP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【第10期分の介護人材実態調査の結果】</w:t>
      </w:r>
    </w:p>
    <w:p>
      <w:pPr>
        <w:spacing w:after="80" w:line="269" w:lineRule="auto"/>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line="269" w:lineRule="auto"/>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重複の判別は、職員個票（氏名等を含むもの）の突合によらず、当該事業所への照会により行います。個人情報は保管しない方針によるもの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402"/>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値</w:t>
            </w:r>
          </w:p>
        </w:tc>
        <w:tc>
          <w:tcPr>
            <w:tcW w:type="dxa" w:w="4309"/>
            <w:shd w:val="clear" w:color="auto" w:fill="DCE6F1"/>
          </w:tcPr>
          <w:p>
            <w:pPr>
              <w:jc w:val="center"/>
            </w:pPr>
            <w:r/>
            <w:r>
              <w:rPr>
                <w:rFonts w:ascii="游ゴシック" w:hAnsi="游ゴシック" w:eastAsia="游ゴシック"/>
                <w:b/>
                <w:sz w:val="17"/>
              </w:rPr>
              <w:t>備考</w:t>
            </w:r>
          </w:p>
        </w:tc>
      </w:tr>
      <w:tr>
        <w:trPr>
          <w:cantSplit/>
        </w:trP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rPr>
          <w:cantSplit/>
        </w:trP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rPr>
          <w:cantSplit/>
        </w:trP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rPr>
          <w:cantSplit/>
        </w:trP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rPr>
          <w:cantSplit/>
        </w:trP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rPr>
          <w:cantSplit/>
        </w:trP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回答の単純合計は90人。下記の重複13人を記入した事業所の採用7人を除いた</w:t>
            </w:r>
          </w:p>
        </w:tc>
      </w:tr>
      <w:tr>
        <w:trPr>
          <w:cantSplit/>
        </w:trP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同じく単純合計67人から離職2人を除いた</w:t>
            </w:r>
          </w:p>
        </w:tc>
      </w:tr>
    </w:tbl>
    <w:p>
      <w:pPr>
        <w:spacing w:after="160" w:line="269" w:lineRule="auto"/>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訪問介護については、区域内13事業所すべての訪問介護員等の人数を把握しています。実人数は181人、利用者数は346人です。こ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前年度の採用者数は23人、退職者数は28人で、退職が5人上回ります。</w:t>
      </w:r>
    </w:p>
    <w:p>
      <w:pPr>
        <w:spacing w:after="80" w:line="269" w:lineRule="auto"/>
      </w:pPr>
      <w:r>
        <w:rPr>
          <w:rFonts w:ascii="游ゴシック" w:hAnsi="游ゴシック" w:eastAsia="游ゴシック"/>
          <w:b w:val="0"/>
          <w:sz w:val="21"/>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line="269" w:lineRule="auto"/>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line="269" w:lineRule="auto"/>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line="269" w:lineRule="auto"/>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bookmarkStart w:id="119" w:name="_Toc10_019"/>
      <w:r>
        <w:rPr>
          <w:rFonts w:ascii="游ゴシック" w:hAnsi="游ゴシック" w:eastAsia="游ゴシック"/>
          <w:sz w:val="25"/>
        </w:rPr>
        <w:t>第8節 中長期推計からみた需要と財政</w:t>
      </w:r>
      <w:bookmarkEnd w:id="119"/>
    </w:p>
    <w:p>
      <w:pPr>
        <w:spacing w:after="80" w:line="269" w:lineRule="auto"/>
      </w:pPr>
      <w:r>
        <w:rPr>
          <w:rFonts w:ascii="游ゴシック" w:hAnsi="游ゴシック" w:eastAsia="游ゴシック"/>
          <w:b w:val="0"/>
          <w:sz w:val="20"/>
        </w:rPr>
        <w:t>社会福祉法等の一部を改正する法律（令和8年法律第51号）により、介護給付等対象サービスの種類ごとの量及び地域支援事業の量に関する中長期的な推計と、これらの提供体制の確保及び実施に関し中長期的な観点から取り組むべき施策に関する事項を介護保険事業計画に定めることが必須とされました（第117条第2項第3号・第4号。第1章第9節2）。本節はその全体を示すものであり、サービスの種類ごとの量は第6章第2節、給付費は第6章第3節、地域支援事業の量は第6章第3節2、取り組むべき施策は第6章第5節及び第6章第4節1によります。</w:t>
      </w:r>
    </w:p>
    <w:p>
      <w:pPr>
        <w:spacing w:after="80" w:line="269" w:lineRule="auto"/>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after="20" w:line="269" w:lineRule="auto"/>
        <w:jc w:val="right"/>
      </w:pPr>
      <w:r>
        <w:rPr>
          <w:rFonts w:ascii="游ゴシック" w:hAnsi="游ゴシック" w:eastAsia="游ゴシック"/>
          <w:b w:val="0"/>
          <w:sz w:val="17"/>
        </w:rPr>
        <w:t>単位：人、百万円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534"/>
            <w:shd w:val="clear" w:color="auto" w:fill="DCE6F1"/>
          </w:tcPr>
          <w:p>
            <w:pPr>
              <w:spacing w:before="0"/>
              <w:jc w:val="center"/>
            </w:pPr>
            <w:r/>
            <w:r>
              <w:rPr>
                <w:rFonts w:ascii="游ゴシック" w:hAnsi="游ゴシック" w:eastAsia="游ゴシック"/>
                <w:b/>
                <w:sz w:val="17"/>
              </w:rPr>
              <w:t>年度</w:t>
            </w:r>
          </w:p>
        </w:tc>
        <w:tc>
          <w:tcPr>
            <w:tcW w:type="dxa" w:w="1643"/>
            <w:shd w:val="clear" w:color="auto" w:fill="DCE6F1"/>
          </w:tcPr>
          <w:p>
            <w:pPr>
              <w:jc w:val="center"/>
            </w:pPr>
            <w:r/>
            <w:r>
              <w:rPr>
                <w:rFonts w:ascii="游ゴシック" w:hAnsi="游ゴシック" w:eastAsia="游ゴシック"/>
                <w:b/>
                <w:sz w:val="17"/>
              </w:rPr>
              <w:t>総人口</w:t>
            </w:r>
          </w:p>
        </w:tc>
        <w:tc>
          <w:tcPr>
            <w:tcW w:type="dxa" w:w="1643"/>
            <w:shd w:val="clear" w:color="auto" w:fill="DCE6F1"/>
          </w:tcPr>
          <w:p>
            <w:pPr>
              <w:jc w:val="center"/>
            </w:pPr>
            <w:r/>
            <w:r>
              <w:rPr>
                <w:rFonts w:ascii="游ゴシック" w:hAnsi="游ゴシック" w:eastAsia="游ゴシック"/>
                <w:b/>
                <w:sz w:val="17"/>
              </w:rPr>
              <w:t>65歳以上</w:t>
            </w:r>
          </w:p>
        </w:tc>
        <w:tc>
          <w:tcPr>
            <w:tcW w:type="dxa" w:w="1534"/>
            <w:shd w:val="clear" w:color="auto" w:fill="DCE6F1"/>
          </w:tcPr>
          <w:p>
            <w:pPr>
              <w:jc w:val="center"/>
            </w:pPr>
            <w:r/>
            <w:r>
              <w:rPr>
                <w:rFonts w:ascii="游ゴシック" w:hAnsi="游ゴシック" w:eastAsia="游ゴシック"/>
                <w:b/>
                <w:sz w:val="17"/>
              </w:rPr>
              <w:t>85歳以上</w:t>
            </w:r>
          </w:p>
        </w:tc>
        <w:tc>
          <w:tcPr>
            <w:tcW w:type="dxa" w:w="1534"/>
            <w:shd w:val="clear" w:color="auto" w:fill="DCE6F1"/>
          </w:tcPr>
          <w:p>
            <w:pPr>
              <w:jc w:val="center"/>
            </w:pPr>
            <w:r/>
            <w:r>
              <w:rPr>
                <w:rFonts w:ascii="游ゴシック" w:hAnsi="游ゴシック" w:eastAsia="游ゴシック"/>
                <w:b/>
                <w:sz w:val="17"/>
              </w:rPr>
              <w:t>認定者</w:t>
            </w:r>
          </w:p>
        </w:tc>
        <w:tc>
          <w:tcPr>
            <w:tcW w:type="dxa" w:w="1863"/>
            <w:shd w:val="clear" w:color="auto" w:fill="DCE6F1"/>
          </w:tcPr>
          <w:p>
            <w:pPr>
              <w:jc w:val="center"/>
            </w:pPr>
            <w:r/>
            <w:r>
              <w:rPr>
                <w:rFonts w:ascii="游ゴシック" w:hAnsi="游ゴシック" w:eastAsia="游ゴシック"/>
                <w:b/>
                <w:sz w:val="17"/>
              </w:rPr>
              <w:t>総給付費</w:t>
            </w:r>
          </w:p>
        </w:tc>
      </w:tr>
      <w:tr>
        <w:trPr>
          <w:cantSplit/>
        </w:trP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2,979</w:t>
            </w:r>
          </w:p>
        </w:tc>
      </w:tr>
      <w:tr>
        <w:trPr>
          <w:cantSplit/>
        </w:trP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3,045</w:t>
            </w:r>
          </w:p>
        </w:tc>
      </w:tr>
      <w:tr>
        <w:trPr>
          <w:cantSplit/>
        </w:trP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3,318</w:t>
            </w:r>
          </w:p>
        </w:tc>
      </w:tr>
      <w:tr>
        <w:trPr>
          <w:cantSplit/>
        </w:trP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3,418</w:t>
            </w:r>
          </w:p>
        </w:tc>
      </w:tr>
      <w:tr>
        <w:trPr>
          <w:cantSplit/>
        </w:trP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3,246</w:t>
            </w:r>
          </w:p>
        </w:tc>
      </w:tr>
    </w:tbl>
    <w:p>
      <w:pPr>
        <w:spacing w:after="160" w:line="269" w:lineRule="auto"/>
        <w:jc w:val="right"/>
      </w:pPr>
      <w:r>
        <w:rPr>
          <w:rFonts w:ascii="游ゴシック" w:hAnsi="游ゴシック" w:eastAsia="游ゴシック"/>
          <w:b w:val="0"/>
          <w:sz w:val="17"/>
        </w:rPr>
        <w:t>資料：第6章第1節の推計（認定率はトレンド継続の置き方）及び第6章第3節の算定。令和12年度以降は、令和11年度を起点に国立社会保障・人口問題研究所推計の伸び率で接続した参考値</w:t>
      </w:r>
    </w:p>
    <w:p>
      <w:pPr>
        <w:spacing w:after="80" w:line="269" w:lineRule="auto"/>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line="269" w:lineRule="auto"/>
      </w:pPr>
      <w:r>
        <w:rPr>
          <w:rFonts w:ascii="游ゴシック" w:hAnsi="游ゴシック" w:eastAsia="游ゴシック"/>
          <w:b w:val="0"/>
          <w:sz w:val="20"/>
        </w:rPr>
        <w:t>総給付費は、要介護度別の認定者数に要介護度別の利用率及び1人1月当たりの給付費（令和7年度で固定）を乗じて算定しています。令和22年度は令和7年度の2,915百万円に対し1.17倍となります。単価を令和7年度で固定しているため、介護報酬の改定及び単価の趨勢を織り込むと更に増えます（第6章第6節2）。</w:t>
      </w:r>
    </w:p>
    <w:p>
      <w:pPr>
        <w:spacing w:after="80" w:line="269" w:lineRule="auto"/>
      </w:pPr>
      <w:r>
        <w:rPr>
          <w:rFonts w:ascii="游ゴシック" w:hAnsi="游ゴシック" w:eastAsia="游ゴシック"/>
          <w:b w:val="0"/>
          <w:sz w:val="20"/>
        </w:rPr>
        <w:t>地域支援事業の量の中長期的な推計は、令和6年度の実績を据え置き、サービス事業は認定者数、一般介護予防事業は第1号被保険者数の伸びにより延ばしています（第6章第3節2）。認定者数が令和22年度にかけて増えるためサービス事業の量も増え、第1号被保険者数はおおむね横ばいであるため一般介護予防事業の量は横ばいとなります。事業費の中長期的な推計は、令和7年度の事業ごとの実績及び令和9年度に創設される事業の費用の額が定まった時点で算定します［要協議］。</w:t>
      </w:r>
    </w:p>
    <w:p>
      <w:r>
        <w:br w:type="page"/>
      </w:r>
    </w:p>
    <w:p>
      <w:pPr>
        <w:pStyle w:val="Heading1"/>
        <w:spacing w:before="240" w:after="100"/>
      </w:pPr>
      <w:bookmarkStart w:id="120" w:name="_Toc10_020"/>
      <w:r>
        <w:rPr>
          <w:rFonts w:ascii="游ゴシック" w:hAnsi="游ゴシック" w:eastAsia="游ゴシック"/>
          <w:sz w:val="30"/>
        </w:rPr>
        <w:t>第3章　第9期計画の実施状況と評価</w:t>
      </w:r>
      <w:bookmarkEnd w:id="120"/>
    </w:p>
    <w:p>
      <w:pPr>
        <w:spacing w:after="80" w:line="269" w:lineRule="auto"/>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line="269" w:lineRule="auto"/>
      </w:pPr>
      <w:r>
        <w:rPr>
          <w:rFonts w:ascii="游ゴシック" w:hAnsi="游ゴシック" w:eastAsia="游ゴシック"/>
          <w:b w:val="0"/>
          <w:sz w:val="21"/>
        </w:rPr>
      </w:r>
    </w:p>
    <w:p>
      <w:pPr>
        <w:pStyle w:val="Heading2"/>
        <w:spacing w:before="180" w:after="100"/>
      </w:pPr>
      <w:bookmarkStart w:id="121" w:name="_Toc10_021"/>
      <w:r>
        <w:rPr>
          <w:rFonts w:ascii="游ゴシック" w:hAnsi="游ゴシック" w:eastAsia="游ゴシック"/>
          <w:sz w:val="25"/>
        </w:rPr>
        <w:t>第1節 第9期計画の基本目標</w:t>
      </w:r>
      <w:bookmarkEnd w:id="121"/>
    </w:p>
    <w:p>
      <w:pPr>
        <w:spacing w:after="80" w:line="269" w:lineRule="auto"/>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line="269" w:lineRule="auto"/>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line="269" w:lineRule="auto"/>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93"/>
            <w:shd w:val="clear" w:color="auto" w:fill="DCE6F1"/>
          </w:tcPr>
          <w:p>
            <w:pPr>
              <w:spacing w:before="0"/>
              <w:jc w:val="center"/>
            </w:pPr>
            <w:r/>
            <w:r>
              <w:rPr>
                <w:rFonts w:ascii="游ゴシック" w:hAnsi="游ゴシック" w:eastAsia="游ゴシック"/>
                <w:b/>
                <w:sz w:val="17"/>
              </w:rPr>
              <w:t>指標</w:t>
            </w:r>
          </w:p>
        </w:tc>
        <w:tc>
          <w:tcPr>
            <w:tcW w:type="dxa" w:w="966"/>
            <w:shd w:val="clear" w:color="auto" w:fill="DCE6F1"/>
          </w:tcPr>
          <w:p>
            <w:pPr>
              <w:jc w:val="center"/>
            </w:pPr>
            <w:r/>
            <w:r>
              <w:rPr>
                <w:rFonts w:ascii="游ゴシック" w:hAnsi="游ゴシック" w:eastAsia="游ゴシック"/>
                <w:b/>
                <w:sz w:val="17"/>
              </w:rPr>
              <w:t>基準値</w:t>
            </w:r>
          </w:p>
        </w:tc>
        <w:tc>
          <w:tcPr>
            <w:tcW w:type="dxa" w:w="1318"/>
            <w:shd w:val="clear" w:color="auto" w:fill="DCE6F1"/>
          </w:tcPr>
          <w:p>
            <w:pPr>
              <w:jc w:val="center"/>
            </w:pPr>
            <w:r/>
            <w:r>
              <w:rPr>
                <w:rFonts w:ascii="游ゴシック" w:hAnsi="游ゴシック" w:eastAsia="游ゴシック"/>
                <w:b/>
                <w:sz w:val="17"/>
              </w:rPr>
              <w:t>第9期目標</w:t>
            </w:r>
          </w:p>
        </w:tc>
        <w:tc>
          <w:tcPr>
            <w:tcW w:type="dxa" w:w="1142"/>
            <w:shd w:val="clear" w:color="auto" w:fill="DCE6F1"/>
          </w:tcPr>
          <w:p>
            <w:pPr>
              <w:jc w:val="center"/>
            </w:pPr>
            <w:r/>
            <w:r>
              <w:rPr>
                <w:rFonts w:ascii="游ゴシック" w:hAnsi="游ゴシック" w:eastAsia="游ゴシック"/>
                <w:b/>
                <w:sz w:val="17"/>
              </w:rPr>
              <w:t>実績（R8年3月末）</w:t>
            </w:r>
          </w:p>
        </w:tc>
        <w:tc>
          <w:tcPr>
            <w:tcW w:type="dxa" w:w="1054"/>
            <w:shd w:val="clear" w:color="auto" w:fill="DCE6F1"/>
          </w:tcPr>
          <w:p>
            <w:pPr>
              <w:jc w:val="center"/>
            </w:pPr>
            <w:r/>
            <w:r>
              <w:rPr>
                <w:rFonts w:ascii="游ゴシック" w:hAnsi="游ゴシック" w:eastAsia="游ゴシック"/>
                <w:b/>
                <w:sz w:val="17"/>
              </w:rPr>
              <w:t>①目標比</w:t>
            </w:r>
          </w:p>
        </w:tc>
        <w:tc>
          <w:tcPr>
            <w:tcW w:type="dxa" w:w="1581"/>
            <w:shd w:val="clear" w:color="auto" w:fill="DCE6F1"/>
          </w:tcPr>
          <w:p>
            <w:pPr>
              <w:jc w:val="center"/>
            </w:pPr>
            <w:r/>
            <w:r>
              <w:rPr>
                <w:rFonts w:ascii="游ゴシック" w:hAnsi="游ゴシック" w:eastAsia="游ゴシック"/>
                <w:b/>
                <w:sz w:val="17"/>
              </w:rPr>
              <w:t>②推計比</w:t>
            </w:r>
          </w:p>
        </w:tc>
        <w:tc>
          <w:tcPr>
            <w:tcW w:type="dxa" w:w="2196"/>
            <w:shd w:val="clear" w:color="auto" w:fill="DCE6F1"/>
          </w:tcPr>
          <w:p>
            <w:pPr>
              <w:jc w:val="center"/>
            </w:pPr>
            <w:r/>
            <w:r>
              <w:rPr>
                <w:rFonts w:ascii="游ゴシック" w:hAnsi="游ゴシック" w:eastAsia="游ゴシック"/>
                <w:b/>
                <w:sz w:val="17"/>
              </w:rPr>
              <w:t>③全国・北海道比</w:t>
            </w:r>
          </w:p>
        </w:tc>
      </w:tr>
      <w:tr>
        <w:trPr>
          <w:cantSplit/>
        </w:trP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rPr>
          <w:cantSplit/>
        </w:trP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rPr>
          <w:cantSplit/>
        </w:trP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rPr>
          <w:cantSplit/>
        </w:trP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spacing w:after="160" w:line="269" w:lineRule="auto"/>
      </w:pPr>
      <w:r>
        <w:rPr>
          <w:rFonts w:ascii="游ゴシック" w:hAnsi="游ゴシック" w:eastAsia="游ゴシック"/>
          <w:b w:val="0"/>
          <w:sz w:val="17"/>
        </w:rPr>
        <w:t>注）②重度要介護認定率の実績6.3％は、地域包括ケア「見える化」システムの系列（B4-a）による値です。年報（令和7年度）から算定すると6.38％となり、0.08ポイントの差があります。本計画は全国・北海道との比較に用いる系列とそろえるため見える化システムの値を用いています。いずれによっても第9期目標6.4％を下回り、判定は変わりません［要確認］。</w:t>
      </w:r>
    </w:p>
    <w:p>
      <w:pPr>
        <w:pStyle w:val="Heading3"/>
        <w:spacing w:before="180" w:after="100"/>
      </w:pPr>
      <w:r>
        <w:rPr>
          <w:rFonts w:ascii="游ゴシック" w:hAnsi="游ゴシック" w:eastAsia="游ゴシック"/>
          <w:sz w:val="22"/>
        </w:rPr>
        <w:t>2 代表KPI④「通いの場参加率」に関する統計の不一致</w:t>
      </w:r>
    </w:p>
    <w:p>
      <w:pPr>
        <w:spacing w:after="80" w:line="269" w:lineRule="auto"/>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50"/>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介護予防・日常生活支援総合事業の実施状況に関する調査</w:t>
            </w:r>
          </w:p>
        </w:tc>
        <w:tc>
          <w:tcPr>
            <w:tcW w:type="dxa" w:w="3792"/>
            <w:shd w:val="clear" w:color="auto" w:fill="DCE6F1"/>
          </w:tcPr>
          <w:p>
            <w:pPr>
              <w:jc w:val="center"/>
            </w:pPr>
            <w:r/>
            <w:r>
              <w:rPr>
                <w:rFonts w:ascii="游ゴシック" w:hAnsi="游ゴシック" w:eastAsia="游ゴシック"/>
                <w:b/>
                <w:sz w:val="17"/>
              </w:rPr>
              <w:t>日常生活圏域ニーズ調査</w:t>
            </w:r>
          </w:p>
        </w:tc>
      </w:tr>
      <w:tr>
        <w:trPr>
          <w:cantSplit/>
        </w:trP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rPr>
          <w:cantSplit/>
        </w:trP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rPr>
          <w:cantSplit/>
        </w:trP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rPr>
          <w:cantSplit/>
        </w:trP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rPr>
          <w:cantSplit/>
        </w:trP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line="269" w:lineRule="auto"/>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line="269" w:lineRule="auto"/>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737"/>
            <w:shd w:val="clear" w:color="auto" w:fill="DCE6F1"/>
          </w:tcPr>
          <w:p>
            <w:pPr>
              <w:jc w:val="center"/>
            </w:pPr>
            <w:r/>
            <w:r>
              <w:rPr>
                <w:rFonts w:ascii="游ゴシック" w:hAnsi="游ゴシック" w:eastAsia="游ゴシック"/>
                <w:b/>
                <w:sz w:val="17"/>
              </w:rPr>
              <w:t>H29</w:t>
            </w:r>
          </w:p>
        </w:tc>
        <w:tc>
          <w:tcPr>
            <w:tcW w:type="dxa" w:w="737"/>
            <w:shd w:val="clear" w:color="auto" w:fill="DCE6F1"/>
          </w:tcPr>
          <w:p>
            <w:pPr>
              <w:jc w:val="center"/>
            </w:pPr>
            <w:r/>
            <w:r>
              <w:rPr>
                <w:rFonts w:ascii="游ゴシック" w:hAnsi="游ゴシック" w:eastAsia="游ゴシック"/>
                <w:b/>
                <w:sz w:val="17"/>
              </w:rPr>
              <w:t>H30</w:t>
            </w:r>
          </w:p>
        </w:tc>
        <w:tc>
          <w:tcPr>
            <w:tcW w:type="dxa" w:w="737"/>
            <w:shd w:val="clear" w:color="auto" w:fill="DCE6F1"/>
          </w:tcPr>
          <w:p>
            <w:pPr>
              <w:jc w:val="center"/>
            </w:pPr>
            <w:r/>
            <w:r>
              <w:rPr>
                <w:rFonts w:ascii="游ゴシック" w:hAnsi="游ゴシック" w:eastAsia="游ゴシック"/>
                <w:b/>
                <w:sz w:val="17"/>
              </w:rPr>
              <w:t>R元</w:t>
            </w:r>
          </w:p>
        </w:tc>
        <w:tc>
          <w:tcPr>
            <w:tcW w:type="dxa" w:w="737"/>
            <w:shd w:val="clear" w:color="auto" w:fill="DCE6F1"/>
          </w:tcPr>
          <w:p>
            <w:pPr>
              <w:jc w:val="center"/>
            </w:pPr>
            <w:r/>
            <w:r>
              <w:rPr>
                <w:rFonts w:ascii="游ゴシック" w:hAnsi="游ゴシック" w:eastAsia="游ゴシック"/>
                <w:b/>
                <w:sz w:val="17"/>
              </w:rPr>
              <w:t>R2</w:t>
            </w:r>
          </w:p>
        </w:tc>
        <w:tc>
          <w:tcPr>
            <w:tcW w:type="dxa" w:w="850"/>
            <w:shd w:val="clear" w:color="auto" w:fill="DCE6F1"/>
          </w:tcPr>
          <w:p>
            <w:pPr>
              <w:jc w:val="center"/>
            </w:pPr>
            <w:r/>
            <w:r>
              <w:rPr>
                <w:rFonts w:ascii="游ゴシック" w:hAnsi="游ゴシック" w:eastAsia="游ゴシック"/>
                <w:b/>
                <w:sz w:val="17"/>
              </w:rPr>
              <w:t>R6</w:t>
            </w:r>
          </w:p>
        </w:tc>
        <w:tc>
          <w:tcPr>
            <w:tcW w:type="dxa" w:w="964"/>
            <w:shd w:val="clear" w:color="auto" w:fill="DCE6F1"/>
          </w:tcPr>
          <w:p>
            <w:pPr>
              <w:jc w:val="center"/>
            </w:pPr>
            <w:r/>
            <w:r>
              <w:rPr>
                <w:rFonts w:ascii="游ゴシック" w:hAnsi="游ゴシック" w:eastAsia="游ゴシック"/>
                <w:b/>
                <w:sz w:val="17"/>
              </w:rPr>
              <w:t>北海道R2</w:t>
            </w:r>
          </w:p>
        </w:tc>
        <w:tc>
          <w:tcPr>
            <w:tcW w:type="dxa" w:w="964"/>
            <w:shd w:val="clear" w:color="auto" w:fill="DCE6F1"/>
          </w:tcPr>
          <w:p>
            <w:pPr>
              <w:jc w:val="center"/>
            </w:pPr>
            <w:r/>
            <w:r>
              <w:rPr>
                <w:rFonts w:ascii="游ゴシック" w:hAnsi="游ゴシック" w:eastAsia="游ゴシック"/>
                <w:b/>
                <w:sz w:val="17"/>
              </w:rPr>
              <w:t>全国R2</w:t>
            </w:r>
          </w:p>
        </w:tc>
        <w:tc>
          <w:tcPr>
            <w:tcW w:type="dxa" w:w="2324"/>
            <w:shd w:val="clear" w:color="auto" w:fill="DCE6F1"/>
          </w:tcPr>
          <w:p>
            <w:pPr>
              <w:jc w:val="center"/>
            </w:pPr>
            <w:r/>
            <w:r>
              <w:rPr>
                <w:rFonts w:ascii="游ゴシック" w:hAnsi="游ゴシック" w:eastAsia="游ゴシック"/>
                <w:b/>
                <w:sz w:val="17"/>
              </w:rPr>
              <w:t>評価</w:t>
            </w:r>
          </w:p>
        </w:tc>
      </w:tr>
      <w:tr>
        <w:trPr>
          <w:cantSplit/>
        </w:trP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rPr>
          <w:cantSplit/>
        </w:trP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rPr>
          <w:cantSplit/>
        </w:trP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rPr>
          <w:cantSplit/>
        </w:trP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line="269" w:lineRule="auto"/>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br/>
        <w:t>注）分母は地域包括ケア「見える化」システムのA系列（国勢調査及び国立社会保障・人口問題研究所の推計を基礎とする各年10月1日現在）の値であり、住民基本台帳による65歳以上人口とは異なります。全国・北海道との比較に用いる系列と分母をそろえるためA系列によっています。分母を住民基本台帳に置き換える場合は参加率が変わります［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line="269" w:lineRule="auto"/>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line="269" w:lineRule="auto"/>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25"/>
            <w:shd w:val="clear" w:color="auto" w:fill="DCE6F1"/>
          </w:tcPr>
          <w:p>
            <w:pPr>
              <w:spacing w:before="0"/>
              <w:jc w:val="center"/>
            </w:pPr>
            <w:r/>
            <w:r>
              <w:rPr>
                <w:rFonts w:ascii="游ゴシック" w:hAnsi="游ゴシック" w:eastAsia="游ゴシック"/>
                <w:b/>
                <w:sz w:val="17"/>
              </w:rPr>
              <w:t>段階</w:t>
            </w:r>
          </w:p>
        </w:tc>
        <w:tc>
          <w:tcPr>
            <w:tcW w:type="dxa" w:w="2925"/>
            <w:shd w:val="clear" w:color="auto" w:fill="DCE6F1"/>
          </w:tcPr>
          <w:p>
            <w:pPr>
              <w:jc w:val="center"/>
            </w:pPr>
            <w:r/>
            <w:r>
              <w:rPr>
                <w:rFonts w:ascii="游ゴシック" w:hAnsi="游ゴシック" w:eastAsia="游ゴシック"/>
                <w:b/>
                <w:sz w:val="17"/>
              </w:rPr>
              <w:t>判定</w:t>
            </w:r>
          </w:p>
        </w:tc>
        <w:tc>
          <w:tcPr>
            <w:tcW w:type="dxa" w:w="3034"/>
            <w:shd w:val="clear" w:color="auto" w:fill="DCE6F1"/>
          </w:tcPr>
          <w:p>
            <w:pPr>
              <w:jc w:val="center"/>
            </w:pPr>
            <w:r/>
            <w:r>
              <w:rPr>
                <w:rFonts w:ascii="游ゴシック" w:hAnsi="游ゴシック" w:eastAsia="游ゴシック"/>
                <w:b/>
                <w:sz w:val="17"/>
              </w:rPr>
              <w:t>判定方法</w:t>
            </w:r>
          </w:p>
        </w:tc>
        <w:tc>
          <w:tcPr>
            <w:tcW w:type="dxa" w:w="2167"/>
            <w:shd w:val="clear" w:color="auto" w:fill="DCE6F1"/>
          </w:tcPr>
          <w:p>
            <w:pPr>
              <w:jc w:val="center"/>
            </w:pPr>
            <w:r/>
            <w:r>
              <w:rPr>
                <w:rFonts w:ascii="游ゴシック" w:hAnsi="游ゴシック" w:eastAsia="游ゴシック"/>
                <w:b/>
                <w:sz w:val="17"/>
              </w:rPr>
              <w:t>使用資料</w:t>
            </w:r>
          </w:p>
        </w:tc>
      </w:tr>
      <w:tr>
        <w:trPr>
          <w:cantSplit/>
        </w:trP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rPr>
          <w:cantSplit/>
        </w:trP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180" w:after="100"/>
      </w:pPr>
      <w:bookmarkStart w:id="122" w:name="_Toc10_022"/>
      <w:r>
        <w:rPr>
          <w:rFonts w:ascii="游ゴシック" w:hAnsi="游ゴシック" w:eastAsia="游ゴシック"/>
          <w:sz w:val="25"/>
        </w:rPr>
        <w:t>第2節 地域支援事業の実績</w:t>
      </w:r>
      <w:bookmarkEnd w:id="122"/>
    </w:p>
    <w:p>
      <w:pPr>
        <w:spacing w:after="80" w:line="269" w:lineRule="auto"/>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keepNext/>
        <w:spacing w:after="60" w:line="269" w:lineRule="auto" w:before="160"/>
      </w:pPr>
      <w:r>
        <w:rPr>
          <w:rFonts w:ascii="游ゴシック" w:hAnsi="游ゴシック" w:eastAsia="游ゴシック"/>
          <w:b/>
          <w:sz w:val="20"/>
        </w:rPr>
        <w:t>【令和6年度の事業費（決算）】</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予算現額</w:t>
            </w:r>
          </w:p>
        </w:tc>
        <w:tc>
          <w:tcPr>
            <w:tcW w:type="dxa" w:w="1587"/>
            <w:shd w:val="clear" w:color="auto" w:fill="DCE6F1"/>
          </w:tcPr>
          <w:p>
            <w:pPr>
              <w:jc w:val="center"/>
            </w:pPr>
            <w:r/>
            <w:r>
              <w:rPr>
                <w:rFonts w:ascii="游ゴシック" w:hAnsi="游ゴシック" w:eastAsia="游ゴシック"/>
                <w:b/>
                <w:sz w:val="17"/>
              </w:rPr>
              <w:t>決算額</w:t>
            </w:r>
          </w:p>
        </w:tc>
        <w:tc>
          <w:tcPr>
            <w:tcW w:type="dxa" w:w="1361"/>
            <w:shd w:val="clear" w:color="auto" w:fill="DCE6F1"/>
          </w:tcPr>
          <w:p>
            <w:pPr>
              <w:jc w:val="center"/>
            </w:pPr>
            <w:r/>
            <w:r>
              <w:rPr>
                <w:rFonts w:ascii="游ゴシック" w:hAnsi="游ゴシック" w:eastAsia="游ゴシック"/>
                <w:b/>
                <w:sz w:val="17"/>
              </w:rPr>
              <w:t>不用額</w:t>
            </w:r>
          </w:p>
        </w:tc>
        <w:tc>
          <w:tcPr>
            <w:tcW w:type="dxa" w:w="1020"/>
            <w:shd w:val="clear" w:color="auto" w:fill="DCE6F1"/>
          </w:tcPr>
          <w:p>
            <w:pPr>
              <w:jc w:val="center"/>
            </w:pPr>
            <w:r/>
            <w:r>
              <w:rPr>
                <w:rFonts w:ascii="游ゴシック" w:hAnsi="游ゴシック" w:eastAsia="游ゴシック"/>
                <w:b/>
                <w:sz w:val="17"/>
              </w:rPr>
              <w:t>構成比</w:t>
            </w:r>
          </w:p>
        </w:tc>
      </w:tr>
      <w:tr>
        <w:trPr>
          <w:cantSplit/>
        </w:trP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rPr>
          <w:cantSplit/>
        </w:trP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rPr>
          <w:cantSplit/>
        </w:trP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rPr>
          <w:cantSplit/>
        </w:trP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rPr>
          <w:cantSplit/>
        </w:trP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w:t>
      </w:r>
    </w:p>
    <w:p>
      <w:pPr>
        <w:spacing w:after="80" w:line="269" w:lineRule="auto"/>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160" w:line="269" w:lineRule="auto"/>
      </w:pPr>
      <w:r>
        <w:rPr>
          <w:rFonts w:ascii="游ゴシック" w:hAnsi="游ゴシック" w:eastAsia="游ゴシック"/>
          <w:b w:val="0"/>
          <w:sz w:val="17"/>
        </w:rPr>
        <w:t>注）区分の名称及び科目は、令和6年度大雪地区広域連合介護保険特別会計歳入歳出決算書の表記によっています。決算書及び年報の様式4には「一般介護予防事業費」の項がなく、介護予防把握事業、介護予防普及啓発事業等の経費がいずれの科目で執行されているかは確認できていません［要確認］。いずれの場合も地域支援事業費の総額は変わりません。</w:t>
      </w:r>
    </w:p>
    <w:p>
      <w:pPr>
        <w:spacing w:after="160" w:line="269" w:lineRule="auto"/>
      </w:pPr>
      <w:r>
        <w:rPr>
          <w:rFonts w:ascii="游ゴシック" w:hAnsi="游ゴシック" w:eastAsia="游ゴシック"/>
          <w:b w:val="0"/>
          <w:sz w:val="17"/>
        </w:rPr>
        <w:t>注）第9期の施策及び事業の実績（事業量、対象実人数、予算及び決算）の提供を受けられない間は、本章の評価は公表されている資料（保険者機能強化推進交付金等の評価結果、介護予防・日常生活支援総合事業（地域支援事業）の実施状況に関する調査及び介護保険事業状況報告年報）によっています。事業量及び対象実人数による評価は行っ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東川町</w:t>
            </w:r>
          </w:p>
        </w:tc>
        <w:tc>
          <w:tcPr>
            <w:tcW w:type="dxa" w:w="1134"/>
            <w:shd w:val="clear" w:color="auto" w:fill="DCE6F1"/>
          </w:tcPr>
          <w:p>
            <w:pPr>
              <w:jc w:val="center"/>
            </w:pPr>
            <w:r/>
            <w:r>
              <w:rPr>
                <w:rFonts w:ascii="游ゴシック" w:hAnsi="游ゴシック" w:eastAsia="游ゴシック"/>
                <w:b/>
                <w:sz w:val="17"/>
              </w:rPr>
              <w:t>美瑛町</w:t>
            </w:r>
          </w:p>
        </w:tc>
        <w:tc>
          <w:tcPr>
            <w:tcW w:type="dxa" w:w="1134"/>
            <w:shd w:val="clear" w:color="auto" w:fill="DCE6F1"/>
          </w:tcPr>
          <w:p>
            <w:pPr>
              <w:jc w:val="center"/>
            </w:pPr>
            <w:r/>
            <w:r>
              <w:rPr>
                <w:rFonts w:ascii="游ゴシック" w:hAnsi="游ゴシック" w:eastAsia="游ゴシック"/>
                <w:b/>
                <w:sz w:val="17"/>
              </w:rPr>
              <w:t>東神楽町</w:t>
            </w:r>
          </w:p>
        </w:tc>
        <w:tc>
          <w:tcPr>
            <w:tcW w:type="dxa" w:w="1134"/>
            <w:shd w:val="clear" w:color="auto" w:fill="DCE6F1"/>
          </w:tcPr>
          <w:p>
            <w:pPr>
              <w:jc w:val="center"/>
            </w:pPr>
            <w:r/>
            <w:r>
              <w:rPr>
                <w:rFonts w:ascii="游ゴシック" w:hAnsi="游ゴシック" w:eastAsia="游ゴシック"/>
                <w:b/>
                <w:sz w:val="17"/>
              </w:rPr>
              <w:t>計</w:t>
            </w:r>
          </w:p>
        </w:tc>
        <w:tc>
          <w:tcPr>
            <w:tcW w:type="dxa" w:w="3175"/>
            <w:shd w:val="clear" w:color="auto" w:fill="DCE6F1"/>
          </w:tcPr>
          <w:p>
            <w:pPr>
              <w:jc w:val="center"/>
            </w:pPr>
            <w:r/>
            <w:r>
              <w:rPr>
                <w:rFonts w:ascii="游ゴシック" w:hAnsi="游ゴシック" w:eastAsia="游ゴシック"/>
                <w:b/>
                <w:sz w:val="17"/>
              </w:rPr>
              <w:t>備考</w:t>
            </w:r>
          </w:p>
        </w:tc>
      </w:tr>
      <w:tr>
        <w:trPr>
          <w:cantSplit/>
        </w:trP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rPr>
          <w:cantSplit/>
        </w:trP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rPr>
          <w:cantSplit/>
        </w:trP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line="269" w:lineRule="auto"/>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line="269" w:lineRule="auto"/>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1020"/>
            <w:shd w:val="clear" w:color="auto" w:fill="DCE6F1"/>
          </w:tcPr>
          <w:p>
            <w:pPr>
              <w:jc w:val="center"/>
            </w:pPr>
            <w:r/>
            <w:r>
              <w:rPr>
                <w:rFonts w:ascii="游ゴシック" w:hAnsi="游ゴシック" w:eastAsia="游ゴシック"/>
                <w:b/>
                <w:sz w:val="17"/>
              </w:rPr>
              <w:t>実施町</w:t>
            </w:r>
          </w:p>
        </w:tc>
        <w:tc>
          <w:tcPr>
            <w:tcW w:type="dxa" w:w="3515"/>
            <w:shd w:val="clear" w:color="auto" w:fill="DCE6F1"/>
          </w:tcPr>
          <w:p>
            <w:pPr>
              <w:jc w:val="center"/>
            </w:pPr>
            <w:r/>
            <w:r>
              <w:rPr>
                <w:rFonts w:ascii="游ゴシック" w:hAnsi="游ゴシック" w:eastAsia="游ゴシック"/>
                <w:b/>
                <w:sz w:val="17"/>
              </w:rPr>
              <w:t>確認された内容</w:t>
            </w:r>
          </w:p>
        </w:tc>
        <w:tc>
          <w:tcPr>
            <w:tcW w:type="dxa" w:w="2608"/>
            <w:shd w:val="clear" w:color="auto" w:fill="DCE6F1"/>
          </w:tcPr>
          <w:p>
            <w:pPr>
              <w:jc w:val="center"/>
            </w:pPr>
            <w:r/>
            <w:r>
              <w:rPr>
                <w:rFonts w:ascii="游ゴシック" w:hAnsi="游ゴシック" w:eastAsia="游ゴシック"/>
                <w:b/>
                <w:sz w:val="17"/>
              </w:rPr>
              <w:t>第10期での扱い</w:t>
            </w:r>
          </w:p>
        </w:tc>
      </w:tr>
      <w:tr>
        <w:trPr>
          <w:cantSplit/>
        </w:trP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rPr>
          <w:cantSplit/>
        </w:trP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rPr>
          <w:cantSplit/>
        </w:trP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住民個人が運営する通いの場の立ち上げ支援を加える。ポイント事業は美瑛町の取組として記述する［要協議］</w:t>
            </w:r>
          </w:p>
        </w:tc>
      </w:tr>
      <w:tr>
        <w:trPr>
          <w:cantSplit/>
        </w:trP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rPr>
          <w:cantSplit/>
        </w:trP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派遣回数と派遣先の通いの場の継続率を対応づける。美瑛町の取組として記述する［要協議］</w:t>
            </w:r>
          </w:p>
        </w:tc>
      </w:tr>
      <w:tr>
        <w:trPr>
          <w:cantSplit/>
        </w:trP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line="269" w:lineRule="auto"/>
        <w:jc w:val="right"/>
      </w:pPr>
      <w:r>
        <w:rPr>
          <w:rFonts w:ascii="游ゴシック" w:hAnsi="游ゴシック" w:eastAsia="游ゴシック"/>
          <w:b w:val="0"/>
          <w:sz w:val="17"/>
        </w:rPr>
        <w:t>資料：同上</w:t>
      </w:r>
    </w:p>
    <w:p>
      <w:pPr>
        <w:spacing w:after="80" w:line="269" w:lineRule="auto"/>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においては、介護予防・日常生活支援総合事業は実人数・到達率・継続率及び機能維持・改善により、包括的支援事業は相談から支援への接続・地域課題化及び施策への反映により、任意事業は対象者への到達・利用成果及び改善効果により評価します。給付適正化については、ケアプラン点検及び医療情報との突合をアウトプット指標とします。</w:t>
      </w:r>
    </w:p>
    <w:p>
      <w:pPr>
        <w:pStyle w:val="Heading2"/>
        <w:spacing w:before="180" w:after="100"/>
      </w:pPr>
      <w:bookmarkStart w:id="123" w:name="_Toc10_023"/>
      <w:r>
        <w:rPr>
          <w:rFonts w:ascii="游ゴシック" w:hAnsi="游ゴシック" w:eastAsia="游ゴシック"/>
          <w:sz w:val="25"/>
        </w:rPr>
        <w:t>第3節 介護保険事業の実績</w:t>
      </w:r>
      <w:bookmarkEnd w:id="123"/>
    </w:p>
    <w:p>
      <w:pPr>
        <w:spacing w:after="80" w:line="269" w:lineRule="auto"/>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180" w:after="100"/>
      </w:pPr>
      <w:r>
        <w:rPr>
          <w:rFonts w:ascii="游ゴシック" w:hAnsi="游ゴシック" w:eastAsia="游ゴシック"/>
          <w:sz w:val="22"/>
        </w:rPr>
        <w:t>1 主要指標の計画値と実績値</w:t>
      </w:r>
    </w:p>
    <w:p>
      <w:pPr>
        <w:spacing w:after="80" w:line="269" w:lineRule="auto"/>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928"/>
            <w:shd w:val="clear" w:color="auto" w:fill="DCE6F1"/>
          </w:tcPr>
          <w:p>
            <w:pPr>
              <w:spacing w:before="0"/>
              <w:jc w:val="center"/>
            </w:pPr>
            <w:r/>
            <w:r>
              <w:rPr>
                <w:rFonts w:ascii="游ゴシック" w:hAnsi="游ゴシック" w:eastAsia="游ゴシック"/>
                <w:b/>
                <w:sz w:val="17"/>
              </w:rPr>
              <w:t>指標</w:t>
            </w:r>
          </w:p>
        </w:tc>
        <w:tc>
          <w:tcPr>
            <w:tcW w:type="dxa" w:w="1077"/>
            <w:shd w:val="clear" w:color="auto" w:fill="DCE6F1"/>
          </w:tcPr>
          <w:p>
            <w:pPr>
              <w:jc w:val="center"/>
            </w:pPr>
            <w:r/>
            <w:r>
              <w:rPr>
                <w:rFonts w:ascii="游ゴシック" w:hAnsi="游ゴシック" w:eastAsia="游ゴシック"/>
                <w:b/>
                <w:sz w:val="17"/>
              </w:rPr>
              <w:t>R6計画</w:t>
            </w:r>
          </w:p>
        </w:tc>
        <w:tc>
          <w:tcPr>
            <w:tcW w:type="dxa" w:w="1077"/>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1077"/>
            <w:shd w:val="clear" w:color="auto" w:fill="DCE6F1"/>
          </w:tcPr>
          <w:p>
            <w:pPr>
              <w:jc w:val="center"/>
            </w:pPr>
            <w:r/>
            <w:r>
              <w:rPr>
                <w:rFonts w:ascii="游ゴシック" w:hAnsi="游ゴシック" w:eastAsia="游ゴシック"/>
                <w:b/>
                <w:sz w:val="17"/>
              </w:rPr>
              <w:t>R7計画</w:t>
            </w:r>
          </w:p>
        </w:tc>
        <w:tc>
          <w:tcPr>
            <w:tcW w:type="dxa" w:w="1077"/>
            <w:shd w:val="clear" w:color="auto" w:fill="DCE6F1"/>
          </w:tcPr>
          <w:p>
            <w:pPr>
              <w:jc w:val="center"/>
            </w:pPr>
            <w:r/>
            <w:r>
              <w:rPr>
                <w:rFonts w:ascii="游ゴシック" w:hAnsi="游ゴシック" w:eastAsia="游ゴシック"/>
                <w:b/>
                <w:sz w:val="17"/>
              </w:rPr>
              <w:t>R7実績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2041"/>
            <w:shd w:val="clear" w:color="auto" w:fill="DCE6F1"/>
          </w:tcPr>
          <w:p>
            <w:pPr>
              <w:jc w:val="center"/>
            </w:pPr>
            <w:r/>
            <w:r>
              <w:rPr>
                <w:rFonts w:ascii="游ゴシック" w:hAnsi="游ゴシック" w:eastAsia="游ゴシック"/>
                <w:b/>
                <w:sz w:val="17"/>
              </w:rPr>
              <w:t>評価</w:t>
            </w:r>
          </w:p>
        </w:tc>
      </w:tr>
      <w:tr>
        <w:trPr>
          <w:cantSplit/>
        </w:trP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rPr>
          <w:cantSplit/>
        </w:trP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rPr>
          <w:cantSplit/>
        </w:trP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rPr>
          <w:cantSplit/>
        </w:trP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rPr>
          <w:cantSplit/>
        </w:trP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rPr>
          <w:cantSplit/>
        </w:trP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rPr>
          <w:cantSplit/>
        </w:trP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rPr>
          <w:cantSplit/>
        </w:trP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line="269" w:lineRule="auto"/>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after="80" w:line="269" w:lineRule="auto"/>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line="269" w:lineRule="auto"/>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2 計画との乖離が大きいサービス</w:t>
      </w:r>
    </w:p>
    <w:p>
      <w:pPr>
        <w:spacing w:after="80" w:line="269" w:lineRule="auto"/>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268"/>
            <w:shd w:val="clear" w:color="auto" w:fill="DCE6F1"/>
          </w:tcPr>
          <w:p>
            <w:pPr>
              <w:spacing w:before="0"/>
              <w:jc w:val="center"/>
            </w:pPr>
            <w:r/>
            <w:r>
              <w:rPr>
                <w:rFonts w:ascii="游ゴシック" w:hAnsi="游ゴシック" w:eastAsia="游ゴシック"/>
                <w:b/>
                <w:sz w:val="17"/>
              </w:rPr>
              <w:t>サービス</w:t>
            </w:r>
          </w:p>
        </w:tc>
        <w:tc>
          <w:tcPr>
            <w:tcW w:type="dxa" w:w="907"/>
            <w:shd w:val="clear" w:color="auto" w:fill="DCE6F1"/>
          </w:tcPr>
          <w:p>
            <w:pPr>
              <w:jc w:val="center"/>
            </w:pPr>
            <w:r/>
            <w:r>
              <w:rPr>
                <w:rFonts w:ascii="游ゴシック" w:hAnsi="游ゴシック" w:eastAsia="游ゴシック"/>
                <w:b/>
                <w:sz w:val="17"/>
              </w:rPr>
              <w:t>R6対計画比</w:t>
            </w:r>
          </w:p>
        </w:tc>
        <w:tc>
          <w:tcPr>
            <w:tcW w:type="dxa" w:w="907"/>
            <w:shd w:val="clear" w:color="auto" w:fill="DCE6F1"/>
          </w:tcPr>
          <w:p>
            <w:pPr>
              <w:jc w:val="center"/>
            </w:pPr>
            <w:r/>
            <w:r>
              <w:rPr>
                <w:rFonts w:ascii="游ゴシック" w:hAnsi="游ゴシック" w:eastAsia="游ゴシック"/>
                <w:b/>
                <w:sz w:val="17"/>
              </w:rPr>
              <w:t>R7対計画比</w:t>
            </w:r>
          </w:p>
        </w:tc>
        <w:tc>
          <w:tcPr>
            <w:tcW w:type="dxa" w:w="1701"/>
            <w:shd w:val="clear" w:color="auto" w:fill="DCE6F1"/>
          </w:tcPr>
          <w:p>
            <w:pPr>
              <w:jc w:val="center"/>
            </w:pPr>
            <w:r/>
            <w:r>
              <w:rPr>
                <w:rFonts w:ascii="游ゴシック" w:hAnsi="游ゴシック" w:eastAsia="游ゴシック"/>
                <w:b/>
                <w:sz w:val="17"/>
              </w:rPr>
              <w:t>延べ利用者数（R7）</w:t>
            </w:r>
          </w:p>
        </w:tc>
        <w:tc>
          <w:tcPr>
            <w:tcW w:type="dxa" w:w="3969"/>
            <w:shd w:val="clear" w:color="auto" w:fill="DCE6F1"/>
          </w:tcPr>
          <w:p>
            <w:pPr>
              <w:jc w:val="center"/>
            </w:pPr>
            <w:r/>
            <w:r>
              <w:rPr>
                <w:rFonts w:ascii="游ゴシック" w:hAnsi="游ゴシック" w:eastAsia="游ゴシック"/>
                <w:b/>
                <w:sz w:val="17"/>
              </w:rPr>
              <w:t>考えられる要因</w:t>
            </w:r>
          </w:p>
        </w:tc>
      </w:tr>
      <w:tr>
        <w:trPr>
          <w:cantSplit/>
        </w:trP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rPr>
          <w:cantSplit/>
        </w:trP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rPr>
          <w:cantSplit/>
        </w:trP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rPr>
          <w:cantSplit/>
        </w:trP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rPr>
          <w:cantSplit/>
        </w:trP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rPr>
          <w:cantSplit/>
        </w:trP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rPr>
          <w:cantSplit/>
        </w:trP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rPr>
          <w:cantSplit/>
        </w:trP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rPr>
          <w:cantSplit/>
        </w:trP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line="269" w:lineRule="auto"/>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総括表詳細（給付費）</w:t>
      </w:r>
    </w:p>
    <w:p>
      <w:pPr>
        <w:spacing w:after="80" w:line="269" w:lineRule="auto"/>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92"/>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第9期における確認内容</w:t>
            </w:r>
          </w:p>
        </w:tc>
        <w:tc>
          <w:tcPr>
            <w:tcW w:type="dxa" w:w="3250"/>
            <w:shd w:val="clear" w:color="auto" w:fill="DCE6F1"/>
          </w:tcPr>
          <w:p>
            <w:pPr>
              <w:jc w:val="center"/>
            </w:pPr>
            <w:r/>
            <w:r>
              <w:rPr>
                <w:rFonts w:ascii="游ゴシック" w:hAnsi="游ゴシック" w:eastAsia="游ゴシック"/>
                <w:b/>
                <w:sz w:val="17"/>
              </w:rPr>
              <w:t>第10期への反映</w:t>
            </w:r>
          </w:p>
        </w:tc>
      </w:tr>
      <w:tr>
        <w:trPr>
          <w:cantSplit/>
        </w:trP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rPr>
          <w:cantSplit/>
        </w:trP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rPr>
          <w:cantSplit/>
        </w:trP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rPr>
          <w:cantSplit/>
        </w:trP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bookmarkStart w:id="124" w:name="_Toc10_024"/>
      <w:r>
        <w:rPr>
          <w:rFonts w:ascii="游ゴシック" w:hAnsi="游ゴシック" w:eastAsia="游ゴシック"/>
          <w:sz w:val="25"/>
        </w:rPr>
        <w:t>第4節 第9期計画の評価と第10期への課題</w:t>
      </w:r>
      <w:bookmarkEnd w:id="124"/>
    </w:p>
    <w:p>
      <w:pPr>
        <w:spacing w:after="80" w:line="269" w:lineRule="auto"/>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line="269" w:lineRule="auto"/>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line="269" w:lineRule="auto"/>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65"/>
            <w:shd w:val="clear" w:color="auto" w:fill="DCE6F1"/>
          </w:tcPr>
          <w:p>
            <w:pPr>
              <w:spacing w:before="0"/>
              <w:jc w:val="center"/>
            </w:pPr>
            <w:r/>
            <w:r>
              <w:rPr>
                <w:rFonts w:ascii="游ゴシック" w:hAnsi="游ゴシック" w:eastAsia="游ゴシック"/>
                <w:b/>
                <w:sz w:val="17"/>
              </w:rPr>
              <w:t>裏づけの状況</w:t>
            </w:r>
          </w:p>
        </w:tc>
        <w:tc>
          <w:tcPr>
            <w:tcW w:type="dxa" w:w="857"/>
            <w:shd w:val="clear" w:color="auto" w:fill="DCE6F1"/>
          </w:tcPr>
          <w:p>
            <w:pPr>
              <w:jc w:val="center"/>
            </w:pPr>
            <w:r/>
            <w:r>
              <w:rPr>
                <w:rFonts w:ascii="游ゴシック" w:hAnsi="游ゴシック" w:eastAsia="游ゴシック"/>
                <w:b/>
                <w:sz w:val="17"/>
              </w:rPr>
              <w:t>施策数</w:t>
            </w:r>
          </w:p>
        </w:tc>
        <w:tc>
          <w:tcPr>
            <w:tcW w:type="dxa" w:w="964"/>
            <w:shd w:val="clear" w:color="auto" w:fill="DCE6F1"/>
          </w:tcPr>
          <w:p>
            <w:pPr>
              <w:jc w:val="center"/>
            </w:pPr>
            <w:r/>
            <w:r>
              <w:rPr>
                <w:rFonts w:ascii="游ゴシック" w:hAnsi="游ゴシック" w:eastAsia="游ゴシック"/>
                <w:b/>
                <w:sz w:val="17"/>
              </w:rPr>
              <w:t>構成比</w:t>
            </w:r>
          </w:p>
        </w:tc>
        <w:tc>
          <w:tcPr>
            <w:tcW w:type="dxa" w:w="2357"/>
            <w:shd w:val="clear" w:color="auto" w:fill="DCE6F1"/>
          </w:tcPr>
          <w:p>
            <w:pPr>
              <w:jc w:val="center"/>
            </w:pPr>
            <w:r/>
            <w:r>
              <w:rPr>
                <w:rFonts w:ascii="游ゴシック" w:hAnsi="游ゴシック" w:eastAsia="游ゴシック"/>
                <w:b/>
                <w:sz w:val="17"/>
              </w:rPr>
              <w:t>該当する施策</w:t>
            </w:r>
          </w:p>
        </w:tc>
        <w:tc>
          <w:tcPr>
            <w:tcW w:type="dxa" w:w="3108"/>
            <w:shd w:val="clear" w:color="auto" w:fill="DCE6F1"/>
          </w:tcPr>
          <w:p>
            <w:pPr>
              <w:jc w:val="center"/>
            </w:pPr>
            <w:r/>
            <w:r>
              <w:rPr>
                <w:rFonts w:ascii="游ゴシック" w:hAnsi="游ゴシック" w:eastAsia="游ゴシック"/>
                <w:b/>
                <w:sz w:val="17"/>
              </w:rPr>
              <w:t>第10期の扱い</w:t>
            </w:r>
          </w:p>
        </w:tc>
      </w:tr>
      <w:tr>
        <w:trPr>
          <w:cantSplit/>
        </w:trP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rPr>
          <w:cantSplit/>
        </w:trP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rPr>
          <w:cantSplit/>
        </w:trP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rPr>
          <w:cantSplit/>
        </w:trP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line="269" w:lineRule="auto"/>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42"/>
            <w:shd w:val="clear" w:color="auto" w:fill="DCE6F1"/>
          </w:tcPr>
          <w:p>
            <w:pPr>
              <w:spacing w:before="0"/>
              <w:jc w:val="center"/>
            </w:pPr>
            <w:r/>
            <w:r>
              <w:rPr>
                <w:rFonts w:ascii="游ゴシック" w:hAnsi="游ゴシック" w:eastAsia="游ゴシック"/>
                <w:b/>
                <w:sz w:val="17"/>
              </w:rPr>
              <w:t>ID</w:t>
            </w:r>
          </w:p>
        </w:tc>
        <w:tc>
          <w:tcPr>
            <w:tcW w:type="dxa" w:w="1734"/>
            <w:shd w:val="clear" w:color="auto" w:fill="DCE6F1"/>
          </w:tcPr>
          <w:p>
            <w:pPr>
              <w:jc w:val="center"/>
            </w:pPr>
            <w:r/>
            <w:r>
              <w:rPr>
                <w:rFonts w:ascii="游ゴシック" w:hAnsi="游ゴシック" w:eastAsia="游ゴシック"/>
                <w:b/>
                <w:sz w:val="17"/>
              </w:rPr>
              <w:t>施策</w:t>
            </w:r>
          </w:p>
        </w:tc>
        <w:tc>
          <w:tcPr>
            <w:tcW w:type="dxa" w:w="975"/>
            <w:shd w:val="clear" w:color="auto" w:fill="DCE6F1"/>
          </w:tcPr>
          <w:p>
            <w:pPr>
              <w:jc w:val="center"/>
            </w:pPr>
            <w:r/>
            <w:r>
              <w:rPr>
                <w:rFonts w:ascii="游ゴシック" w:hAnsi="游ゴシック" w:eastAsia="游ゴシック"/>
                <w:b/>
                <w:sz w:val="17"/>
              </w:rPr>
              <w:t>評価可能性</w:t>
            </w:r>
          </w:p>
        </w:tc>
        <w:tc>
          <w:tcPr>
            <w:tcW w:type="dxa" w:w="867"/>
            <w:shd w:val="clear" w:color="auto" w:fill="DCE6F1"/>
          </w:tcPr>
          <w:p>
            <w:pPr>
              <w:jc w:val="center"/>
            </w:pPr>
            <w:r/>
            <w:r>
              <w:rPr>
                <w:rFonts w:ascii="游ゴシック" w:hAnsi="游ゴシック" w:eastAsia="游ゴシック"/>
                <w:b/>
                <w:sz w:val="17"/>
              </w:rPr>
              <w:t>調査の裏づけ</w:t>
            </w:r>
          </w:p>
        </w:tc>
        <w:tc>
          <w:tcPr>
            <w:tcW w:type="dxa" w:w="975"/>
            <w:shd w:val="clear" w:color="auto" w:fill="DCE6F1"/>
          </w:tcPr>
          <w:p>
            <w:pPr>
              <w:jc w:val="center"/>
            </w:pPr>
            <w:r/>
            <w:r>
              <w:rPr>
                <w:rFonts w:ascii="游ゴシック" w:hAnsi="游ゴシック" w:eastAsia="游ゴシック"/>
                <w:b/>
                <w:sz w:val="17"/>
              </w:rPr>
              <w:t>代表KPI</w:t>
            </w:r>
          </w:p>
        </w:tc>
        <w:tc>
          <w:tcPr>
            <w:tcW w:type="dxa" w:w="650"/>
            <w:shd w:val="clear" w:color="auto" w:fill="DCE6F1"/>
          </w:tcPr>
          <w:p>
            <w:pPr>
              <w:jc w:val="center"/>
            </w:pPr>
            <w:r/>
            <w:r>
              <w:rPr>
                <w:rFonts w:ascii="游ゴシック" w:hAnsi="游ゴシック" w:eastAsia="游ゴシック"/>
                <w:b/>
                <w:sz w:val="17"/>
              </w:rPr>
              <w:t>判定</w:t>
            </w:r>
          </w:p>
        </w:tc>
        <w:tc>
          <w:tcPr>
            <w:tcW w:type="dxa" w:w="4009"/>
            <w:shd w:val="clear" w:color="auto" w:fill="DCE6F1"/>
          </w:tcPr>
          <w:p>
            <w:pPr>
              <w:jc w:val="center"/>
            </w:pPr>
            <w:r/>
            <w:r>
              <w:rPr>
                <w:rFonts w:ascii="游ゴシック" w:hAnsi="游ゴシック" w:eastAsia="游ゴシック"/>
                <w:b/>
                <w:sz w:val="17"/>
              </w:rPr>
              <w:t>第10期の修正方向</w:t>
            </w:r>
          </w:p>
        </w:tc>
      </w:tr>
      <w:tr>
        <w:trPr>
          <w:cantSplit/>
        </w:trP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rPr>
          <w:cantSplit/>
        </w:trP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rPr>
          <w:cantSplit/>
        </w:trP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未充足・受入不可・供給余力を併記。事業所ゼロ11種別を明示。H12は在宅生活改善調査から算定する（20.2％）</w:t>
            </w:r>
          </w:p>
        </w:tc>
      </w:tr>
      <w:tr>
        <w:trPr>
          <w:cantSplit/>
        </w:trP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rPr>
          <w:cantSplit/>
        </w:trP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rPr>
          <w:cantSplit/>
        </w:trP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rPr>
          <w:cantSplit/>
        </w:trP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rPr>
          <w:cantSplit/>
        </w:trP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rPr>
          <w:cantSplit/>
        </w:trP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rPr>
          <w:cantSplit/>
        </w:trP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rPr>
          <w:cantSplit/>
        </w:trP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rPr>
          <w:cantSplit/>
        </w:trP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rPr>
          <w:cantSplit/>
        </w:trP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rPr>
          <w:cantSplit/>
        </w:trP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rPr>
          <w:cantSplit/>
        </w:trP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rPr>
          <w:cantSplit/>
        </w:trP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rPr>
          <w:cantSplit/>
        </w:trP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rPr>
          <w:cantSplit/>
        </w:trP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rPr>
          <w:cantSplit/>
        </w:trP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必須業務・訓練改善・相互応援。H16は指定・運営指導の際の業務継続計画の策定の確認による</w:t>
            </w:r>
          </w:p>
        </w:tc>
      </w:tr>
    </w:tbl>
    <w:p>
      <w:pPr>
        <w:spacing w:after="160" w:line="269" w:lineRule="auto"/>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【調査に所見があるが、対応する施策を確認できない5領域】</w:t>
      </w:r>
    </w:p>
    <w:p>
      <w:pPr>
        <w:spacing w:after="80" w:line="269" w:lineRule="auto"/>
      </w:pPr>
      <w:r>
        <w:rPr>
          <w:rFonts w:ascii="游ゴシック" w:hAnsi="游ゴシック" w:eastAsia="游ゴシック"/>
          <w:b w:val="0"/>
          <w:sz w:val="21"/>
        </w:rPr>
        <w:t>上記とは逆に、実施済み4調査に所見があるにもかかわらず、第9期計画の施策体系に明示的な対応を確認できない領域が5つあります。第10期の施策体系を検討する際の候補領域です。</w:t>
      </w:r>
    </w:p>
    <w:p>
      <w:pPr>
        <w:spacing w:after="160" w:line="269" w:lineRule="auto"/>
      </w:pPr>
      <w:r>
        <w:rPr>
          <w:rFonts w:ascii="游ゴシック" w:hAnsi="游ゴシック" w:eastAsia="游ゴシック"/>
          <w:b w:val="0"/>
          <w:sz w:val="17"/>
        </w:rPr>
        <w:t>3町の高齢者保健福祉計画、地方創生総合戦略、地域福祉計画等で対応している可能性があります。広域連合の計画で扱うか3町の計画で扱うかは、役割分担の確認を経て決定します［要協議］。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2"/>
            <w:shd w:val="clear" w:color="auto" w:fill="DCE6F1"/>
          </w:tcPr>
          <w:p>
            <w:pPr>
              <w:spacing w:before="0"/>
              <w:jc w:val="center"/>
            </w:pPr>
            <w:r/>
            <w:r>
              <w:rPr>
                <w:rFonts w:ascii="游ゴシック" w:hAnsi="游ゴシック" w:eastAsia="游ゴシック"/>
                <w:b/>
                <w:sz w:val="17"/>
              </w:rPr>
              <w:t>領域</w:t>
            </w:r>
          </w:p>
        </w:tc>
        <w:tc>
          <w:tcPr>
            <w:tcW w:type="dxa" w:w="3285"/>
            <w:shd w:val="clear" w:color="auto" w:fill="DCE6F1"/>
          </w:tcPr>
          <w:p>
            <w:pPr>
              <w:jc w:val="center"/>
            </w:pPr>
            <w:r/>
            <w:r>
              <w:rPr>
                <w:rFonts w:ascii="游ゴシック" w:hAnsi="游ゴシック" w:eastAsia="游ゴシック"/>
                <w:b/>
                <w:sz w:val="17"/>
              </w:rPr>
              <w:t>調査による所見</w:t>
            </w:r>
          </w:p>
        </w:tc>
        <w:tc>
          <w:tcPr>
            <w:tcW w:type="dxa" w:w="2053"/>
            <w:shd w:val="clear" w:color="auto" w:fill="DCE6F1"/>
          </w:tcPr>
          <w:p>
            <w:pPr>
              <w:jc w:val="center"/>
            </w:pPr>
            <w:r/>
            <w:r>
              <w:rPr>
                <w:rFonts w:ascii="游ゴシック" w:hAnsi="游ゴシック" w:eastAsia="游ゴシック"/>
                <w:b/>
                <w:sz w:val="17"/>
              </w:rPr>
              <w:t>第9期計画での対応</w:t>
            </w:r>
          </w:p>
        </w:tc>
        <w:tc>
          <w:tcPr>
            <w:tcW w:type="dxa" w:w="2771"/>
            <w:shd w:val="clear" w:color="auto" w:fill="DCE6F1"/>
          </w:tcPr>
          <w:p>
            <w:pPr>
              <w:jc w:val="center"/>
            </w:pPr>
            <w:r/>
            <w:r>
              <w:rPr>
                <w:rFonts w:ascii="游ゴシック" w:hAnsi="游ゴシック" w:eastAsia="游ゴシック"/>
                <w:b/>
                <w:sz w:val="17"/>
              </w:rPr>
              <w:t>第10期での扱い（案）</w:t>
            </w:r>
          </w:p>
        </w:tc>
      </w:tr>
      <w:tr>
        <w:trPr>
          <w:cantSplit/>
        </w:trPr>
        <w:tc>
          <w:tcPr>
            <w:tcW w:type="dxa" w:w="1642"/>
          </w:tcPr>
          <w:p>
            <w:r/>
            <w:r>
              <w:rPr>
                <w:rFonts w:ascii="游ゴシック" w:hAnsi="游ゴシック" w:eastAsia="游ゴシック"/>
                <w:sz w:val="17"/>
              </w:rPr>
              <w:t>移動・交通</w:t>
            </w:r>
          </w:p>
        </w:tc>
        <w:tc>
          <w:tcPr>
            <w:tcW w:type="dxa" w:w="3285"/>
          </w:tcPr>
          <w:p>
            <w:r/>
            <w:r>
              <w:rPr>
                <w:rFonts w:ascii="游ゴシック" w:hAnsi="游ゴシック" w:eastAsia="游ゴシック"/>
                <w:sz w:val="17"/>
              </w:rPr>
              <w:t>自力移動の手段がない20.6％。外出頻度が月1〜3回以下8.5％。美瑛町の面積は676.78km²</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基本目標2に位置づけるか、3町の総合戦略に委ねるか［要協議］</w:t>
            </w:r>
          </w:p>
        </w:tc>
      </w:tr>
      <w:tr>
        <w:trPr>
          <w:cantSplit/>
        </w:trPr>
        <w:tc>
          <w:tcPr>
            <w:tcW w:type="dxa" w:w="1642"/>
          </w:tcPr>
          <w:p>
            <w:r/>
            <w:r>
              <w:rPr>
                <w:rFonts w:ascii="游ゴシック" w:hAnsi="游ゴシック" w:eastAsia="游ゴシック"/>
                <w:sz w:val="17"/>
              </w:rPr>
              <w:t>未利用の理由の把握</w:t>
            </w:r>
          </w:p>
        </w:tc>
        <w:tc>
          <w:tcPr>
            <w:tcW w:type="dxa" w:w="3285"/>
          </w:tcPr>
          <w:p>
            <w:r/>
            <w:r>
              <w:rPr>
                <w:rFonts w:ascii="游ゴシック" w:hAnsi="游ゴシック" w:eastAsia="游ゴシック"/>
                <w:sz w:val="17"/>
              </w:rPr>
              <w:t>認定を受けながら未利用の者が504人（認定者の25.7％）。理由は把握できていない</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施策ではなく調査課題として位置づける。第2章第2節の利用率の分析の視点とする［要協議］</w:t>
            </w:r>
          </w:p>
        </w:tc>
      </w:tr>
      <w:tr>
        <w:trPr>
          <w:cantSplit/>
        </w:trPr>
        <w:tc>
          <w:tcPr>
            <w:tcW w:type="dxa" w:w="1642"/>
          </w:tcPr>
          <w:p>
            <w:r/>
            <w:r>
              <w:rPr>
                <w:rFonts w:ascii="游ゴシック" w:hAnsi="游ゴシック" w:eastAsia="游ゴシック"/>
                <w:sz w:val="17"/>
              </w:rPr>
              <w:t>人生の最終段階における意思決定支援</w:t>
            </w:r>
          </w:p>
        </w:tc>
        <w:tc>
          <w:tcPr>
            <w:tcW w:type="dxa" w:w="3285"/>
          </w:tcPr>
          <w:p>
            <w:r/>
            <w:r>
              <w:rPr>
                <w:rFonts w:ascii="游ゴシック" w:hAnsi="游ゴシック" w:eastAsia="游ゴシック"/>
                <w:sz w:val="17"/>
              </w:rPr>
              <w:t>おひとりになった場合の終のすみか。居所変更実態調査における退去先</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基本目標1に位置づける［要協議］</w:t>
            </w:r>
          </w:p>
        </w:tc>
      </w:tr>
      <w:tr>
        <w:trPr>
          <w:cantSplit/>
        </w:trPr>
        <w:tc>
          <w:tcPr>
            <w:tcW w:type="dxa" w:w="1642"/>
          </w:tcPr>
          <w:p>
            <w:r/>
            <w:r>
              <w:rPr>
                <w:rFonts w:ascii="游ゴシック" w:hAnsi="游ゴシック" w:eastAsia="游ゴシック"/>
                <w:sz w:val="17"/>
              </w:rPr>
              <w:t>身寄りのない高齢者</w:t>
            </w:r>
          </w:p>
        </w:tc>
        <w:tc>
          <w:tcPr>
            <w:tcW w:type="dxa" w:w="3285"/>
          </w:tcPr>
          <w:p>
            <w:r/>
            <w:r>
              <w:rPr>
                <w:rFonts w:ascii="游ゴシック" w:hAnsi="游ゴシック" w:eastAsia="游ゴシック"/>
                <w:sz w:val="17"/>
              </w:rPr>
              <w:t>世話をしてくれる人がいない8.7％（独居では32.4％）。話し相手がいない3.1％（独居では8.2％）</w:t>
            </w:r>
          </w:p>
        </w:tc>
        <w:tc>
          <w:tcPr>
            <w:tcW w:type="dxa" w:w="2053"/>
          </w:tcPr>
          <w:p>
            <w:r/>
            <w:r>
              <w:rPr>
                <w:rFonts w:ascii="游ゴシック" w:hAnsi="游ゴシック" w:eastAsia="游ゴシック"/>
                <w:sz w:val="17"/>
              </w:rPr>
              <w:t>施策2-4に一部含まれるが独立していない</w:t>
            </w:r>
          </w:p>
        </w:tc>
        <w:tc>
          <w:tcPr>
            <w:tcW w:type="dxa" w:w="2771"/>
          </w:tcPr>
          <w:p>
            <w:r/>
            <w:r>
              <w:rPr>
                <w:rFonts w:ascii="游ゴシック" w:hAnsi="游ゴシック" w:eastAsia="游ゴシック"/>
                <w:sz w:val="17"/>
              </w:rPr>
              <w:t>基本目標3に独立した施策として位置づける</w:t>
            </w:r>
          </w:p>
        </w:tc>
      </w:tr>
      <w:tr>
        <w:trPr>
          <w:cantSplit/>
        </w:trPr>
        <w:tc>
          <w:tcPr>
            <w:tcW w:type="dxa" w:w="1642"/>
          </w:tcPr>
          <w:p>
            <w:r/>
            <w:r>
              <w:rPr>
                <w:rFonts w:ascii="游ゴシック" w:hAnsi="游ゴシック" w:eastAsia="游ゴシック"/>
                <w:sz w:val="17"/>
              </w:rPr>
              <w:t>未利用認定者への働きかけ</w:t>
            </w:r>
          </w:p>
        </w:tc>
        <w:tc>
          <w:tcPr>
            <w:tcW w:type="dxa" w:w="3285"/>
          </w:tcPr>
          <w:p>
            <w:r/>
            <w:r>
              <w:rPr>
                <w:rFonts w:ascii="游ゴシック" w:hAnsi="游ゴシック" w:eastAsia="游ゴシック"/>
                <w:sz w:val="17"/>
              </w:rPr>
              <w:t>介護サービス利用率74.3％（平成28年度82.2％から7.9ポイント低下）。これとは別に、交付金評価の「アウトリーチ等の取組状況」の得点が全国平均比39.2％（2.0点／全国5.1点）</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基本目標1又は基本目標3に位置づける［要協議］</w:t>
            </w:r>
          </w:p>
        </w:tc>
      </w:tr>
    </w:tbl>
    <w:p>
      <w:pPr>
        <w:spacing w:after="160" w:line="269" w:lineRule="auto"/>
        <w:jc w:val="right"/>
      </w:pPr>
      <w:r>
        <w:rPr>
          <w:rFonts w:ascii="游ゴシック" w:hAnsi="游ゴシック" w:eastAsia="游ゴシック"/>
          <w:b w:val="0"/>
          <w:sz w:val="17"/>
        </w:rPr>
        <w:t>資料：実施済み4調査及び第9期計画の施策体系による。「第9期計画での対応」は広域連合の計画における記載の有無である</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180" w:after="100"/>
      </w:pPr>
      <w:r>
        <w:rPr>
          <w:rFonts w:ascii="游ゴシック" w:hAnsi="游ゴシック" w:eastAsia="游ゴシック"/>
          <w:sz w:val="22"/>
        </w:rPr>
        <w:t>2 長期でみた到達点</w:t>
      </w:r>
    </w:p>
    <w:p>
      <w:pPr>
        <w:spacing w:after="80" w:line="269" w:lineRule="auto"/>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42"/>
            <w:shd w:val="clear" w:color="auto" w:fill="DCE6F1"/>
          </w:tcPr>
          <w:p>
            <w:pPr>
              <w:spacing w:before="0"/>
              <w:jc w:val="center"/>
            </w:pPr>
            <w:r/>
            <w:r>
              <w:rPr>
                <w:rFonts w:ascii="游ゴシック" w:hAnsi="游ゴシック" w:eastAsia="游ゴシック"/>
                <w:b/>
                <w:sz w:val="17"/>
              </w:rPr>
              <w:t>事項</w:t>
            </w:r>
          </w:p>
        </w:tc>
        <w:tc>
          <w:tcPr>
            <w:tcW w:type="dxa" w:w="4334"/>
            <w:shd w:val="clear" w:color="auto" w:fill="DCE6F1"/>
          </w:tcPr>
          <w:p>
            <w:pPr>
              <w:jc w:val="center"/>
            </w:pPr>
            <w:r/>
            <w:r>
              <w:rPr>
                <w:rFonts w:ascii="游ゴシック" w:hAnsi="游ゴシック" w:eastAsia="游ゴシック"/>
                <w:b/>
                <w:sz w:val="17"/>
              </w:rPr>
              <w:t>長期の推移</w:t>
            </w:r>
          </w:p>
        </w:tc>
        <w:tc>
          <w:tcPr>
            <w:tcW w:type="dxa" w:w="3575"/>
            <w:shd w:val="clear" w:color="auto" w:fill="DCE6F1"/>
          </w:tcPr>
          <w:p>
            <w:pPr>
              <w:jc w:val="center"/>
            </w:pPr>
            <w:r/>
            <w:r>
              <w:rPr>
                <w:rFonts w:ascii="游ゴシック" w:hAnsi="游ゴシック" w:eastAsia="游ゴシック"/>
                <w:b/>
                <w:sz w:val="17"/>
              </w:rPr>
              <w:t>評価</w:t>
            </w:r>
          </w:p>
        </w:tc>
      </w:tr>
      <w:tr>
        <w:trPr>
          <w:cantSplit/>
        </w:trP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rPr>
          <w:cantSplit/>
        </w:trP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rPr>
          <w:cantSplit/>
        </w:trP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rPr>
          <w:cantSplit/>
        </w:trP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rPr>
          <w:cantSplit/>
        </w:trP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rPr>
          <w:cantSplit/>
        </w:trP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line="269" w:lineRule="auto"/>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09"/>
            <w:shd w:val="clear" w:color="auto" w:fill="DCE6F1"/>
          </w:tcPr>
          <w:p>
            <w:pPr>
              <w:spacing w:before="0"/>
              <w:jc w:val="center"/>
            </w:pPr>
            <w:r/>
            <w:r>
              <w:rPr>
                <w:rFonts w:ascii="游ゴシック" w:hAnsi="游ゴシック" w:eastAsia="游ゴシック"/>
                <w:b/>
                <w:sz w:val="17"/>
              </w:rPr>
              <w:t>評価軸</w:t>
            </w:r>
          </w:p>
        </w:tc>
        <w:tc>
          <w:tcPr>
            <w:tcW w:type="dxa" w:w="4009"/>
            <w:shd w:val="clear" w:color="auto" w:fill="DCE6F1"/>
          </w:tcPr>
          <w:p>
            <w:pPr>
              <w:jc w:val="center"/>
            </w:pPr>
            <w:r/>
            <w:r>
              <w:rPr>
                <w:rFonts w:ascii="游ゴシック" w:hAnsi="游ゴシック" w:eastAsia="游ゴシック"/>
                <w:b/>
                <w:sz w:val="17"/>
              </w:rPr>
              <w:t>判断</w:t>
            </w:r>
          </w:p>
        </w:tc>
        <w:tc>
          <w:tcPr>
            <w:tcW w:type="dxa" w:w="4334"/>
            <w:shd w:val="clear" w:color="auto" w:fill="DCE6F1"/>
          </w:tcPr>
          <w:p>
            <w:pPr>
              <w:jc w:val="center"/>
            </w:pPr>
            <w:r/>
            <w:r>
              <w:rPr>
                <w:rFonts w:ascii="游ゴシック" w:hAnsi="游ゴシック" w:eastAsia="游ゴシック"/>
                <w:b/>
                <w:sz w:val="17"/>
              </w:rPr>
              <w:t>第10期の対応</w:t>
            </w:r>
          </w:p>
        </w:tc>
      </w:tr>
      <w:tr>
        <w:trPr>
          <w:cantSplit/>
        </w:trP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rPr>
          <w:cantSplit/>
        </w:trP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rPr>
          <w:cantSplit/>
        </w:trP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rPr>
          <w:cantSplit/>
        </w:trP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rPr>
          <w:cantSplit/>
        </w:trP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rPr>
          <w:cantSplit/>
        </w:trP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67"/>
            <w:shd w:val="clear" w:color="auto" w:fill="DCE6F1"/>
          </w:tcPr>
          <w:p>
            <w:pPr>
              <w:spacing w:before="0"/>
              <w:jc w:val="center"/>
            </w:pPr>
            <w:r/>
            <w:r>
              <w:rPr>
                <w:rFonts w:ascii="游ゴシック" w:hAnsi="游ゴシック" w:eastAsia="游ゴシック"/>
                <w:b/>
                <w:sz w:val="17"/>
              </w:rPr>
              <w:t>第9期の課題</w:t>
            </w:r>
          </w:p>
        </w:tc>
        <w:tc>
          <w:tcPr>
            <w:tcW w:type="dxa" w:w="3575"/>
            <w:shd w:val="clear" w:color="auto" w:fill="DCE6F1"/>
          </w:tcPr>
          <w:p>
            <w:pPr>
              <w:jc w:val="center"/>
            </w:pPr>
            <w:r/>
            <w:r>
              <w:rPr>
                <w:rFonts w:ascii="游ゴシック" w:hAnsi="游ゴシック" w:eastAsia="游ゴシック"/>
                <w:b/>
                <w:sz w:val="17"/>
              </w:rPr>
              <w:t>第10期の修正</w:t>
            </w:r>
          </w:p>
        </w:tc>
        <w:tc>
          <w:tcPr>
            <w:tcW w:type="dxa" w:w="2167"/>
            <w:shd w:val="clear" w:color="auto" w:fill="DCE6F1"/>
          </w:tcPr>
          <w:p>
            <w:pPr>
              <w:jc w:val="center"/>
            </w:pPr>
            <w:r/>
            <w:r>
              <w:rPr>
                <w:rFonts w:ascii="游ゴシック" w:hAnsi="游ゴシック" w:eastAsia="游ゴシック"/>
                <w:b/>
                <w:sz w:val="17"/>
              </w:rPr>
              <w:t>確認方法</w:t>
            </w:r>
          </w:p>
        </w:tc>
        <w:tc>
          <w:tcPr>
            <w:tcW w:type="dxa" w:w="1842"/>
            <w:shd w:val="clear" w:color="auto" w:fill="DCE6F1"/>
          </w:tcPr>
          <w:p>
            <w:pPr>
              <w:jc w:val="center"/>
            </w:pPr>
            <w:r/>
            <w:r>
              <w:rPr>
                <w:rFonts w:ascii="游ゴシック" w:hAnsi="游ゴシック" w:eastAsia="游ゴシック"/>
                <w:b/>
                <w:sz w:val="17"/>
              </w:rPr>
              <w:t>反映先</w:t>
            </w:r>
          </w:p>
        </w:tc>
      </w:tr>
      <w:tr>
        <w:trPr>
          <w:cantSplit/>
        </w:trP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rPr>
          <w:cantSplit/>
        </w:trP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rPr>
          <w:cantSplit/>
        </w:trP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rPr>
          <w:cantSplit/>
        </w:trP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rPr>
          <w:cantSplit/>
        </w:trP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rPr>
          <w:cantSplit/>
        </w:trP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rPr>
          <w:cantSplit/>
        </w:trP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rPr>
          <w:cantSplit/>
        </w:trP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pPr>
        <w:spacing w:after="160" w:line="269" w:lineRule="auto"/>
      </w:pPr>
      <w:r>
        <w:rPr>
          <w:rFonts w:ascii="游ゴシック" w:hAnsi="游ゴシック" w:eastAsia="游ゴシック"/>
          <w:b w:val="0"/>
          <w:sz w:val="17"/>
        </w:rPr>
        <w:t>注）保険者機能強化推進交付金等の評価について、本章では公表されている評価指標及び全国集計の値によっています。得点が0である項目について、取組がないのか、取組はあるが要件を満たさないのか、又は該当状況調査において報告していないのかは、公表されている資料からは判別できません。第10期の施策に位置づけるかどうかは取組の必要性から判断するものであり、得点のみを理由とするものではありません［要確認］。</w:t>
        <w:br/>
        <w:t>注）本章で用いている得点は、令和6年度分から令和8年度分までの評価指標による評価結果です。各年度の評価は、その前々年度頃までの実施状況を対象とする該当状況調査によっているため、令和6年度分の評価は第8期の取組を反映したものです。第9期の取組は令和7年度分及び令和8年度分の評価に表れます。評価の年度と取組の年度は一致しません。</w:t>
        <w:br/>
        <w:t>注）令和7年度に成果指向型配分枠が新設され、令和8年度の評価指標では該当状況調査において同枠の分も併せて実施する予定とされています。構成3町の回答の状況を確認できていないため、本計画では同枠を施策に位置づけていません。確認できた時点で、第5章の取組に加えるかどうかを判断します［要確認］。</w:t>
      </w:r>
    </w:p>
    <w:p>
      <w:r>
        <w:br w:type="page"/>
      </w:r>
    </w:p>
    <w:p>
      <w:pPr>
        <w:pStyle w:val="Heading1"/>
        <w:spacing w:before="240" w:after="100"/>
      </w:pPr>
      <w:bookmarkStart w:id="125" w:name="_Toc10_025"/>
      <w:r>
        <w:rPr>
          <w:rFonts w:ascii="游ゴシック" w:hAnsi="游ゴシック" w:eastAsia="游ゴシック"/>
          <w:sz w:val="30"/>
        </w:rPr>
        <w:t>第4章　計画の基本理念及び基本目標</w:t>
      </w:r>
      <w:bookmarkEnd w:id="125"/>
    </w:p>
    <w:p>
      <w:pPr>
        <w:pStyle w:val="Heading2"/>
        <w:spacing w:before="180" w:after="10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1863"/>
            <w:shd w:val="clear" w:color="auto" w:fill="DCE6F1"/>
          </w:tcPr>
          <w:p>
            <w:pPr>
              <w:spacing w:before="0"/>
              <w:jc w:val="center"/>
            </w:pPr>
            <w:r/>
            <w:r>
              <w:rPr>
                <w:rFonts w:ascii="游ゴシック" w:hAnsi="游ゴシック" w:eastAsia="游ゴシック"/>
                <w:b/>
                <w:sz w:val="22"/>
              </w:rPr>
              <w:t>基本理念</w:t>
            </w:r>
          </w:p>
        </w:tc>
        <w:tc>
          <w:tcPr>
            <w:tcW w:type="dxa" w:w="7889"/>
            <w:shd w:val="clear" w:color="auto" w:fill="DCE6F1"/>
          </w:tcPr>
          <w:p>
            <w:pPr>
              <w:jc w:val="center"/>
            </w:pPr>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戦略</w:t>
            </w:r>
          </w:p>
        </w:tc>
        <w:tc>
          <w:tcPr>
            <w:tcW w:type="dxa" w:w="2958"/>
            <w:shd w:val="clear" w:color="auto" w:fill="DCE6F1"/>
          </w:tcPr>
          <w:p>
            <w:pPr>
              <w:jc w:val="center"/>
            </w:pPr>
            <w:r/>
            <w:r>
              <w:rPr>
                <w:rFonts w:ascii="游ゴシック" w:hAnsi="游ゴシック" w:eastAsia="游ゴシック"/>
                <w:b/>
                <w:sz w:val="17"/>
              </w:rPr>
              <w:t>目指す状態</w:t>
            </w:r>
          </w:p>
        </w:tc>
        <w:tc>
          <w:tcPr>
            <w:tcW w:type="dxa" w:w="4930"/>
            <w:shd w:val="clear" w:color="auto" w:fill="DCE6F1"/>
          </w:tcPr>
          <w:p>
            <w:pPr>
              <w:jc w:val="center"/>
            </w:pPr>
            <w:r/>
            <w:r>
              <w:rPr>
                <w:rFonts w:ascii="游ゴシック" w:hAnsi="游ゴシック" w:eastAsia="游ゴシック"/>
                <w:b/>
                <w:sz w:val="17"/>
              </w:rPr>
              <w:t>主な手段</w:t>
            </w:r>
          </w:p>
        </w:tc>
      </w:tr>
      <w:tr>
        <w:trPr>
          <w:cantSplit/>
        </w:trP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rPr>
          <w:cantSplit/>
        </w:trP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rPr>
          <w:cantSplit/>
        </w:trP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rPr>
          <w:cantSplit/>
        </w:trP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3506"/>
            <w:shd w:val="clear" w:color="auto" w:fill="DCE6F1"/>
          </w:tcPr>
          <w:p>
            <w:pPr>
              <w:jc w:val="center"/>
            </w:pPr>
            <w:r/>
            <w:r>
              <w:rPr>
                <w:rFonts w:ascii="游ゴシック" w:hAnsi="游ゴシック" w:eastAsia="游ゴシック"/>
                <w:b/>
                <w:sz w:val="17"/>
              </w:rPr>
              <w:t>基本目標</w:t>
            </w:r>
          </w:p>
        </w:tc>
        <w:tc>
          <w:tcPr>
            <w:tcW w:type="dxa" w:w="4821"/>
            <w:shd w:val="clear" w:color="auto" w:fill="DCE6F1"/>
          </w:tcPr>
          <w:p>
            <w:pPr>
              <w:jc w:val="center"/>
            </w:pPr>
            <w:r/>
            <w:r>
              <w:rPr>
                <w:rFonts w:ascii="游ゴシック" w:hAnsi="游ゴシック" w:eastAsia="游ゴシック"/>
                <w:b/>
                <w:sz w:val="17"/>
              </w:rPr>
              <w:t>目指す成果</w:t>
            </w:r>
          </w:p>
        </w:tc>
      </w:tr>
      <w:tr>
        <w:trPr>
          <w:cantSplit/>
        </w:trP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rPr>
          <w:cantSplit/>
        </w:trP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rPr>
          <w:cantSplit/>
        </w:trP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rPr>
          <w:cantSplit/>
        </w:trP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rPr>
          <w:cantSplit/>
        </w:trP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180" w:after="100"/>
      </w:pPr>
      <w:bookmarkStart w:id="128" w:name="_Toc10_028"/>
      <w:r>
        <w:rPr>
          <w:rFonts w:ascii="游ゴシック" w:hAnsi="游ゴシック" w:eastAsia="游ゴシック"/>
          <w:sz w:val="25"/>
        </w:rPr>
        <w:t>第3節 施策の体系と成果指標</w:t>
      </w:r>
      <w:bookmarkEnd w:id="128"/>
    </w:p>
    <w:p>
      <w:pPr>
        <w:spacing w:after="80" w:line="269" w:lineRule="auto"/>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2364"/>
            <w:shd w:val="clear" w:color="auto" w:fill="DCE6F1"/>
          </w:tcPr>
          <w:p>
            <w:pPr>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領域</w:t>
            </w:r>
          </w:p>
        </w:tc>
        <w:tc>
          <w:tcPr>
            <w:tcW w:type="dxa" w:w="1773"/>
            <w:shd w:val="clear" w:color="auto" w:fill="DCE6F1"/>
          </w:tcPr>
          <w:p>
            <w:pPr>
              <w:jc w:val="center"/>
            </w:pPr>
            <w:r/>
            <w:r>
              <w:rPr>
                <w:rFonts w:ascii="游ゴシック" w:hAnsi="游ゴシック" w:eastAsia="游ゴシック"/>
                <w:b/>
                <w:sz w:val="17"/>
              </w:rPr>
              <w:t>データ源</w:t>
            </w:r>
          </w:p>
        </w:tc>
        <w:tc>
          <w:tcPr>
            <w:tcW w:type="dxa" w:w="886"/>
            <w:shd w:val="clear" w:color="auto" w:fill="DCE6F1"/>
          </w:tcPr>
          <w:p>
            <w:pPr>
              <w:jc w:val="center"/>
            </w:pPr>
            <w:r/>
            <w:r>
              <w:rPr>
                <w:rFonts w:ascii="游ゴシック" w:hAnsi="游ゴシック" w:eastAsia="游ゴシック"/>
                <w:b/>
                <w:sz w:val="17"/>
              </w:rPr>
              <w:t>確保</w:t>
            </w:r>
          </w:p>
        </w:tc>
        <w:tc>
          <w:tcPr>
            <w:tcW w:type="dxa" w:w="1477"/>
            <w:shd w:val="clear" w:color="auto" w:fill="DCE6F1"/>
          </w:tcPr>
          <w:p>
            <w:pPr>
              <w:jc w:val="center"/>
            </w:pPr>
            <w:r/>
            <w:r>
              <w:rPr>
                <w:rFonts w:ascii="游ゴシック" w:hAnsi="游ゴシック" w:eastAsia="游ゴシック"/>
                <w:b/>
                <w:sz w:val="17"/>
              </w:rPr>
              <w:t>基準値</w:t>
            </w:r>
          </w:p>
        </w:tc>
        <w:tc>
          <w:tcPr>
            <w:tcW w:type="dxa" w:w="1576"/>
            <w:shd w:val="clear" w:color="auto" w:fill="DCE6F1"/>
          </w:tcPr>
          <w:p>
            <w:pPr>
              <w:jc w:val="center"/>
            </w:pPr>
            <w:r/>
            <w:r>
              <w:rPr>
                <w:rFonts w:ascii="游ゴシック" w:hAnsi="游ゴシック" w:eastAsia="游ゴシック"/>
                <w:b/>
                <w:sz w:val="17"/>
              </w:rPr>
              <w:t>R11目標</w:t>
            </w:r>
          </w:p>
        </w:tc>
      </w:tr>
      <w:tr>
        <w:trPr>
          <w:cantSplit/>
        </w:trP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rPr>
          <w:cantSplit/>
        </w:trP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介護リームス（認定台帳の新規認定者数）</w:t>
            </w:r>
          </w:p>
        </w:tc>
        <w:tc>
          <w:tcPr>
            <w:tcW w:type="dxa" w:w="886"/>
          </w:tcPr>
          <w:p>
            <w:r/>
            <w:r>
              <w:rPr>
                <w:rFonts w:ascii="游ゴシック" w:hAnsi="游ゴシック" w:eastAsia="游ゴシック"/>
                <w:sz w:val="17"/>
              </w:rPr>
              <w:t>要確認（年齢階級別及び過年度分の抽出）</w:t>
            </w:r>
          </w:p>
        </w:tc>
        <w:tc>
          <w:tcPr>
            <w:tcW w:type="dxa" w:w="1477"/>
          </w:tcPr>
          <w:p>
            <w:r/>
            <w:r>
              <w:rPr>
                <w:rFonts w:ascii="游ゴシック" w:hAnsi="游ゴシック" w:eastAsia="游ゴシック"/>
                <w:sz w:val="17"/>
              </w:rPr>
              <w:t>未算定（年齢階級別及び過年度分の抽出が可能となった時点で算定）</w:t>
            </w:r>
          </w:p>
        </w:tc>
        <w:tc>
          <w:tcPr>
            <w:tcW w:type="dxa" w:w="1576"/>
          </w:tcPr>
          <w:p>
            <w:r/>
            <w:r>
              <w:rPr>
                <w:rFonts w:ascii="游ゴシック" w:hAnsi="游ゴシック" w:eastAsia="游ゴシック"/>
                <w:sz w:val="17"/>
              </w:rPr>
              <w:t>―</w:t>
            </w:r>
          </w:p>
        </w:tc>
      </w:tr>
      <w:tr>
        <w:trPr>
          <w:cantSplit/>
        </w:trP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19.1％（R7・n=4,719）</w:t>
            </w:r>
          </w:p>
        </w:tc>
        <w:tc>
          <w:tcPr>
            <w:tcW w:type="dxa" w:w="1576"/>
          </w:tcPr>
          <w:p>
            <w:r/>
            <w:r>
              <w:rPr>
                <w:rFonts w:ascii="游ゴシック" w:hAnsi="游ゴシック" w:eastAsia="游ゴシック"/>
                <w:sz w:val="17"/>
              </w:rPr>
              <w:t>有意な改善又は水準の維持</w:t>
            </w:r>
          </w:p>
        </w:tc>
      </w:tr>
      <w:tr>
        <w:trPr>
          <w:cantSplit/>
        </w:trP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在宅生活改善調査（在宅生活の維持の見通し）</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73.5％（R7・有効回答98票中72票）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在宅生活改善調査（より適切と思われるサービス）</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20.2％（R7・99票中20票）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要確認（在籍者数の時点及び北海道の評価指標⑥の団体別の値）</w:t>
            </w:r>
          </w:p>
        </w:tc>
        <w:tc>
          <w:tcPr>
            <w:tcW w:type="dxa" w:w="1477"/>
          </w:tcPr>
          <w:p>
            <w:r/>
            <w:r>
              <w:rPr>
                <w:rFonts w:ascii="游ゴシック" w:hAnsi="游ゴシック" w:eastAsia="游ゴシック"/>
                <w:sz w:val="17"/>
              </w:rPr>
              <w:t>未算定（各年9月30日現在の在籍者数を確認後に算定）</w:t>
            </w:r>
          </w:p>
        </w:tc>
        <w:tc>
          <w:tcPr>
            <w:tcW w:type="dxa" w:w="1576"/>
          </w:tcPr>
          <w:p>
            <w:r/>
            <w:r>
              <w:rPr>
                <w:rFonts w:ascii="游ゴシック" w:hAnsi="游ゴシック" w:eastAsia="游ゴシック"/>
                <w:sz w:val="17"/>
              </w:rPr>
              <w:t>―（団体別の値を引用できる場合に設定）</w:t>
            </w:r>
          </w:p>
        </w:tc>
      </w:tr>
      <w:tr>
        <w:trPr>
          <w:cantSplit/>
        </w:trP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介護保険特別会計決算／計画の標準給付費見込額</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▲4.61％（標準給付費見込額ベース）／R7は決算の確定後に算定</w:t>
            </w:r>
          </w:p>
        </w:tc>
        <w:tc>
          <w:tcPr>
            <w:tcW w:type="dxa" w:w="1576"/>
          </w:tcPr>
          <w:p>
            <w:r/>
            <w:r>
              <w:rPr>
                <w:rFonts w:ascii="游ゴシック" w:hAnsi="游ゴシック" w:eastAsia="游ゴシック"/>
                <w:sz w:val="17"/>
              </w:rPr>
              <w:t>±5％以内</w:t>
            </w:r>
          </w:p>
        </w:tc>
      </w:tr>
      <w:tr>
        <w:trPr>
          <w:cantSplit/>
        </w:trP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業務継続計画の策定を確認した地域密着型サービス事業所の割合（改称）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広域連合の指定・運営指導の記録</w:t>
            </w:r>
          </w:p>
        </w:tc>
        <w:tc>
          <w:tcPr>
            <w:tcW w:type="dxa" w:w="886"/>
          </w:tcPr>
          <w:p>
            <w:r/>
            <w:r>
              <w:rPr>
                <w:rFonts w:ascii="游ゴシック" w:hAnsi="游ゴシック" w:eastAsia="游ゴシック"/>
                <w:sz w:val="17"/>
              </w:rPr>
              <w:t>確保（広域連合の事務により把握できる）</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line="269" w:lineRule="auto"/>
        <w:jc w:val="right"/>
      </w:pPr>
      <w:r>
        <w:rPr>
          <w:rFonts w:ascii="游ゴシック" w:hAnsi="游ゴシック" w:eastAsia="游ゴシック"/>
          <w:b w:val="0"/>
          <w:sz w:val="16"/>
        </w:rPr>
        <w:t>資料：本計画 資料1（代表KPI16項目の定義）による</w:t>
      </w:r>
    </w:p>
    <w:p>
      <w:pPr>
        <w:spacing w:after="160" w:line="269" w:lineRule="auto"/>
      </w:pPr>
      <w:r>
        <w:rPr>
          <w:rFonts w:ascii="游ゴシック" w:hAnsi="游ゴシック" w:eastAsia="游ゴシック"/>
          <w:b w:val="0"/>
          <w:sz w:val="17"/>
        </w:rPr>
        <w:t>H03（75歳以上新規認定率）は、認定台帳を管理する情報システムから新規認定者数を抽出して算定するものです。年齢階級別の抽出及び過年度（令和4年度まで）に遡る抽出が可能であることを確認できていないため、基準値及び第9期中の推移を算定していません［要確認］。抽出が可能となった時点で算定し、要因分析に用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【第9期の目標指標との接続】</w:t>
      </w:r>
    </w:p>
    <w:p>
      <w:pPr>
        <w:spacing w:after="80" w:line="269" w:lineRule="auto"/>
      </w:pPr>
      <w:r>
        <w:rPr>
          <w:rFonts w:ascii="游ゴシック" w:hAnsi="游ゴシック" w:eastAsia="游ゴシック"/>
          <w:b w:val="0"/>
          <w:sz w:val="20"/>
        </w:rPr>
        <w:t>第10期の代表KPIは、第9期計画の目標指標を引き継いだうえで、定義、算式及びデータ源を確定したものです。第9期の指標に代えて別の指標を新たに起こしたものはありません。算定できないことが確認された4項目は代理指標へ振り替え、2項目は定義を改めています（次の2項）。改称又は定義の変更を伴うものは第9期の定義による系列と接続しないため、第10期の基準値から改めて測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【H07・H08・H12・H16の振替について】</w:t>
      </w:r>
    </w:p>
    <w:p>
      <w:pPr>
        <w:spacing w:after="80" w:line="269" w:lineRule="auto"/>
      </w:pPr>
      <w:r>
        <w:rPr>
          <w:rFonts w:ascii="游ゴシック" w:hAnsi="游ゴシック" w:eastAsia="游ゴシック"/>
          <w:b w:val="0"/>
          <w:sz w:val="20"/>
        </w:rPr>
        <w:t>当初の整理では、H07・H08・H12・H16の4項目を「算定不可」としていました。データ源として在宅介護実態調査又は事業所を対象とする調査を想定していましたが、当広域連合はいずれも実施していないためです。実施済みの調査及び給付実績を精査した結果、4項目とも代理指標により算定できることが確認できました。いずれも削除する必要はありません。</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1970"/>
            <w:shd w:val="clear" w:color="auto" w:fill="DCE6F1"/>
          </w:tcPr>
          <w:p>
            <w:pPr>
              <w:jc w:val="center"/>
            </w:pPr>
            <w:r/>
            <w:r>
              <w:rPr>
                <w:rFonts w:ascii="游ゴシック" w:hAnsi="游ゴシック" w:eastAsia="游ゴシック"/>
                <w:b/>
                <w:sz w:val="17"/>
              </w:rPr>
              <w:t>当初の定義</w:t>
            </w:r>
          </w:p>
        </w:tc>
        <w:tc>
          <w:tcPr>
            <w:tcW w:type="dxa" w:w="2462"/>
            <w:shd w:val="clear" w:color="auto" w:fill="DCE6F1"/>
          </w:tcPr>
          <w:p>
            <w:pPr>
              <w:jc w:val="center"/>
            </w:pPr>
            <w:r/>
            <w:r>
              <w:rPr>
                <w:rFonts w:ascii="游ゴシック" w:hAnsi="游ゴシック" w:eastAsia="游ゴシック"/>
                <w:b/>
                <w:sz w:val="17"/>
              </w:rPr>
              <w:t>振替後の定義</w:t>
            </w:r>
          </w:p>
        </w:tc>
        <w:tc>
          <w:tcPr>
            <w:tcW w:type="dxa" w:w="1379"/>
            <w:shd w:val="clear" w:color="auto" w:fill="DCE6F1"/>
          </w:tcPr>
          <w:p>
            <w:pPr>
              <w:jc w:val="center"/>
            </w:pPr>
            <w:r/>
            <w:r>
              <w:rPr>
                <w:rFonts w:ascii="游ゴシック" w:hAnsi="游ゴシック" w:eastAsia="游ゴシック"/>
                <w:b/>
                <w:sz w:val="17"/>
              </w:rPr>
              <w:t>基準値</w:t>
            </w:r>
          </w:p>
        </w:tc>
        <w:tc>
          <w:tcPr>
            <w:tcW w:type="dxa" w:w="3349"/>
            <w:shd w:val="clear" w:color="auto" w:fill="DCE6F1"/>
          </w:tcPr>
          <w:p>
            <w:pPr>
              <w:jc w:val="center"/>
            </w:pPr>
            <w:r/>
            <w:r>
              <w:rPr>
                <w:rFonts w:ascii="游ゴシック" w:hAnsi="游ゴシック" w:eastAsia="游ゴシック"/>
                <w:b/>
                <w:sz w:val="17"/>
              </w:rPr>
              <w:t>留意点</w:t>
            </w:r>
          </w:p>
        </w:tc>
      </w:tr>
      <w:tr>
        <w:trPr>
          <w:cantSplit/>
        </w:trPr>
        <w:tc>
          <w:tcPr>
            <w:tcW w:type="dxa" w:w="591"/>
          </w:tcPr>
          <w:p>
            <w:r/>
            <w:r>
              <w:rPr>
                <w:rFonts w:ascii="游ゴシック" w:hAnsi="游ゴシック" w:eastAsia="游ゴシック"/>
                <w:sz w:val="17"/>
              </w:rPr>
              <w:t>H07</w:t>
            </w:r>
          </w:p>
        </w:tc>
        <w:tc>
          <w:tcPr>
            <w:tcW w:type="dxa" w:w="1970"/>
          </w:tcPr>
          <w:p>
            <w:r/>
            <w:r>
              <w:rPr>
                <w:rFonts w:ascii="游ゴシック" w:hAnsi="游ゴシック" w:eastAsia="游ゴシック"/>
                <w:sz w:val="17"/>
              </w:rPr>
              <w:t>主介護者の高負担割合</w:t>
            </w:r>
          </w:p>
        </w:tc>
        <w:tc>
          <w:tcPr>
            <w:tcW w:type="dxa" w:w="2462"/>
          </w:tcPr>
          <w:p>
            <w:r/>
            <w:r>
              <w:rPr>
                <w:rFonts w:ascii="游ゴシック" w:hAnsi="游ゴシック" w:eastAsia="游ゴシック"/>
                <w:sz w:val="17"/>
              </w:rPr>
              <w:t>主に介護をしている者の割合</w:t>
            </w:r>
          </w:p>
        </w:tc>
        <w:tc>
          <w:tcPr>
            <w:tcW w:type="dxa" w:w="1379"/>
          </w:tcPr>
          <w:p>
            <w:r/>
            <w:r>
              <w:rPr>
                <w:rFonts w:ascii="游ゴシック" w:hAnsi="游ゴシック" w:eastAsia="游ゴシック"/>
                <w:sz w:val="17"/>
              </w:rPr>
              <w:t>3.4％（R7・n=2,217）</w:t>
            </w:r>
          </w:p>
        </w:tc>
        <w:tc>
          <w:tcPr>
            <w:tcW w:type="dxa" w:w="3349"/>
          </w:tcPr>
          <w:p>
            <w:r/>
            <w:r>
              <w:rPr>
                <w:rFonts w:ascii="游ゴシック" w:hAnsi="游ゴシック" w:eastAsia="游ゴシック"/>
                <w:sz w:val="17"/>
              </w:rPr>
              <w:t>測るものが「負担感」から「主介護者であること」に変わるため、指標名を改めます</w:t>
            </w:r>
          </w:p>
        </w:tc>
      </w:tr>
      <w:tr>
        <w:trPr>
          <w:cantSplit/>
        </w:trPr>
        <w:tc>
          <w:tcPr>
            <w:tcW w:type="dxa" w:w="591"/>
          </w:tcPr>
          <w:p>
            <w:r/>
            <w:r>
              <w:rPr>
                <w:rFonts w:ascii="游ゴシック" w:hAnsi="游ゴシック" w:eastAsia="游ゴシック"/>
                <w:sz w:val="17"/>
              </w:rPr>
              <w:t>H08</w:t>
            </w:r>
          </w:p>
        </w:tc>
        <w:tc>
          <w:tcPr>
            <w:tcW w:type="dxa" w:w="1970"/>
          </w:tcPr>
          <w:p>
            <w:r/>
            <w:r>
              <w:rPr>
                <w:rFonts w:ascii="游ゴシック" w:hAnsi="游ゴシック" w:eastAsia="游ゴシック"/>
                <w:sz w:val="17"/>
              </w:rPr>
              <w:t>介護離職懸念・就労継続困難割合</w:t>
            </w:r>
          </w:p>
        </w:tc>
        <w:tc>
          <w:tcPr>
            <w:tcW w:type="dxa" w:w="2462"/>
          </w:tcPr>
          <w:p>
            <w:r/>
            <w:r>
              <w:rPr>
                <w:rFonts w:ascii="游ゴシック" w:hAnsi="游ゴシック" w:eastAsia="游ゴシック"/>
                <w:sz w:val="17"/>
              </w:rPr>
              <w:t>世話をしてくれる人がいない者の割合</w:t>
            </w:r>
          </w:p>
        </w:tc>
        <w:tc>
          <w:tcPr>
            <w:tcW w:type="dxa" w:w="1379"/>
          </w:tcPr>
          <w:p>
            <w:r/>
            <w:r>
              <w:rPr>
                <w:rFonts w:ascii="游ゴシック" w:hAnsi="游ゴシック" w:eastAsia="游ゴシック"/>
                <w:sz w:val="17"/>
              </w:rPr>
              <w:t>8.7％（R7・n=4,599）</w:t>
            </w:r>
          </w:p>
        </w:tc>
        <w:tc>
          <w:tcPr>
            <w:tcW w:type="dxa" w:w="3349"/>
          </w:tcPr>
          <w:p>
            <w:r/>
            <w:r>
              <w:rPr>
                <w:rFonts w:ascii="游ゴシック" w:hAnsi="游ゴシック" w:eastAsia="游ゴシック"/>
                <w:sz w:val="17"/>
              </w:rPr>
              <w:t>測るものが「介護離職の懸念」から「担い手の不在」に変わります。独居者では32.4％です</w:t>
            </w:r>
          </w:p>
        </w:tc>
      </w:tr>
      <w:tr>
        <w:trPr>
          <w:cantSplit/>
        </w:trPr>
        <w:tc>
          <w:tcPr>
            <w:tcW w:type="dxa" w:w="591"/>
          </w:tcPr>
          <w:p>
            <w:r/>
            <w:r>
              <w:rPr>
                <w:rFonts w:ascii="游ゴシック" w:hAnsi="游ゴシック" w:eastAsia="游ゴシック"/>
                <w:sz w:val="17"/>
              </w:rPr>
              <w:t>H12</w:t>
            </w:r>
          </w:p>
        </w:tc>
        <w:tc>
          <w:tcPr>
            <w:tcW w:type="dxa" w:w="1970"/>
          </w:tcPr>
          <w:p>
            <w:r/>
            <w:r>
              <w:rPr>
                <w:rFonts w:ascii="游ゴシック" w:hAnsi="游ゴシック" w:eastAsia="游ゴシック"/>
                <w:sz w:val="17"/>
              </w:rPr>
              <w:t>区域内に事業所がないサービスを</w:t>
              <w:br/>
              <w:t>より適切と回答した割合</w:t>
              <w:br/>
              <w:t>（必要サービス未充足の代理指標）</w:t>
            </w:r>
          </w:p>
        </w:tc>
        <w:tc>
          <w:tcPr>
            <w:tcW w:type="dxa" w:w="2462"/>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1379"/>
          </w:tcPr>
          <w:p>
            <w:r/>
            <w:r>
              <w:rPr>
                <w:rFonts w:ascii="游ゴシック" w:hAnsi="游ゴシック" w:eastAsia="游ゴシック"/>
                <w:sz w:val="17"/>
              </w:rPr>
              <w:t>20.2％（R7・99票中20票）</w:t>
            </w:r>
          </w:p>
        </w:tc>
        <w:tc>
          <w:tcPr>
            <w:tcW w:type="dxa" w:w="3349"/>
          </w:tcPr>
          <w:p>
            <w:r/>
            <w:r>
              <w:rPr>
                <w:rFonts w:ascii="游ゴシック" w:hAnsi="游ゴシック" w:eastAsia="游ゴシック"/>
                <w:sz w:val="17"/>
              </w:rPr>
              <w:t>在宅生活改善調査から新たに定義した代理指標です。母集団は事業所が在宅生活の継続に課題があると判断した利用者であり、在宅利用者全体の未充足率でも、事業所側の受入不能率でもありません。整備方針を検討する参考情報の一つとして扱い、整備の可否は給付実績・町外利用・待機・事業者の参入意向・人員確保・利用意向・費用影響を併せて判断します</w:t>
            </w:r>
          </w:p>
        </w:tc>
      </w:tr>
      <w:tr>
        <w:trPr>
          <w:cantSplit/>
        </w:trPr>
        <w:tc>
          <w:tcPr>
            <w:tcW w:type="dxa" w:w="591"/>
          </w:tcPr>
          <w:p>
            <w:r/>
            <w:r>
              <w:rPr>
                <w:rFonts w:ascii="游ゴシック" w:hAnsi="游ゴシック" w:eastAsia="游ゴシック"/>
                <w:sz w:val="17"/>
              </w:rPr>
              <w:t>H16</w:t>
            </w:r>
          </w:p>
        </w:tc>
        <w:tc>
          <w:tcPr>
            <w:tcW w:type="dxa" w:w="1970"/>
          </w:tcPr>
          <w:p>
            <w:r/>
            <w:r>
              <w:rPr>
                <w:rFonts w:ascii="游ゴシック" w:hAnsi="游ゴシック" w:eastAsia="游ゴシック"/>
                <w:sz w:val="17"/>
              </w:rPr>
              <w:t>災害・感染症時の必須サービス継続率</w:t>
            </w:r>
          </w:p>
        </w:tc>
        <w:tc>
          <w:tcPr>
            <w:tcW w:type="dxa" w:w="2462"/>
          </w:tcPr>
          <w:p>
            <w:r/>
            <w:r>
              <w:rPr>
                <w:rFonts w:ascii="游ゴシック" w:hAnsi="游ゴシック" w:eastAsia="游ゴシック"/>
                <w:sz w:val="17"/>
              </w:rPr>
              <w:t>業務継続計画の策定を確認した地域密着型サービス事業所の割合</w:t>
            </w:r>
          </w:p>
        </w:tc>
        <w:tc>
          <w:tcPr>
            <w:tcW w:type="dxa" w:w="1379"/>
          </w:tcPr>
          <w:p>
            <w:r/>
            <w:r>
              <w:rPr>
                <w:rFonts w:ascii="游ゴシック" w:hAnsi="游ゴシック" w:eastAsia="游ゴシック"/>
                <w:sz w:val="17"/>
              </w:rPr>
              <w:t>第10期に算定</w:t>
            </w:r>
          </w:p>
        </w:tc>
        <w:tc>
          <w:tcPr>
            <w:tcW w:type="dxa" w:w="3349"/>
          </w:tcPr>
          <w:p>
            <w:r/>
            <w:r>
              <w:rPr>
                <w:rFonts w:ascii="游ゴシック" w:hAnsi="游ゴシック" w:eastAsia="游ゴシック"/>
                <w:sz w:val="17"/>
              </w:rPr>
              <w:t>当初は業務継続計画未策定減算（令和6年度新設）の算定状況から把握する方法を予定していましたが、給付実績の明細（加算・減算の単位）が得られないため、指定、指定の更新又は運営指導の際の確認によります。対象は区域内の地域密着型サービス事業所17事業所（東川町4・美瑛町10・東神楽町3）です。災害・感染症が発生していないため、「継続率」ではなく「備えの整備率」です</w:t>
            </w:r>
          </w:p>
        </w:tc>
      </w:tr>
    </w:tbl>
    <w:p>
      <w:pPr>
        <w:spacing w:after="80" w:line="269" w:lineRule="auto"/>
      </w:pPr>
      <w:r>
        <w:rPr>
          <w:rFonts w:ascii="游ゴシック" w:hAnsi="游ゴシック" w:eastAsia="游ゴシック"/>
          <w:b w:val="0"/>
          <w:sz w:val="20"/>
        </w:rPr>
        <w:t>H12は、区域内に事業所が存在しない4サービス（夜間対応型訪問介護、定期巡回・随時対応型訪問介護看護、看護小規模多機能型居宅介護、介護医療院）を「より適切と思われるサービス」として1つ以上選んだ票の割合です。分母はこの設問の有効回答99票であり、要介護度の有効回答98票ではありません。</w:t>
      </w:r>
    </w:p>
    <w:p>
      <w:pPr>
        <w:spacing w:after="160" w:line="269" w:lineRule="auto"/>
      </w:pPr>
      <w:r>
        <w:rPr>
          <w:rFonts w:ascii="游ゴシック" w:hAnsi="游ゴシック" w:eastAsia="游ゴシック"/>
          <w:b w:val="0"/>
          <w:sz w:val="17"/>
        </w:rPr>
        <w:t>［要協議］4項目とも指標名の改称を伴います。改称により、第9期の定義による系列とは接続しません。また目標値は、H07を「水準の維持」、H16を「100％」とする案ですが、H08・H12は目標の方向（低下を目指すか、水準の維持か）の決定を要します。H12の町別の値は、利用者の居住地ではなく調査票を提出した事業所の所在地による区分となるため掲げ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【H13・H14の定義変更について】</w:t>
      </w:r>
    </w:p>
    <w:p>
      <w:pPr>
        <w:spacing w:after="80" w:line="269" w:lineRule="auto"/>
      </w:pPr>
      <w:r>
        <w:rPr>
          <w:rFonts w:ascii="游ゴシック" w:hAnsi="游ゴシック" w:eastAsia="游ゴシック"/>
          <w:b w:val="0"/>
          <w:sz w:val="20"/>
        </w:rPr>
        <w:t>当初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line="269" w:lineRule="auto"/>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ます。算定には採用者数、離職者数及び各年9月30日現在の在籍者数が必要ですが、介護人材実態調査は令和7年4月1日現在であり分母の時点が異なるため、現時点では未算定とし、各年9月30日現在の在籍者数を確認したうえで基準値を確定します。北海道が同じ算定方法で評価指標⑥を算定していますが、団体別の値を引用できる見通しが立たないため、H14は要因分析に用いる補完指標にとどめ、目標値を置き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【H15の分母について】</w:t>
      </w:r>
    </w:p>
    <w:p>
      <w:pPr>
        <w:spacing w:after="80" w:line="269" w:lineRule="auto"/>
      </w:pPr>
      <w:r>
        <w:rPr>
          <w:rFonts w:ascii="游ゴシック" w:hAnsi="游ゴシック" w:eastAsia="游ゴシック"/>
          <w:b w:val="0"/>
          <w:sz w:val="20"/>
        </w:rPr>
        <w:t>H15（給付費の計画乖離率）の分母は、計画の標準給付費見込額とします。計画の給付費には、総給付費と、これに高額介護サービス費、高額医療合算介護サービス費、特定入所者介護サービス費及び審査支払手数料を加えた標準給付費見込額の2つがあり、いずれを分母とするかにより乖離率が変わります。保険料は標準給付費見込額を基礎として算定されるため（第6章第6節）、計画期間を通じた財政運営の指標としては標準給付費見込額を分母とします。実績側は介護保険特別会計決算の保険給付費（款2）を用い、同じ範囲のものを比べ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年度</w:t>
            </w:r>
          </w:p>
        </w:tc>
        <w:tc>
          <w:tcPr>
            <w:tcW w:type="dxa" w:w="2739"/>
            <w:shd w:val="clear" w:color="auto" w:fill="DCE6F1"/>
          </w:tcPr>
          <w:p>
            <w:pPr>
              <w:jc w:val="center"/>
            </w:pPr>
            <w:r/>
            <w:r>
              <w:rPr>
                <w:rFonts w:ascii="游ゴシック" w:hAnsi="游ゴシック" w:eastAsia="游ゴシック"/>
                <w:b/>
                <w:sz w:val="17"/>
              </w:rPr>
              <w:t>計画の標準給付費見込額</w:t>
            </w:r>
          </w:p>
        </w:tc>
        <w:tc>
          <w:tcPr>
            <w:tcW w:type="dxa" w:w="2739"/>
            <w:shd w:val="clear" w:color="auto" w:fill="DCE6F1"/>
          </w:tcPr>
          <w:p>
            <w:pPr>
              <w:jc w:val="center"/>
            </w:pPr>
            <w:r/>
            <w:r>
              <w:rPr>
                <w:rFonts w:ascii="游ゴシック" w:hAnsi="游ゴシック" w:eastAsia="游ゴシック"/>
                <w:b/>
                <w:sz w:val="17"/>
              </w:rPr>
              <w:t>実績の保険給付費</w:t>
            </w:r>
          </w:p>
        </w:tc>
        <w:tc>
          <w:tcPr>
            <w:tcW w:type="dxa" w:w="2630"/>
            <w:shd w:val="clear" w:color="auto" w:fill="DCE6F1"/>
          </w:tcPr>
          <w:p>
            <w:pPr>
              <w:jc w:val="center"/>
            </w:pPr>
            <w:r/>
            <w:r>
              <w:rPr>
                <w:rFonts w:ascii="游ゴシック" w:hAnsi="游ゴシック" w:eastAsia="游ゴシック"/>
                <w:b/>
                <w:sz w:val="17"/>
              </w:rPr>
              <w:t>乖離率</w:t>
            </w:r>
          </w:p>
        </w:tc>
      </w:tr>
      <w:tr>
        <w:trPr>
          <w:cantSplit/>
        </w:trPr>
        <w:tc>
          <w:tcPr>
            <w:tcW w:type="dxa" w:w="1643"/>
          </w:tcPr>
          <w:p>
            <w:r/>
            <w:r>
              <w:rPr>
                <w:rFonts w:ascii="游ゴシック" w:hAnsi="游ゴシック" w:eastAsia="游ゴシック"/>
                <w:sz w:val="17"/>
              </w:rPr>
              <w:t>令和6年度</w:t>
            </w:r>
          </w:p>
        </w:tc>
        <w:tc>
          <w:tcPr>
            <w:tcW w:type="dxa" w:w="2739"/>
          </w:tcPr>
          <w:p>
            <w:r/>
            <w:r>
              <w:rPr>
                <w:rFonts w:ascii="游ゴシック" w:hAnsi="游ゴシック" w:eastAsia="游ゴシック"/>
                <w:sz w:val="17"/>
              </w:rPr>
              <w:t>3,127,780,210</w:t>
            </w:r>
          </w:p>
        </w:tc>
        <w:tc>
          <w:tcPr>
            <w:tcW w:type="dxa" w:w="2739"/>
          </w:tcPr>
          <w:p>
            <w:r/>
            <w:r>
              <w:rPr>
                <w:rFonts w:ascii="游ゴシック" w:hAnsi="游ゴシック" w:eastAsia="游ゴシック"/>
                <w:sz w:val="17"/>
              </w:rPr>
              <w:t>2,983,668,988</w:t>
            </w:r>
          </w:p>
        </w:tc>
        <w:tc>
          <w:tcPr>
            <w:tcW w:type="dxa" w:w="2630"/>
          </w:tcPr>
          <w:p>
            <w:r/>
            <w:r>
              <w:rPr>
                <w:rFonts w:ascii="游ゴシック" w:hAnsi="游ゴシック" w:eastAsia="游ゴシック"/>
                <w:sz w:val="17"/>
              </w:rPr>
              <w:t>▲4.61％</w:t>
            </w:r>
          </w:p>
        </w:tc>
      </w:tr>
      <w:tr>
        <w:trPr>
          <w:cantSplit/>
        </w:trPr>
        <w:tc>
          <w:tcPr>
            <w:tcW w:type="dxa" w:w="1643"/>
          </w:tcPr>
          <w:p>
            <w:r/>
            <w:r>
              <w:rPr>
                <w:rFonts w:ascii="游ゴシック" w:hAnsi="游ゴシック" w:eastAsia="游ゴシック"/>
                <w:sz w:val="17"/>
              </w:rPr>
              <w:t>令和7年度</w:t>
            </w:r>
          </w:p>
        </w:tc>
        <w:tc>
          <w:tcPr>
            <w:tcW w:type="dxa" w:w="2739"/>
          </w:tcPr>
          <w:p>
            <w:r/>
            <w:r>
              <w:rPr>
                <w:rFonts w:ascii="游ゴシック" w:hAnsi="游ゴシック" w:eastAsia="游ゴシック"/>
                <w:sz w:val="17"/>
              </w:rPr>
              <w:t>3,184,593,217</w:t>
            </w:r>
          </w:p>
        </w:tc>
        <w:tc>
          <w:tcPr>
            <w:tcW w:type="dxa" w:w="2739"/>
          </w:tcPr>
          <w:p>
            <w:r/>
            <w:r>
              <w:rPr>
                <w:rFonts w:ascii="游ゴシック" w:hAnsi="游ゴシック" w:eastAsia="游ゴシック"/>
                <w:sz w:val="17"/>
              </w:rPr>
              <w:t>［要確認］</w:t>
            </w:r>
          </w:p>
        </w:tc>
        <w:tc>
          <w:tcPr>
            <w:tcW w:type="dxa" w:w="2630"/>
          </w:tcPr>
          <w:p>
            <w:r/>
            <w:r>
              <w:rPr>
                <w:rFonts w:ascii="游ゴシック" w:hAnsi="游ゴシック" w:eastAsia="游ゴシック"/>
                <w:sz w:val="17"/>
              </w:rPr>
              <w:t>決算の確定後に算定します</w:t>
            </w:r>
          </w:p>
        </w:tc>
      </w:tr>
    </w:tbl>
    <w:p>
      <w:pPr>
        <w:spacing w:after="160" w:line="269" w:lineRule="auto"/>
        <w:jc w:val="right"/>
      </w:pPr>
      <w:r>
        <w:rPr>
          <w:rFonts w:ascii="游ゴシック" w:hAnsi="游ゴシック" w:eastAsia="游ゴシック"/>
          <w:b w:val="0"/>
          <w:sz w:val="17"/>
        </w:rPr>
        <w:t>資料：第9期介護保険事業計画、令和6年度大雪地区広域連合介護保険特別会計歳入歳出決算書</w:t>
      </w:r>
    </w:p>
    <w:p>
      <w:pPr>
        <w:spacing w:after="160" w:line="269" w:lineRule="auto"/>
      </w:pPr>
      <w:r>
        <w:rPr>
          <w:rFonts w:ascii="游ゴシック" w:hAnsi="游ゴシック" w:eastAsia="游ゴシック"/>
          <w:b w:val="0"/>
          <w:sz w:val="17"/>
        </w:rPr>
        <w:t>注）サービス種類別の見込量に対する実績の割合（対計画比）は、総給付費を基礎として算定します（第3章第3節）。総給付費ベースでは令和6年度▲3.66％・令和7年度▲2.17％であり、いずれの置き方でも第9期は目標の±5％以内です。</w:t>
      </w:r>
    </w:p>
    <w:p>
      <w:r>
        <w:br w:type="page"/>
      </w:r>
    </w:p>
    <w:p>
      <w:pPr>
        <w:pStyle w:val="Heading1"/>
        <w:spacing w:before="240" w:after="100"/>
      </w:pPr>
      <w:bookmarkStart w:id="129" w:name="_Toc10_029"/>
      <w:r>
        <w:rPr>
          <w:rFonts w:ascii="游ゴシック" w:hAnsi="游ゴシック" w:eastAsia="游ゴシック"/>
          <w:sz w:val="30"/>
        </w:rPr>
        <w:t>第5章　施策の展開</w:t>
      </w:r>
      <w:bookmarkEnd w:id="129"/>
    </w:p>
    <w:p>
      <w:pPr>
        <w:spacing w:after="80" w:line="269" w:lineRule="auto"/>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line="269" w:lineRule="auto"/>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180" w:after="100"/>
      </w:pPr>
      <w:bookmarkStart w:id="130" w:name="_Toc10_030"/>
      <w:r>
        <w:rPr>
          <w:rFonts w:ascii="游ゴシック" w:hAnsi="游ゴシック" w:eastAsia="游ゴシック"/>
          <w:sz w:val="25"/>
        </w:rPr>
        <w:t>基本目標1　地域包括ケア・相談・医療介護連携</w:t>
      </w:r>
      <w:bookmarkEnd w:id="130"/>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line="269" w:lineRule="auto"/>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line="269" w:lineRule="auto"/>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line="269" w:lineRule="auto"/>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line="269" w:lineRule="auto"/>
        <w:jc w:val="right"/>
      </w:pPr>
      <w:r>
        <w:rPr>
          <w:rFonts w:ascii="游ゴシック" w:hAnsi="游ゴシック" w:eastAsia="游ゴシック"/>
          <w:b w:val="0"/>
          <w:sz w:val="17"/>
        </w:rPr>
        <w:t>資料：地域包括ケア「見える化」システム G7（医師数。平成28年度）</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40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721"/>
            <w:shd w:val="clear" w:color="auto" w:fill="DCE6F1"/>
          </w:tcPr>
          <w:p>
            <w:pPr>
              <w:jc w:val="center"/>
            </w:pPr>
            <w:r/>
            <w:r>
              <w:rPr>
                <w:rFonts w:ascii="游ゴシック" w:hAnsi="游ゴシック" w:eastAsia="游ゴシック"/>
                <w:b/>
                <w:sz w:val="17"/>
              </w:rPr>
              <w:t>比較</w:t>
            </w:r>
          </w:p>
        </w:tc>
        <w:tc>
          <w:tcPr>
            <w:tcW w:type="dxa" w:w="1928"/>
            <w:shd w:val="clear" w:color="auto" w:fill="DCE6F1"/>
          </w:tcPr>
          <w:p>
            <w:pPr>
              <w:jc w:val="center"/>
            </w:pPr>
            <w:r/>
            <w:r>
              <w:rPr>
                <w:rFonts w:ascii="游ゴシック" w:hAnsi="游ゴシック" w:eastAsia="游ゴシック"/>
                <w:b/>
                <w:sz w:val="17"/>
              </w:rPr>
              <w:t>出典</w:t>
            </w:r>
          </w:p>
        </w:tc>
      </w:tr>
      <w:tr>
        <w:trPr>
          <w:cantSplit/>
        </w:trP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rPr>
          <w:cantSplit/>
        </w:trP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rPr>
          <w:cantSplit/>
        </w:trP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rPr>
          <w:cantSplit/>
        </w:trP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rPr>
          <w:cantSplit/>
        </w:trP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rPr>
          <w:cantSplit/>
        </w:trP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社会福祉法等の一部を改正する法律（令和8年法律第51号）により、地域ケア会議は、社会福祉法の支援会議、障害者総合支援法の支援協議会、住宅確保要配慮者に対する賃貸住宅の供給の促進に関する法律の支援協議会、生活困窮者自立支援法の支援会議その他の会議が組織され、又は置かれているときは、これらの会議と相互に連携を図るよう努めなければならないものとされました（第1章第9節2）。あわせて、会議の実施の一部を地域包括支援センターの設置者に委託することができることとされ、運営に当たり包括的支援事業との連携を図ることその他地域の住民の意見を反映させるために必要な措置を講ずるよう努めなければならないものとされました。他の法律に基づく会議の設置の状況は構成3町により異なるため、連携の方法及び住民の意見を反映させる方法を3町と協議して定めます［要協議］。</w:t>
      </w:r>
    </w:p>
    <w:p>
      <w:pPr>
        <w:pStyle w:val="ListBullet"/>
        <w:spacing w:after="40"/>
      </w:pPr>
      <w:r>
        <w:rPr>
          <w:rFonts w:ascii="游ゴシック" w:hAnsi="游ゴシック" w:eastAsia="游ゴシック"/>
          <w:sz w:val="20"/>
        </w:rPr>
        <w:t>虐待の初動、成年後見制度の利用、意思決定支援、消費者被害防止を一体で管理します。同法により、市町村は、高齢者及び障害者による成年後見制度又は権利擁護事業（包括的支援事業）等の適切な利用の支援のため、権利利益の擁護に係る支援に従事する者に対する相談・助言及び関係機関等との連絡調整等の事務の実施に努めるものとされ、中核的な役割を担う機関として地域権利擁護相談支援センターを設置することができることとされました（第1章第9節2）。3町の成年後見制度の利用の促進に関する計画との関係を整理し、センターの設置及び関係機関等による会議の組織について3町と協議して定めます［要協議］。</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ListBullet"/>
        <w:spacing w:after="40"/>
      </w:pPr>
      <w:r>
        <w:rPr>
          <w:rFonts w:ascii="游ゴシック" w:hAnsi="游ゴシック" w:eastAsia="游ゴシック"/>
          <w:sz w:val="20"/>
        </w:rPr>
        <w:t>医療と介護の関係者の間の情報共有について、国が構築する介護情報基盤を基礎とします（第1章第9節5）。介護情報基盤は、要介護認定情報、請求情報、ケアプラン等を本人、介護事業所及び医療機関等が電子的に閲覧できる仕組みであり、全国医療情報プラットフォームを通じて医療と介護の間の情報連携を行う基盤となるものです。令和10年4月1日の本格運用開始に向けて、構成3町の介護保険事務システムの標準化対応及びデータ移行を進めます。地域で独自に情報共有の手段を整えるのではなく、国の基盤により共有できる情報の範囲を確かめたうえで、基盤では共有されない情報について地域の手順を定めるという順序と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rPr>
          <w:cantSplit/>
        </w:trPr>
        <w:tc>
          <w:tcPr>
            <w:tcW w:type="dxa" w:w="3616"/>
          </w:tcPr>
          <w:p>
            <w:r/>
            <w:r>
              <w:rPr>
                <w:rFonts w:ascii="游ゴシック" w:hAnsi="游ゴシック" w:eastAsia="游ゴシック"/>
                <w:sz w:val="17"/>
              </w:rPr>
              <w:t>介護情報基盤の活用：介護保険事務システムの標準化対応、介護情報基盤へデータを送信するためのシステムの改修、介護保険事務システムから介護情報基盤へのデータ移行。居宅介護支援事業所・サービス事業所・医療機関への周知と、基盤により閲覧できる情報の範囲の共有</w:t>
            </w:r>
          </w:p>
        </w:tc>
        <w:tc>
          <w:tcPr>
            <w:tcW w:type="dxa" w:w="2958"/>
          </w:tcPr>
          <w:p>
            <w:r/>
            <w:r>
              <w:rPr>
                <w:rFonts w:ascii="游ゴシック" w:hAnsi="游ゴシック" w:eastAsia="游ゴシック"/>
                <w:sz w:val="17"/>
              </w:rPr>
              <w:t>標準化対応の完了 3町とも R9年度中（適合基準日 R9年1月1日）／データ移行の完了及び活用の開始 3町とも R10年3月まで／事業所・医療機関への周知 R9年度中</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―（第1章第9節5。本格運用開始日 令和10年4月1日）</w:t>
            </w:r>
          </w:p>
        </w:tc>
      </w:tr>
      <w:tr>
        <w:trPr>
          <w:cantSplit/>
        </w:trP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rPr>
          <w:cantSplit/>
        </w:trP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rPr>
          <w:cantSplit/>
        </w:trP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rPr>
          <w:cantSplit/>
        </w:trPr>
        <w:tc>
          <w:tcPr>
            <w:tcW w:type="dxa" w:w="3616"/>
          </w:tcPr>
          <w:p>
            <w:r/>
            <w:r>
              <w:rPr>
                <w:rFonts w:ascii="游ゴシック" w:hAnsi="游ゴシック" w:eastAsia="游ゴシック"/>
                <w:sz w:val="17"/>
              </w:rPr>
              <w:t>地域ケア会議の運営：個別事例の検討、地域課題の抽出、資源開発、施策化。記録様式の整備（R9年度）と1町でのモデル実施</w:t>
            </w:r>
          </w:p>
        </w:tc>
        <w:tc>
          <w:tcPr>
            <w:tcW w:type="dxa" w:w="2958"/>
          </w:tcPr>
          <w:p>
            <w:r/>
            <w:r>
              <w:rPr>
                <w:rFonts w:ascii="游ゴシック" w:hAnsi="游ゴシック" w:eastAsia="游ゴシック"/>
                <w:sz w:val="17"/>
              </w:rPr>
              <w:t>個別事例の検討 3町合計 年［要協議］件／地域課題として整理した件数／施策に反映した件数／提起された地域課題のうち翌年度の事業又は予算に反映されたものの割合（施策化への転換率。R9年度に基準値を把握し、R10年度から目標を置く）</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rPr>
          <w:cantSplit/>
        </w:trPr>
        <w:tc>
          <w:tcPr>
            <w:tcW w:type="dxa" w:w="3616"/>
          </w:tcPr>
          <w:p>
            <w:r/>
            <w:r>
              <w:rPr>
                <w:rFonts w:ascii="游ゴシック" w:hAnsi="游ゴシック" w:eastAsia="游ゴシック"/>
                <w:sz w:val="17"/>
              </w:rPr>
              <w:t>権利擁護：虐待対応、成年後見制度の利用促進、意思決定支援、消費者被害防止。地域権利擁護相談支援センターの設置の検討（R9年度）</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地域ケア会議の施策化への転換率</w:t>
            </w:r>
          </w:p>
        </w:tc>
        <w:tc>
          <w:tcPr>
            <w:tcW w:type="dxa" w:w="1863"/>
          </w:tcPr>
          <w:p>
            <w:r/>
            <w:r>
              <w:rPr>
                <w:rFonts w:ascii="游ゴシック" w:hAnsi="游ゴシック" w:eastAsia="游ゴシック"/>
                <w:sz w:val="17"/>
              </w:rPr>
              <w:t>未算定（R9に基準値を把握）</w:t>
            </w:r>
          </w:p>
        </w:tc>
        <w:tc>
          <w:tcPr>
            <w:tcW w:type="dxa" w:w="1972"/>
          </w:tcPr>
          <w:p>
            <w:r/>
            <w:r>
              <w:rPr>
                <w:rFonts w:ascii="游ゴシック" w:hAnsi="游ゴシック" w:eastAsia="游ゴシック"/>
                <w:sz w:val="17"/>
              </w:rPr>
              <w:t>［要協議］（R10から目標を置く）</w:t>
            </w:r>
          </w:p>
        </w:tc>
        <w:tc>
          <w:tcPr>
            <w:tcW w:type="dxa" w:w="2191"/>
          </w:tcPr>
          <w:p>
            <w:r/>
            <w:r>
              <w:rPr>
                <w:rFonts w:ascii="游ゴシック" w:hAnsi="游ゴシック" w:eastAsia="游ゴシック"/>
                <w:sz w:val="17"/>
              </w:rPr>
              <w:t>率とともに実数（提起件数・反映件数）を併記する</w:t>
            </w:r>
          </w:p>
        </w:tc>
      </w:tr>
    </w:tbl>
    <w:p>
      <w:pPr>
        <w:spacing w:after="160" w:line="269" w:lineRule="auto"/>
      </w:pPr>
      <w:r>
        <w:rPr>
          <w:rFonts w:ascii="游ゴシック" w:hAnsi="游ゴシック" w:eastAsia="游ゴシック"/>
          <w:b w:val="0"/>
          <w:sz w:val="17"/>
        </w:rPr>
        <w:t>注）第9期の施策2-5「地域ケア会議の推進」は、指標が会議の開催回数のみであり、成果を測る指標がありませんでした（第3章第4節）。第10期は、提起された地域課題のうち翌年度の事業又は予算に反映されたものの割合（施策化への転換率）を施策の指標とします。基準値がないため、令和9年度は記録様式を整えて基準値を把握する年度とし、令和10年度及び令和11年度に目標値を置きます。率は分母が小さいと大きく振れるため、実数を併記します。記録は構成3町が作成し、広域連合へは集計した値を提出します（個人情報を集約しません）［要協議］。</w:t>
        <w:br/>
        <w:t>注）件数は、地域ケア個別会議と地域ケア推進会議を分けずに計数します。3町の実績は、令和7年度の地域包括支援センター事業実施報告書により把握できる範囲で記述しています。報告書の計数の単位が町により異なり（開催回数・参加人数・対象者数）、3町を合計することができないためです。3町共通の記録様式は、令和9年度に整えます［要協議］。</w:t>
      </w:r>
    </w:p>
    <w:p>
      <w:pPr>
        <w:pStyle w:val="Heading2"/>
        <w:spacing w:before="180" w:after="10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通いの場は、介護予防・日常生活支援総合事業の実施状況に関する調査ベースで月1回以上の参加率が令和2年度1.6％から令和6年度3.53％へ回復しました。参加者も平成29年度277人から令和2年度151人へ45％減少した後、令和6年度は330人（令和2年度比2.19倍）へ戻っています。週1回以上の箇所数も令和2年度3箇所から令和6年度11箇所へ増えました。ただし北海道3.9％、全国5.2％（いずれも月1回以上・令和2年度）及び北海道の第9期評価指標の目標5.37％をなお下回ります。</w:t>
      </w:r>
    </w:p>
    <w:p>
      <w:pPr>
        <w:spacing w:after="80" w:line="269" w:lineRule="auto"/>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line="269" w:lineRule="auto"/>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line="269" w:lineRule="auto"/>
      </w:pPr>
      <w:r>
        <w:rPr>
          <w:rFonts w:ascii="游ゴシック" w:hAnsi="游ゴシック" w:eastAsia="游ゴシック"/>
          <w:b w:val="0"/>
          <w:sz w:val="21"/>
        </w:rPr>
        <w:t>認知症初期集中支援推進事業は、構成3町がそれぞれ担当チームを設置していますが、実施の状況は町により異なります。令和7年度は、東川町が町立診療所の医師を専門医としてチーム員会議を1回開催した一方、美瑛町は対応件数が0件で、医師を確保できず休止しています。東神楽町は医師・看護師・主任介護支援専門員による体制を確保していますが、対応件数の記載はありません。本事業は早期診断・早期対応の入口であり、専門医の確保を含む担当チームの体制の維持が課題です。</w:t>
      </w:r>
    </w:p>
    <w:p>
      <w:pPr>
        <w:spacing w:after="80" w:line="269" w:lineRule="auto"/>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line="269" w:lineRule="auto"/>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3.53％（R6）</w:t>
            </w:r>
          </w:p>
        </w:tc>
        <w:tc>
          <w:tcPr>
            <w:tcW w:type="dxa" w:w="2608"/>
          </w:tcPr>
          <w:p>
            <w:r/>
            <w:r>
              <w:rPr>
                <w:rFonts w:ascii="游ゴシック" w:hAnsi="游ゴシック" w:eastAsia="游ゴシック"/>
                <w:sz w:val="17"/>
              </w:rPr>
              <w:t>R2 1.6％からの回復。北海道3.9％、全国5.2％（いずれもR2）。北海道のR8目標5.37％</w:t>
            </w:r>
          </w:p>
        </w:tc>
        <w:tc>
          <w:tcPr>
            <w:tcW w:type="dxa" w:w="1701"/>
          </w:tcPr>
          <w:p>
            <w:r/>
            <w:r>
              <w:rPr>
                <w:rFonts w:ascii="游ゴシック" w:hAnsi="游ゴシック" w:eastAsia="游ゴシック"/>
                <w:sz w:val="17"/>
              </w:rPr>
              <w:t>総合事業の実施状況に関する調査</w:t>
            </w:r>
          </w:p>
        </w:tc>
      </w:tr>
      <w:tr>
        <w:trPr>
          <w:cantSplit/>
        </w:trP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1.28％（R6）</w:t>
            </w:r>
          </w:p>
        </w:tc>
        <w:tc>
          <w:tcPr>
            <w:tcW w:type="dxa" w:w="2608"/>
          </w:tcPr>
          <w:p>
            <w:r/>
            <w:r>
              <w:rPr>
                <w:rFonts w:ascii="游ゴシック" w:hAnsi="游ゴシック" w:eastAsia="游ゴシック"/>
                <w:sz w:val="17"/>
              </w:rPr>
              <w:t>R2 0.7％からの回復。北海道1.6％、全国2.1％（いずれもR2）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11箇所（R6）</w:t>
            </w:r>
          </w:p>
        </w:tc>
        <w:tc>
          <w:tcPr>
            <w:tcW w:type="dxa" w:w="2608"/>
          </w:tcPr>
          <w:p>
            <w:r/>
            <w:r>
              <w:rPr>
                <w:rFonts w:ascii="游ゴシック" w:hAnsi="游ゴシック" w:eastAsia="游ゴシック"/>
                <w:sz w:val="17"/>
              </w:rPr>
              <w:t>R2 3箇所からの回復。65歳以上1万人当たり11.77箇所。全国13.12箇所（R2）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rPr>
          <w:cantSplit/>
        </w:trP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rPr>
          <w:cantSplit/>
        </w:trP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rPr>
          <w:cantSplit/>
        </w:trP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rPr>
          <w:cantSplit/>
        </w:trP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rPr>
          <w:cantSplit/>
        </w:trP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rPr>
          <w:cantSplit/>
        </w:trP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r>
        <w:trPr>
          <w:cantSplit/>
        </w:trPr>
        <w:tc>
          <w:tcPr>
            <w:tcW w:type="dxa" w:w="3742"/>
          </w:tcPr>
          <w:p>
            <w:r/>
            <w:r>
              <w:rPr>
                <w:rFonts w:ascii="游ゴシック" w:hAnsi="游ゴシック" w:eastAsia="游ゴシック"/>
                <w:sz w:val="17"/>
              </w:rPr>
              <w:t>認知症初期集中支援推進事業の対応件数（R7）</w:t>
            </w:r>
          </w:p>
        </w:tc>
        <w:tc>
          <w:tcPr>
            <w:tcW w:type="dxa" w:w="1474"/>
          </w:tcPr>
          <w:p>
            <w:r/>
            <w:r>
              <w:rPr>
                <w:rFonts w:ascii="游ゴシック" w:hAnsi="游ゴシック" w:eastAsia="游ゴシック"/>
                <w:sz w:val="17"/>
              </w:rPr>
              <w:t>美瑛町 0件</w:t>
            </w:r>
          </w:p>
        </w:tc>
        <w:tc>
          <w:tcPr>
            <w:tcW w:type="dxa" w:w="2608"/>
          </w:tcPr>
          <w:p>
            <w:r/>
            <w:r>
              <w:rPr>
                <w:rFonts w:ascii="游ゴシック" w:hAnsi="游ゴシック" w:eastAsia="游ゴシック"/>
                <w:sz w:val="17"/>
              </w:rPr>
              <w:t>美瑛町は医師を確保できず休止中。東川町はチーム員会議1回（R8計画2回）。東神楽町は体制を確保しているが対応件数の記載がない</w:t>
            </w:r>
          </w:p>
        </w:tc>
        <w:tc>
          <w:tcPr>
            <w:tcW w:type="dxa" w:w="1701"/>
          </w:tcPr>
          <w:p>
            <w:r/>
            <w:r>
              <w:rPr>
                <w:rFonts w:ascii="游ゴシック" w:hAnsi="游ゴシック" w:eastAsia="游ゴシック"/>
                <w:sz w:val="17"/>
              </w:rPr>
              <w:t>地域包括支援センター事業実施報告書（構成3町）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本項は介護保険法第117条第3項による認知症である被保険者の地域における日常生活の支援に関する事項であり、構成3町が策定する市町村認知症施策推進計画とは資料2の役割分担及び共通KPIにより接続します（第1章第2節）。</w:t>
      </w:r>
    </w:p>
    <w:p>
      <w:pPr>
        <w:pStyle w:val="ListBullet"/>
        <w:spacing w:after="40"/>
      </w:pPr>
      <w:r>
        <w:rPr>
          <w:rFonts w:ascii="游ゴシック" w:hAnsi="游ゴシック" w:eastAsia="游ゴシック"/>
          <w:sz w:val="20"/>
        </w:rPr>
        <w:t>認知症初期集中支援推進事業について、専門医の確保を含む担当チームの体制を3町及び広域連合で確かめ、休止している町の再開の見通しを整理します。あわせて、対応件数と会議の開催回数を町ごとに同じ様式で記録し、広域連合へ集約します（個人が特定される情報は集約しません）。</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11箇所（R6）→［要協議］箇所（R11）／うち住民個人が運営する箇所数 0→［要協議］箇所／月1回以上の参加率（総合事業ベース）3.53％（R6）→［要協議］％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rPr>
          <w:cantSplit/>
        </w:trP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rPr>
          <w:cantSplit/>
        </w:trP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rPr>
          <w:cantSplit/>
        </w:trP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rPr>
          <w:cantSplit/>
        </w:trP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rPr>
          <w:cantSplit/>
        </w:trP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年1回以上（R9年度から）／初期集中支援チームを設置し稼働している町数 3町（R9年度から）／初期集中支援チームの訪問件数／認知症カフェの箇所数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rPr>
          <w:cantSplit/>
        </w:trP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注）上表の事業のうち、現に実施されているのが1町のみであるものがあります。チームオレンジは東川町が令和7年3月に結成会を開催し令和8年度の事業として立てているもの、地域リハビリテーション活動支援事業及び介護予防のポイント事業は美瑛町が実施しているものです。本計画はこれらを当該の町の取組として掲げるものであり、他の町への展開は、担い手及び派遣元の確保の見通しを踏まえて3町と協議して定めます［要協議］。</w:t>
        <w:br/>
        <w:t>注）認知症初期集中支援推進事業について、美瑛町は令和7年度に医師を確保できず休止しています。再開の時期は、専門医の確保の見通しを踏まえて定めます［要協議］。</w:t>
        <w:br/>
        <w:t>注）認知症サポーターの養成及びステップアップ講座については、交付金の評価が3か年とも0点であり、取組がないのか要件を満たさないのかを公表資料から判別できません（第3章第4節）。このため、現に確認できる取組の範囲で掲げており、養成人数の目標値は置いていません［要協議］。</w:t>
        <w:br/>
        <w:t>注）通いの場の箇所数及び参加者数は町により大きく異なり、週1回以上の通いの場があるのは東神楽町のみです（第3章第1節）。本計画の目標値は現在の実施の状況を前提として置いており、整備が進む町がある場合は中間年の見直しにおいて改めます［要協議］。</w:t>
        <w:br/>
        <w:t>注）難聴高齢者の早期発見・早期介入は、令和8年度の保険者機能強化推進交付金等の評価指標に新たに加えられた項目（配点20点）です。令和8年度の構成3町の得点は東川町10点・美瑛町0点・東神楽町10点であり、町により差があります。取組の内容を確認できていないため、現に確認できる範囲で掲げるにとどめています［要確認］。</w:t>
      </w:r>
    </w:p>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972"/>
            <w:shd w:val="clear" w:color="auto" w:fill="DCE6F1"/>
          </w:tcPr>
          <w:p>
            <w:pPr>
              <w:jc w:val="center"/>
            </w:pPr>
            <w:r/>
            <w:r>
              <w:rPr>
                <w:rFonts w:ascii="游ゴシック" w:hAnsi="游ゴシック" w:eastAsia="游ゴシック"/>
                <w:b/>
                <w:sz w:val="17"/>
              </w:rPr>
              <w:t>基準値</w:t>
            </w:r>
          </w:p>
        </w:tc>
        <w:tc>
          <w:tcPr>
            <w:tcW w:type="dxa" w:w="186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19.1％（R7・n=4,719）</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rPr>
          <w:cantSplit/>
        </w:trP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通いの場単独はニーズ調査8.8％（R7）も併記。総合事業ベース3.53％（R6）を主系列とする</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rPr>
          <w:cantSplit/>
        </w:trP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主に介護をしている者の割合（改称）</w:t>
            </w:r>
          </w:p>
        </w:tc>
        <w:tc>
          <w:tcPr>
            <w:tcW w:type="dxa" w:w="1972"/>
          </w:tcPr>
          <w:p>
            <w:r/>
            <w:r>
              <w:rPr>
                <w:rFonts w:ascii="游ゴシック" w:hAnsi="游ゴシック" w:eastAsia="游ゴシック"/>
                <w:sz w:val="17"/>
              </w:rPr>
              <w:t>3.4％（R7・n=2,217）</w:t>
            </w:r>
          </w:p>
        </w:tc>
        <w:tc>
          <w:tcPr>
            <w:tcW w:type="dxa" w:w="1863"/>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在宅介護実態調査は未実施であり、健康とくらしの調査による代理指標に振り替えた（第3節）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bookmarkStart w:id="132" w:name="_Toc10_032"/>
      <w:r>
        <w:rPr>
          <w:rFonts w:ascii="游ゴシック" w:hAnsi="游ゴシック" w:eastAsia="游ゴシック"/>
          <w:sz w:val="25"/>
        </w:rPr>
        <w:t>基本目標3　持続可能なサービス提供・住まい</w:t>
      </w:r>
      <w:bookmarkEnd w:id="132"/>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line="269" w:lineRule="auto"/>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line="269" w:lineRule="auto"/>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line="269" w:lineRule="auto"/>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474"/>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rPr>
          <w:cantSplit/>
        </w:trP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rPr>
          <w:cantSplit/>
        </w:trP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rPr>
          <w:cantSplit/>
        </w:trP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rPr>
          <w:cantSplit/>
        </w:trP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rPr>
          <w:cantSplit/>
        </w:trP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rPr>
          <w:cantSplit/>
        </w:trP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rPr>
          <w:cantSplit/>
        </w:trP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rPr>
          <w:cantSplit/>
        </w:trP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rPr>
          <w:cantSplit/>
        </w:trP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rPr>
          <w:cantSplit/>
        </w:trP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ListBullet"/>
        <w:spacing w:after="40"/>
      </w:pPr>
      <w:r>
        <w:rPr>
          <w:rFonts w:ascii="游ゴシック" w:hAnsi="游ゴシック" w:eastAsia="游ゴシック"/>
          <w:sz w:val="20"/>
        </w:rPr>
        <w:t>サービスの提供体制の維持について、国は、一定期間の事業継続や事業者間の連携・協働を推進する法人・事業所が都道府県と協定を締結する仕組みを示しています（第1章第9節5）。区域内に事業所がないサービス種別が11あり、既存の事業所も小規模なものが多いことから、北海道及び事業者とともにこの仕組みの活用を検討します。検討の対象とするのは、一定期間の事業継続、人材の相互応援、共同採用及び共同研修、事務や間接業務の共同化です。協定に基づく取組の推進に関する市町村の役割が示された時点で、当広域連合の関与の仕方を定めます［要確認］。</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備考</w:t>
            </w:r>
          </w:p>
        </w:tc>
      </w:tr>
      <w:tr>
        <w:trPr>
          <w:cantSplit/>
        </w:trP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rPr>
          <w:cantSplit/>
        </w:trP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rPr>
          <w:cantSplit/>
        </w:trP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rPr>
          <w:cantSplit/>
        </w:trP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rPr>
          <w:cantSplit/>
        </w:trP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73.5％（R7・有効回答98票中72票）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在宅生活改善調査（在宅生活の維持の見通し）。分母は当該設問の有効回答</w:t>
            </w:r>
          </w:p>
        </w:tc>
      </w:tr>
      <w:tr>
        <w:trPr>
          <w:cantSplit/>
        </w:trP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rPr>
          <w:cantSplit/>
        </w:trP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区域内で提供できないサービスが必要と判断された利用者の割合（改称）</w:t>
            </w:r>
          </w:p>
        </w:tc>
        <w:tc>
          <w:tcPr>
            <w:tcW w:type="dxa" w:w="1863"/>
          </w:tcPr>
          <w:p>
            <w:r/>
            <w:r>
              <w:rPr>
                <w:rFonts w:ascii="游ゴシック" w:hAnsi="游ゴシック" w:eastAsia="游ゴシック"/>
                <w:sz w:val="17"/>
              </w:rPr>
              <w:t>20.2％（R7・99票中20票）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在宅生活改善調査（より適切と思われるサービス）による代理指標に振り替えた（第3節）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180" w:after="100"/>
      </w:pPr>
      <w:bookmarkStart w:id="133" w:name="_Toc10_033"/>
      <w:r>
        <w:rPr>
          <w:rFonts w:ascii="游ゴシック" w:hAnsi="游ゴシック" w:eastAsia="游ゴシック"/>
          <w:sz w:val="25"/>
        </w:rPr>
        <w:t>基本目標4　介護人材・生産性・質・経営支援</w:t>
      </w:r>
      <w:bookmarkEnd w:id="133"/>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line="269" w:lineRule="auto"/>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line="269" w:lineRule="auto"/>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line="269" w:lineRule="auto"/>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rPr>
          <w:cantSplit/>
        </w:trP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rPr>
          <w:cantSplit/>
        </w:trP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rPr>
          <w:cantSplit/>
        </w:trP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北海道の評価指標⑥と同じ「採用率と離職率の差」を算定し、道計画との整合を確保します。算定には各年9月30日現在の在籍者数を要するため、その把握の仕組みを令和9年度に整えます。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有効期間及びその更新のための研修が廃止され、介護支援専門員は資質の保持及び向上を図るため都道府県知事が行う研修を受けるものとされました（第1章第9節2）。施行は公布の日から起算して1年6月を超えない範囲内において政令で定める日であり、第10期計画の初年度中に施行される見込みです。あわせて、事業者又は施設の開設者には、介護支援専門員を業務に従事させたとき又は従事しなくなったときの氏名等の報告及び研修の受講の機会を確保するための措置が義務づけられます。区域内の事業所に新たに生ずる義務であるため、施行までの間に周知します。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同法により、都道府県は、質の高い介護サービスの提供の確保とその提供のための安定した経営基盤の確立の双方の実現を図る取組を促進するための協議会を置くものとされ、市町村は構成員として参画するものとされました（第1章第9節2）。北海道における協議会の設置の状況を確認し、本広域連合と構成3町のいずれが参画するかを含めて協議します［要協議］。</w:t>
      </w:r>
    </w:p>
    <w:p>
      <w:pPr>
        <w:pStyle w:val="ListBullet"/>
        <w:spacing w:after="40"/>
      </w:pPr>
      <w:r>
        <w:rPr>
          <w:rFonts w:ascii="游ゴシック" w:hAnsi="游ゴシック" w:eastAsia="游ゴシック"/>
          <w:sz w:val="20"/>
        </w:rPr>
        <w:t>同法により、准介護福祉士の資格が廃止され、介護福祉士の養成施設等を卒業した者が卒業の翌年度から5年間介護福祉士となる資格を有するものとする経過措置の対象が令和13年度までの間に卒業した者に広げられました（第1章第9節2）。第10期計画の期間中の資格の取得に関わるため、養成施設等との連携による人材の確保の取組に反映し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ケアプランのデータ連携を進めます。ケアプランデータ連携機能は令和9年1月を目処に介護情報基盤と統合され、以後は介護保険資格確認等WEBサービス（新システム）を利用することとなります（第1章第9節5）。令和9年1月以降もデータ連携を行うためには、介護事業所において新システムでの事業所及び管理者の登録を要するため、区域内の居宅介護支援事業所及びサービス事業所に周知し、登録を支援します。令和9年4月以降は介護ソフトとのAPI連携によるデータ連携が可能となるため、介護ソフトの更新の時期に合わせた導入を促します。全国の導入率は令和8年7月末日時点で53.1％です。</w:t>
      </w:r>
    </w:p>
    <w:p>
      <w:pPr>
        <w:pStyle w:val="ListBullet"/>
        <w:spacing w:after="40"/>
      </w:pPr>
      <w:r>
        <w:rPr>
          <w:rFonts w:ascii="游ゴシック" w:hAnsi="游ゴシック" w:eastAsia="游ゴシック"/>
          <w:sz w:val="20"/>
        </w:rPr>
        <w:t>サービスの供給の継続に関する状況の把握に、介護サービス事業者経営情報データベースの公表結果を用います（第1章第9節5）。事業者の経営情報の報告が義務づけられ、国において属性等に応じて区分した分析結果が公表されます。小規模な事業所が多い当区域の状況に照らして用いられる区分を確かめ、事業の継続が難しくなる兆しを早期に把握する材料とします。市町村の区域を単位とする値が得られる範囲は示されていないため、用いられる範囲を確認して用います［要確認］。</w:t>
      </w:r>
    </w:p>
    <w:p>
      <w:pPr>
        <w:pStyle w:val="ListBullet"/>
        <w:spacing w:after="40"/>
      </w:pPr>
      <w:r>
        <w:rPr>
          <w:rFonts w:ascii="游ゴシック" w:hAnsi="游ゴシック" w:eastAsia="游ゴシック"/>
          <w:sz w:val="20"/>
        </w:rPr>
        <w:t>事業者間の連携・協働化について、北海道と協定を締結した法人・事業所への支援の仕組みの活用を検討します（第1章第9節5）。令和9年度概算要求において、協定に基づく連携の取組に要する経費への支援及び連携に参画する事業所に対する介護テクノロジー導入支援の補助率の上乗せが盛り込まれています。区域内の事業所は小規模なものが多く、人材の相互応援、共同採用・共同研修、事務や間接業務の共同化といった連携の余地があります。協定に基づく取組の推進に関する市町村の役割は引き続き検討することとされているため、示された時点で当広域連合の関与の仕方を定めます［要確認］。</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rPr>
          <w:cantSplit/>
        </w:trP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rPr>
          <w:cantSplit/>
        </w:trP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rPr>
          <w:cantSplit/>
        </w:trP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ケアプランデータ連携の推進：新システム（介護保険資格確認等WEBサービス）での事業所・管理者登録の周知と支援、介護ソフトとのAPI連携の導入の促進</w:t>
            </w:r>
          </w:p>
        </w:tc>
        <w:tc>
          <w:tcPr>
            <w:tcW w:type="dxa" w:w="2958"/>
          </w:tcPr>
          <w:p>
            <w:r/>
            <w:r>
              <w:rPr>
                <w:rFonts w:ascii="游ゴシック" w:hAnsi="游ゴシック" w:eastAsia="游ゴシック"/>
                <w:sz w:val="17"/>
              </w:rPr>
              <w:t>新システムへの登録 区域内の居宅介護支援事業所11事業所とも R9年度当初／データ連携を行う事業所数の把握 毎年度／API連携による連携を行う事業所数 ［要協議］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―（第1章第9節5。統合 令和9年1月、API連携 令和9年4月以降）</w:t>
            </w:r>
          </w:p>
        </w:tc>
      </w:tr>
      <w:tr>
        <w:trPr>
          <w:cantSplit/>
        </w:trPr>
        <w:tc>
          <w:tcPr>
            <w:tcW w:type="dxa" w:w="3616"/>
          </w:tcPr>
          <w:p>
            <w:r/>
            <w:r>
              <w:rPr>
                <w:rFonts w:ascii="游ゴシック" w:hAnsi="游ゴシック" w:eastAsia="游ゴシック"/>
                <w:sz w:val="17"/>
              </w:rPr>
              <w:t>経営支援・協働化：小規模事業所の経営相談、共同購入、事務の共同化、事業者間連携の調整。介護サービス事業者経営情報データベースの公表結果による状況の把握。北海道と協定を締結した法人・事業所への支援の仕組みの活用の検討</w:t>
            </w:r>
          </w:p>
        </w:tc>
        <w:tc>
          <w:tcPr>
            <w:tcW w:type="dxa" w:w="2958"/>
          </w:tcPr>
          <w:p>
            <w:r/>
            <w:r>
              <w:rPr>
                <w:rFonts w:ascii="游ゴシック" w:hAnsi="游ゴシック" w:eastAsia="游ゴシック"/>
                <w:sz w:val="17"/>
              </w:rPr>
              <w:t>相談件数／協働化の取組件数／経営情報の公表結果により状況を確認した区分数 毎年度／協定に基づく連携への参画事業所数 ［要協議］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301"/>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rPr>
          <w:cantSplit/>
        </w:trP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未算定（各年9月30日現在の在籍者数を確認後に算定）</w:t>
            </w:r>
          </w:p>
        </w:tc>
        <w:tc>
          <w:tcPr>
            <w:tcW w:type="dxa" w:w="1534"/>
          </w:tcPr>
          <w:p>
            <w:r/>
            <w:r>
              <w:rPr>
                <w:rFonts w:ascii="游ゴシック" w:hAnsi="游ゴシック" w:eastAsia="游ゴシック"/>
                <w:sz w:val="17"/>
              </w:rPr>
              <w:t>―（団体別の値を引用できる場合に設定）</w:t>
            </w:r>
          </w:p>
        </w:tc>
        <w:tc>
          <w:tcPr>
            <w:tcW w:type="dxa" w:w="2191"/>
          </w:tcPr>
          <w:p>
            <w:r/>
            <w:r>
              <w:rPr>
                <w:rFonts w:ascii="游ゴシック" w:hAnsi="游ゴシック" w:eastAsia="游ゴシック"/>
                <w:sz w:val="17"/>
              </w:rPr>
              <w:t>北海道の評価指標⑥と同じ。介護人材実態調査は令和7年4月1日現在であり分母の時点が異なる</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180" w:after="100"/>
      </w:pPr>
      <w:bookmarkStart w:id="134" w:name="_Toc10_034"/>
      <w:r>
        <w:rPr>
          <w:rFonts w:ascii="游ゴシック" w:hAnsi="游ゴシック" w:eastAsia="游ゴシック"/>
          <w:sz w:val="25"/>
        </w:rPr>
        <w:t>基本目標5　保険運営・レジリエンス・PDCA</w:t>
      </w:r>
      <w:bookmarkEnd w:id="134"/>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line="269" w:lineRule="auto"/>
      </w:pPr>
      <w:r>
        <w:rPr>
          <w:rFonts w:ascii="游ゴシック" w:hAnsi="游ゴシック" w:eastAsia="游ゴシック"/>
          <w:b w:val="0"/>
          <w:sz w:val="21"/>
        </w:rPr>
        <w:t>主要3事業のうち要介護認定の適正化については、認定の判定の平準化に加え、認定に要する期間が課題です。申請から二次判定までの平均所要日数は新規の申請で令和6年度45.4日、令和7年度46.7日であり、介護保険法が定める30日以内の処分（第27条第11項）を上回っています（第2章第1節3）。申請から認定調査の実施までは14日から15日であるため、調査の実施後の審査判定までの間が短縮の対象となります。</w:t>
      </w:r>
    </w:p>
    <w:p>
      <w:pPr>
        <w:spacing w:after="80" w:line="269" w:lineRule="auto"/>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line="269" w:lineRule="auto"/>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line="269" w:lineRule="auto"/>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line="269" w:lineRule="auto"/>
      </w:pPr>
      <w:r>
        <w:rPr>
          <w:rFonts w:ascii="游ゴシック" w:hAnsi="游ゴシック" w:eastAsia="游ゴシック"/>
          <w:b/>
          <w:sz w:val="20"/>
        </w:rPr>
        <w:t>介護給付適正化の計画策定に関する指針は、介護給付費財政調整交付金の算定に当たって主要3事業の取組状況を勘案することとしています。令和8年9月18日の社会保障審議会介護保険部会では、この勘案の方法が具体的に示されました（第1章第9節5）。調整交付金の年齢区分の精緻化により交付額が増加する保険者について、主要3事業のいずれかを実施していない場合は、増加した額の5％を減額することとされています。</w:t>
      </w:r>
    </w:p>
    <w:p>
      <w:pPr>
        <w:spacing w:after="80" w:line="269" w:lineRule="auto"/>
      </w:pPr>
      <w:r>
        <w:rPr>
          <w:rFonts w:ascii="游ゴシック" w:hAnsi="游ゴシック" w:eastAsia="游ゴシック"/>
          <w:b w:val="0"/>
          <w:sz w:val="20"/>
        </w:rPr>
        <w:t>当広域連合はケアプラン等の点検を実施していないため、この減額の対象となります。減額は年齢区分の精緻化により交付額が増加する場合の増加額を限度とするものであり、減額の額は当広域連合に係る交付割合が示された時点で確認します。本計画の保険料の算定（第6章第6節）は、調整交付金の見込交付割合を第9期計画と同水準として置いており、この減額を織り込んでいません［要確認］。ケアプランの点検は令和9年度から実施することとしているため、減額を避けるためにも着手の時期を確保する必要があります。</w:t>
      </w:r>
    </w:p>
    <w:p>
      <w:pPr>
        <w:spacing w:after="80" w:line="269" w:lineRule="auto"/>
      </w:pPr>
      <w:r>
        <w:rPr>
          <w:rFonts w:ascii="游ゴシック" w:hAnsi="游ゴシック" w:eastAsia="游ゴシック"/>
          <w:b w:val="0"/>
          <w:sz w:val="20"/>
        </w:rPr>
        <w:t>あわせて、第1号被保険者1人当たり給付費が全保険者の平均値に標準偏差の2倍を加えた値を超える外れ値に該当した保険者は、国民健康保険団体連合会の介護給付適正化システムの帳票を活用した点検（ケアプラン等の点検の実施件数、医療情報との突合の実施率、縦覧点検の実施率）について、令和10年度下半期の実施率等を令和9年度下半期の水準以上に保つことが求められます。これを下回った場合は、第10期の最終年度（令和11年度）に調整交付金が減額されます。外れ値に該当するかどうかは、令和9年2月から令和10年1月までの状況について令和10年7月頃までに国から通知されます。</w:t>
      </w:r>
    </w:p>
    <w:p>
      <w:pPr>
        <w:spacing w:after="80" w:line="269" w:lineRule="auto"/>
      </w:pPr>
      <w:r>
        <w:rPr>
          <w:rFonts w:ascii="游ゴシック" w:hAnsi="游ゴシック" w:eastAsia="游ゴシック"/>
          <w:b w:val="0"/>
          <w:sz w:val="20"/>
        </w:rPr>
        <w:t>当広域連合の第1号被保険者1人当たり給付費は、施設及び居住系サービスの受給率が全国の1.23倍、訪問介護の受給者1人当たり利用回数が全国の1.87倍であり（第2章第2節）、外れ値に該当する可能性を否定できません。このため、外れ値に該当した場合の帳票を活用した点検を毎年度の管理項目として（4）に置き、令和9年度下半期の実施率等を記録しておくこととします。</w:t>
      </w:r>
    </w:p>
    <w:p>
      <w:pPr>
        <w:spacing w:after="80" w:line="269" w:lineRule="auto"/>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line="269" w:lineRule="auto"/>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line="269" w:lineRule="auto"/>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line="269" w:lineRule="auto"/>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p>
      <w:pPr>
        <w:spacing w:after="20" w:line="269" w:lineRule="auto"/>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主要3事業</w:t>
            </w:r>
          </w:p>
        </w:tc>
        <w:tc>
          <w:tcPr>
            <w:tcW w:type="dxa" w:w="1247"/>
            <w:shd w:val="clear" w:color="auto" w:fill="DCE6F1"/>
          </w:tcPr>
          <w:p>
            <w:pPr>
              <w:jc w:val="center"/>
            </w:pPr>
            <w:r/>
            <w:r>
              <w:rPr>
                <w:rFonts w:ascii="游ゴシック" w:hAnsi="游ゴシック" w:eastAsia="游ゴシック"/>
                <w:b/>
                <w:sz w:val="17"/>
              </w:rPr>
              <w:t>東川町</w:t>
            </w:r>
          </w:p>
        </w:tc>
        <w:tc>
          <w:tcPr>
            <w:tcW w:type="dxa" w:w="1247"/>
            <w:shd w:val="clear" w:color="auto" w:fill="DCE6F1"/>
          </w:tcPr>
          <w:p>
            <w:pPr>
              <w:jc w:val="center"/>
            </w:pPr>
            <w:r/>
            <w:r>
              <w:rPr>
                <w:rFonts w:ascii="游ゴシック" w:hAnsi="游ゴシック" w:eastAsia="游ゴシック"/>
                <w:b/>
                <w:sz w:val="17"/>
              </w:rPr>
              <w:t>美瑛町</w:t>
            </w:r>
          </w:p>
        </w:tc>
        <w:tc>
          <w:tcPr>
            <w:tcW w:type="dxa" w:w="1361"/>
            <w:shd w:val="clear" w:color="auto" w:fill="DCE6F1"/>
          </w:tcPr>
          <w:p>
            <w:pPr>
              <w:jc w:val="center"/>
            </w:pPr>
            <w:r/>
            <w:r>
              <w:rPr>
                <w:rFonts w:ascii="游ゴシック" w:hAnsi="游ゴシック" w:eastAsia="游ゴシック"/>
                <w:b/>
                <w:sz w:val="17"/>
              </w:rPr>
              <w:t>東神楽町</w:t>
            </w:r>
          </w:p>
        </w:tc>
        <w:tc>
          <w:tcPr>
            <w:tcW w:type="dxa" w:w="3402"/>
            <w:shd w:val="clear" w:color="auto" w:fill="DCE6F1"/>
          </w:tcPr>
          <w:p>
            <w:pPr>
              <w:jc w:val="center"/>
            </w:pPr>
            <w:r/>
            <w:r>
              <w:rPr>
                <w:rFonts w:ascii="游ゴシック" w:hAnsi="游ゴシック" w:eastAsia="游ゴシック"/>
                <w:b/>
                <w:sz w:val="17"/>
              </w:rPr>
              <w:t>国の評価による裏づけ</w:t>
            </w:r>
          </w:p>
        </w:tc>
      </w:tr>
      <w:tr>
        <w:trPr>
          <w:cantSplit/>
        </w:trP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rPr>
          <w:cantSplit/>
        </w:trP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rPr>
          <w:cantSplit/>
        </w:trP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line="269" w:lineRule="auto"/>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4195"/>
            <w:shd w:val="clear" w:color="auto" w:fill="DCE6F1"/>
          </w:tcPr>
          <w:p>
            <w:pPr>
              <w:spacing w:before="0"/>
              <w:jc w:val="center"/>
            </w:pPr>
            <w:r/>
            <w:r>
              <w:rPr>
                <w:rFonts w:ascii="游ゴシック" w:hAnsi="游ゴシック" w:eastAsia="游ゴシック"/>
                <w:b/>
                <w:sz w:val="17"/>
              </w:rPr>
              <w:t>評価項目</w:t>
            </w:r>
          </w:p>
        </w:tc>
        <w:tc>
          <w:tcPr>
            <w:tcW w:type="dxa" w:w="1134"/>
            <w:shd w:val="clear" w:color="auto" w:fill="DCE6F1"/>
          </w:tcPr>
          <w:p>
            <w:pPr>
              <w:jc w:val="center"/>
            </w:pPr>
            <w:r/>
            <w:r>
              <w:rPr>
                <w:rFonts w:ascii="游ゴシック" w:hAnsi="游ゴシック" w:eastAsia="游ゴシック"/>
                <w:b/>
                <w:sz w:val="17"/>
              </w:rPr>
              <w:t>3町平均</w:t>
            </w:r>
          </w:p>
        </w:tc>
        <w:tc>
          <w:tcPr>
            <w:tcW w:type="dxa" w:w="1361"/>
            <w:shd w:val="clear" w:color="auto" w:fill="DCE6F1"/>
          </w:tcPr>
          <w:p>
            <w:pPr>
              <w:jc w:val="center"/>
            </w:pPr>
            <w:r/>
            <w:r>
              <w:rPr>
                <w:rFonts w:ascii="游ゴシック" w:hAnsi="游ゴシック" w:eastAsia="游ゴシック"/>
                <w:b/>
                <w:sz w:val="17"/>
              </w:rPr>
              <w:t>全国該当率</w:t>
            </w:r>
          </w:p>
        </w:tc>
        <w:tc>
          <w:tcPr>
            <w:tcW w:type="dxa" w:w="2948"/>
            <w:shd w:val="clear" w:color="auto" w:fill="DCE6F1"/>
          </w:tcPr>
          <w:p>
            <w:pPr>
              <w:jc w:val="center"/>
            </w:pPr>
            <w:r/>
            <w:r>
              <w:rPr>
                <w:rFonts w:ascii="游ゴシック" w:hAnsi="游ゴシック" w:eastAsia="游ゴシック"/>
                <w:b/>
                <w:sz w:val="17"/>
              </w:rPr>
              <w:t>評価</w:t>
            </w:r>
          </w:p>
        </w:tc>
      </w:tr>
      <w:tr>
        <w:trPr>
          <w:cantSplit/>
        </w:trP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rPr>
          <w:cantSplit/>
        </w:trP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rPr>
          <w:cantSplit/>
        </w:trP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rPr>
          <w:cantSplit/>
        </w:trP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rPr>
          <w:cantSplit/>
        </w:trP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line="269" w:lineRule="auto"/>
        <w:jc w:val="right"/>
      </w:pPr>
      <w:r>
        <w:rPr>
          <w:rFonts w:ascii="游ゴシック" w:hAnsi="游ゴシック" w:eastAsia="游ゴシック"/>
          <w:b w:val="0"/>
          <w:sz w:val="17"/>
        </w:rPr>
        <w:t>資料：同上。「全国該当率」は当該項目に得点のある市町村の割合（令和8年度・集計対象1,741市町村）</w:t>
      </w:r>
    </w:p>
    <w:p>
      <w:pPr>
        <w:spacing w:after="80" w:line="269" w:lineRule="auto"/>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587"/>
            <w:shd w:val="clear" w:color="auto" w:fill="DCE6F1"/>
          </w:tcPr>
          <w:p>
            <w:pPr>
              <w:spacing w:before="0"/>
              <w:jc w:val="center"/>
            </w:pPr>
            <w:r/>
            <w:r>
              <w:rPr>
                <w:rFonts w:ascii="游ゴシック" w:hAnsi="游ゴシック" w:eastAsia="游ゴシック"/>
                <w:b/>
                <w:sz w:val="17"/>
              </w:rPr>
              <w:t>種目</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134"/>
            <w:shd w:val="clear" w:color="auto" w:fill="DCE6F1"/>
          </w:tcPr>
          <w:p>
            <w:pPr>
              <w:jc w:val="center"/>
            </w:pPr>
            <w:r/>
            <w:r>
              <w:rPr>
                <w:rFonts w:ascii="游ゴシック" w:hAnsi="游ゴシック" w:eastAsia="游ゴシック"/>
                <w:b/>
                <w:sz w:val="17"/>
              </w:rPr>
              <w:t>大雪／北海道</w:t>
            </w:r>
          </w:p>
        </w:tc>
        <w:tc>
          <w:tcPr>
            <w:tcW w:type="dxa" w:w="2494"/>
            <w:shd w:val="clear" w:color="auto" w:fill="DCE6F1"/>
          </w:tcPr>
          <w:p>
            <w:pPr>
              <w:jc w:val="center"/>
            </w:pPr>
            <w:r/>
            <w:r>
              <w:rPr>
                <w:rFonts w:ascii="游ゴシック" w:hAnsi="游ゴシック" w:eastAsia="游ゴシック"/>
                <w:b/>
                <w:sz w:val="17"/>
              </w:rPr>
              <w:t>備考</w:t>
            </w:r>
          </w:p>
        </w:tc>
      </w:tr>
      <w:tr>
        <w:trPr>
          <w:cantSplit/>
        </w:trP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rPr>
          <w:cantSplit/>
        </w:trP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 N18-a〜N18-h（令和元年度）</w:t>
      </w:r>
    </w:p>
    <w:p>
      <w:pPr>
        <w:spacing w:after="160" w:line="269" w:lineRule="auto"/>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rPr>
          <w:cantSplit/>
        </w:trP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【介護給付費の適正化（第7期給付適正化計画）】</w:t>
      </w:r>
    </w:p>
    <w:p>
      <w:pPr>
        <w:spacing w:after="80" w:line="269" w:lineRule="auto"/>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line="269" w:lineRule="auto"/>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主要3事業</w:t>
            </w:r>
          </w:p>
        </w:tc>
        <w:tc>
          <w:tcPr>
            <w:tcW w:type="dxa" w:w="3402"/>
            <w:shd w:val="clear" w:color="auto" w:fill="DCE6F1"/>
          </w:tcPr>
          <w:p>
            <w:pPr>
              <w:jc w:val="center"/>
            </w:pPr>
            <w:r/>
            <w:r>
              <w:rPr>
                <w:rFonts w:ascii="游ゴシック" w:hAnsi="游ゴシック" w:eastAsia="游ゴシック"/>
                <w:b/>
                <w:sz w:val="17"/>
              </w:rPr>
              <w:t>指標</w:t>
            </w:r>
          </w:p>
        </w:tc>
        <w:tc>
          <w:tcPr>
            <w:tcW w:type="dxa" w:w="1361"/>
            <w:shd w:val="clear" w:color="auto" w:fill="DCE6F1"/>
          </w:tcPr>
          <w:p>
            <w:pPr>
              <w:jc w:val="center"/>
            </w:pPr>
            <w:r/>
            <w:r>
              <w:rPr>
                <w:rFonts w:ascii="游ゴシック" w:hAnsi="游ゴシック" w:eastAsia="游ゴシック"/>
                <w:b/>
                <w:sz w:val="17"/>
              </w:rPr>
              <w:t>令和9年度</w:t>
            </w:r>
          </w:p>
        </w:tc>
        <w:tc>
          <w:tcPr>
            <w:tcW w:type="dxa" w:w="1361"/>
            <w:shd w:val="clear" w:color="auto" w:fill="DCE6F1"/>
          </w:tcPr>
          <w:p>
            <w:pPr>
              <w:jc w:val="center"/>
            </w:pPr>
            <w:r/>
            <w:r>
              <w:rPr>
                <w:rFonts w:ascii="游ゴシック" w:hAnsi="游ゴシック" w:eastAsia="游ゴシック"/>
                <w:b/>
                <w:sz w:val="17"/>
              </w:rPr>
              <w:t>令和10年度</w:t>
            </w:r>
          </w:p>
        </w:tc>
        <w:tc>
          <w:tcPr>
            <w:tcW w:type="dxa" w:w="1361"/>
            <w:shd w:val="clear" w:color="auto" w:fill="DCE6F1"/>
          </w:tcPr>
          <w:p>
            <w:pPr>
              <w:jc w:val="center"/>
            </w:pPr>
            <w:r/>
            <w:r>
              <w:rPr>
                <w:rFonts w:ascii="游ゴシック" w:hAnsi="游ゴシック" w:eastAsia="游ゴシック"/>
                <w:b/>
                <w:sz w:val="17"/>
              </w:rPr>
              <w:t>令和11年度</w:t>
            </w:r>
          </w:p>
        </w:tc>
      </w:tr>
      <w:tr>
        <w:trPr>
          <w:cantSplit/>
        </w:trP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line="269" w:lineRule="auto"/>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line="269" w:lineRule="auto"/>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国は、BCPの実効性を高めるには行政や他の介護施設等との平時からの連携が重要であるとしたうえで、市区町村の約6割が介護事業所等に対して業務継続を可能とする備えに関する助言等を行っていない状況にあることを示しています。本計画では、保険者として事業所に対する助言及び平時からの連携体制の整備に取り組むこととし、災害時情報共有システムの運用についても3町及び事業所と確認します。連携体制の整備の方法及び目標は3町と協議して定めます［要協議］。</w:t>
      </w:r>
    </w:p>
    <w:p>
      <w:pPr>
        <w:pStyle w:val="ListBullet"/>
        <w:spacing w:after="40"/>
      </w:pPr>
      <w:r>
        <w:rPr>
          <w:rFonts w:ascii="游ゴシック" w:hAnsi="游ゴシック" w:eastAsia="游ゴシック"/>
          <w:sz w:val="20"/>
        </w:rPr>
        <w:t>介護事故の防止について、事業所からの事故報告の受付、報告内容の集計及び傾向の把握を行います。国は、事故防止を推進するための国・都道府県・市町村の役割として、市町村が事故が発生した事業所からの報告の受付並びに報告内容の集計及び傾向の把握を担うことを示し、介護サービス情報公表システムを活用した報告のための仕組みの構築と報告様式の見直しを検討しています（第1章第9節6）。本計画では、集計及び傾向の把握の結果を事業所へ還元することにより事故の防止につなげることとし、報告の受付の方法及び様式は国の検討の結果を踏まえて定めます［要協議］。原因の分析及び再発の防止を目的とするものであり、個人を特定し得る情報は取得しません。</w:t>
      </w:r>
    </w:p>
    <w:p>
      <w:pPr>
        <w:pStyle w:val="ListBullet"/>
        <w:spacing w:after="40"/>
      </w:pPr>
      <w:r>
        <w:rPr>
          <w:rFonts w:ascii="游ゴシック" w:hAnsi="游ゴシック" w:eastAsia="游ゴシック"/>
          <w:sz w:val="20"/>
        </w:rPr>
        <w:t>要配慮者利用施設の避難確保計画について、作成及び避難訓練の実施の状況を把握します。水防法及び土砂災害警戒区域等における土砂災害防止対策の推進に関する法律は、市町村地域防災計画に定められた要配慮者利用施設の所有者又は管理者に対し、避難確保計画の作成及び避難訓練の実施を求めています。北海道の評価指標⑦は避難確保計画を作成した施設数を指標としており、本計画はこれを施設数の実数により用います（第1章第8節）。対象となる施設は構成3町の地域防災計画によるため、3町と確認のうえ対象及び基準値を定めます［要確認］。避難確保計画はBCPとは別の計画であり、作成の根拠となる法律も異なるため、BCPの策定率をもって作成の状況としません。</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特定施設入居者生活介護を行う指定居宅サービス事業者、小規模多機能型居宅介護・認知症対応型共同生活介護・地域密着型特定施設入居者生活介護・複合型サービスを行う指定地域密着型サービス事業者、介護老人保健施設、介護医療院並びに介護予防の事業者が追加されます（第1章第9節2）。申請の経路が増えるため、認定に要する期間の短縮に資するものです。被保険者証の交付・更新の事務及び申請の受付の手順を施行までに整理します。被保険者証の添付、記載、返付等に関する規定の整備は公布の日から起算して3年を超えない範囲内において政令で定める日から施行されるため、施行の時期に応じて事務の手順を改めます。</w:t>
      </w:r>
    </w:p>
    <w:p>
      <w:pPr>
        <w:pStyle w:val="ListBullet"/>
        <w:spacing w:after="40"/>
      </w:pPr>
      <w:r>
        <w:rPr>
          <w:rFonts w:ascii="游ゴシック" w:hAnsi="游ゴシック" w:eastAsia="游ゴシック"/>
          <w:sz w:val="20"/>
        </w:rPr>
        <w:t>同法により、災害が発生した区域に派遣されて災害時における福祉サービスの提供を行う災害時福祉業務従事者の登録の制度が設けられました（第1章第9節2）。介護福祉士、介護支援専門員、社会福祉士等であって厚生労働大臣が実施する研修の課程を修了した者等が対象となり、都道府県知事は、災害が発生した場合に従事することを要請することができるものとされています。区域内の事業所の従事者が登録の対象となり得るため、制度の内容を事業所へ周知するとともに、区域内で災害が発生した場合の受入れの手順を北海道及び構成3町と確認します［要確認］。</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要介護認定の適正化：認定調査、主治医意見書、審査判定の点検と研修。認定に要する期間の短縮（認定調査員及び審査会委員の確保、主治医意見書の提出の促進、審査会の開催回数の確保）</w:t>
            </w:r>
          </w:p>
        </w:tc>
        <w:tc>
          <w:tcPr>
            <w:tcW w:type="dxa" w:w="2958"/>
          </w:tcPr>
          <w:p>
            <w:r/>
            <w:r>
              <w:rPr>
                <w:rFonts w:ascii="游ゴシック" w:hAnsi="游ゴシック" w:eastAsia="游ゴシック"/>
                <w:sz w:val="17"/>
              </w:rPr>
              <w:t>平準化状況の分析 年1回／再調査・修正件数／申請から二次判定までの平均所要日数 30日以内（法第27条第11項）</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rPr>
          <w:cantSplit/>
        </w:trP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rPr>
          <w:cantSplit/>
        </w:trPr>
        <w:tc>
          <w:tcPr>
            <w:tcW w:type="dxa" w:w="3616"/>
          </w:tcPr>
          <w:p>
            <w:r/>
            <w:r>
              <w:rPr>
                <w:rFonts w:ascii="游ゴシック" w:hAnsi="游ゴシック" w:eastAsia="游ゴシック"/>
                <w:sz w:val="17"/>
              </w:rPr>
              <w:t>1人当たり給付費が外れ値となった場合の帳票を活用した点検：第1号被保険者1人当たり給付費が全保険者の平均値に標準偏差の2倍を加えた値を超える旨の通知を受けた場合に、介護給付適正化システムの帳票により点検する。令和9年度下半期の実施率等を記録し、以後の年度がこれを下回らないようにする</w:t>
            </w:r>
          </w:p>
        </w:tc>
        <w:tc>
          <w:tcPr>
            <w:tcW w:type="dxa" w:w="2958"/>
          </w:tcPr>
          <w:p>
            <w:r/>
            <w:r>
              <w:rPr>
                <w:rFonts w:ascii="游ゴシック" w:hAnsi="游ゴシック" w:eastAsia="游ゴシック"/>
                <w:sz w:val="17"/>
              </w:rPr>
              <w:t>令和9年度下半期の実施率等の記録 R9年度中／ケアプラン等の点検の実施件数、医療情報との突合の実施率、縦覧点検の実施率の半期別の把握 毎年度／令和10年度下半期の実施率等が令和9年度下半期以上 100％</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―（調整交付金の一定の取組。第1章第9節5）</w:t>
            </w:r>
          </w:p>
        </w:tc>
      </w:tr>
      <w:tr>
        <w:trPr>
          <w:cantSplit/>
        </w:trP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rPr>
          <w:cantSplit/>
        </w:trP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rPr>
          <w:cantSplit/>
        </w:trP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rPr>
          <w:cantSplit/>
        </w:trPr>
        <w:tc>
          <w:tcPr>
            <w:tcW w:type="dxa" w:w="3616"/>
          </w:tcPr>
          <w:p>
            <w:r/>
            <w:r>
              <w:rPr>
                <w:rFonts w:ascii="游ゴシック" w:hAnsi="游ゴシック" w:eastAsia="游ゴシック"/>
                <w:sz w:val="17"/>
              </w:rPr>
              <w:t>BCP及び避難確保計画の実効性確保：策定状況の確認、訓練の実施、必須業務の特定、代替手順、相互応援協定、要配慮者利用施設の避難確保計画の作成及び避難訓練の確認（水防法・土砂災害防止法。対象施設は3町の地域防災計画による）</w:t>
            </w:r>
          </w:p>
        </w:tc>
        <w:tc>
          <w:tcPr>
            <w:tcW w:type="dxa" w:w="2958"/>
          </w:tcPr>
          <w:p>
            <w:r/>
            <w:r>
              <w:rPr>
                <w:rFonts w:ascii="游ゴシック" w:hAnsi="游ゴシック" w:eastAsia="游ゴシック"/>
                <w:sz w:val="17"/>
              </w:rPr>
              <w:t>BCP策定率 100％／訓練実施率／相互応援協定の締結数／改善完了率／避難確保計画を作成した施設数［要確認］</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rPr>
          <w:cantSplit/>
        </w:trP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基準値</w:t>
            </w:r>
          </w:p>
        </w:tc>
        <w:tc>
          <w:tcPr>
            <w:tcW w:type="dxa" w:w="175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▲4.61％（標準給付費見込額ベース）／R7は決算の確定後に算定</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分母は計画の標準給付費見込額とする（第4章第3節）。総給付費ベースの対計画比では令和6年度▲3.66％・令和7年度▲2.17％であり、いずれの置き方でも第9期は目標の範囲内である</w:t>
            </w:r>
          </w:p>
        </w:tc>
      </w:tr>
      <w:tr>
        <w:trPr>
          <w:cantSplit/>
        </w:trP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業務継続計画の策定を確認した地域密着型サービス事業所の割合（改称）</w:t>
            </w:r>
          </w:p>
        </w:tc>
        <w:tc>
          <w:tcPr>
            <w:tcW w:type="dxa" w:w="2082"/>
          </w:tcPr>
          <w:p>
            <w:r/>
            <w:r>
              <w:rPr>
                <w:rFonts w:ascii="游ゴシック" w:hAnsi="游ゴシック" w:eastAsia="游ゴシック"/>
                <w:sz w:val="17"/>
              </w:rPr>
              <w:t>第10期に算定</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実績としての「継続率」は事象がなければ測定機会が生じないため、備えの整備率に組み替えた（第3節）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指針は点検による効果の把握が望ましいとしている。改善の確認の方法は令和9年度当初に定める実施要領において定める</w:t>
            </w:r>
          </w:p>
        </w:tc>
      </w:tr>
    </w:tbl>
    <w:p>
      <w:r>
        <w:br w:type="page"/>
      </w:r>
    </w:p>
    <w:p>
      <w:pPr>
        <w:pStyle w:val="Heading1"/>
        <w:spacing w:before="240" w:after="100"/>
      </w:pPr>
      <w:bookmarkStart w:id="135" w:name="_Toc10_035"/>
      <w:r>
        <w:rPr>
          <w:rFonts w:ascii="游ゴシック" w:hAnsi="游ゴシック" w:eastAsia="游ゴシック"/>
          <w:sz w:val="30"/>
        </w:rPr>
        <w:t>第6章　介護保険事業等の見込み</w:t>
      </w:r>
      <w:bookmarkEnd w:id="135"/>
    </w:p>
    <w:p>
      <w:pPr>
        <w:pStyle w:val="Heading2"/>
        <w:spacing w:before="180" w:after="100"/>
      </w:pPr>
      <w:bookmarkStart w:id="136" w:name="_Toc10_036"/>
      <w:r>
        <w:rPr>
          <w:rFonts w:ascii="游ゴシック" w:hAnsi="游ゴシック" w:eastAsia="游ゴシック"/>
          <w:sz w:val="25"/>
        </w:rPr>
        <w:t>第1節 要介護認定者数の見込み</w:t>
      </w:r>
      <w:bookmarkEnd w:id="136"/>
    </w:p>
    <w:p>
      <w:pPr>
        <w:spacing w:after="80" w:line="269" w:lineRule="auto"/>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634"/>
            <w:shd w:val="clear" w:color="auto" w:fill="DCE6F1"/>
          </w:tcPr>
          <w:p>
            <w:pPr>
              <w:spacing w:before="0"/>
              <w:jc w:val="center"/>
            </w:pPr>
            <w:r/>
            <w:r>
              <w:rPr>
                <w:rFonts w:ascii="游ゴシック" w:hAnsi="游ゴシック" w:eastAsia="游ゴシック"/>
                <w:b/>
                <w:sz w:val="17"/>
              </w:rPr>
              <w:t>区分</w:t>
            </w:r>
          </w:p>
        </w:tc>
        <w:tc>
          <w:tcPr>
            <w:tcW w:type="dxa" w:w="1253"/>
            <w:shd w:val="clear" w:color="auto" w:fill="DCE6F1"/>
          </w:tcPr>
          <w:p>
            <w:pPr>
              <w:jc w:val="center"/>
            </w:pPr>
            <w:r/>
            <w:r>
              <w:rPr>
                <w:rFonts w:ascii="游ゴシック" w:hAnsi="游ゴシック" w:eastAsia="游ゴシック"/>
                <w:b/>
                <w:sz w:val="17"/>
              </w:rPr>
              <w:t>R7（基準）</w:t>
            </w:r>
          </w:p>
        </w:tc>
        <w:tc>
          <w:tcPr>
            <w:tcW w:type="dxa" w:w="1144"/>
            <w:shd w:val="clear" w:color="auto" w:fill="DCE6F1"/>
          </w:tcPr>
          <w:p>
            <w:pPr>
              <w:jc w:val="center"/>
            </w:pPr>
            <w:r/>
            <w:r>
              <w:rPr>
                <w:rFonts w:ascii="游ゴシック" w:hAnsi="游ゴシック" w:eastAsia="游ゴシック"/>
                <w:b/>
                <w:sz w:val="17"/>
              </w:rPr>
              <w:t>R8</w:t>
            </w:r>
          </w:p>
        </w:tc>
        <w:tc>
          <w:tcPr>
            <w:tcW w:type="dxa" w:w="1144"/>
            <w:shd w:val="clear" w:color="auto" w:fill="DCE6F1"/>
          </w:tcPr>
          <w:p>
            <w:pPr>
              <w:jc w:val="center"/>
            </w:pPr>
            <w:r/>
            <w:r>
              <w:rPr>
                <w:rFonts w:ascii="游ゴシック" w:hAnsi="游ゴシック" w:eastAsia="游ゴシック"/>
                <w:b/>
                <w:sz w:val="17"/>
              </w:rPr>
              <w:t>R9</w:t>
            </w:r>
          </w:p>
        </w:tc>
        <w:tc>
          <w:tcPr>
            <w:tcW w:type="dxa" w:w="1144"/>
            <w:shd w:val="clear" w:color="auto" w:fill="DCE6F1"/>
          </w:tcPr>
          <w:p>
            <w:pPr>
              <w:jc w:val="center"/>
            </w:pPr>
            <w:r/>
            <w:r>
              <w:rPr>
                <w:rFonts w:ascii="游ゴシック" w:hAnsi="游ゴシック" w:eastAsia="游ゴシック"/>
                <w:b/>
                <w:sz w:val="17"/>
              </w:rPr>
              <w:t>R10</w:t>
            </w:r>
          </w:p>
        </w:tc>
        <w:tc>
          <w:tcPr>
            <w:tcW w:type="dxa" w:w="1144"/>
            <w:shd w:val="clear" w:color="auto" w:fill="DCE6F1"/>
          </w:tcPr>
          <w:p>
            <w:pPr>
              <w:jc w:val="center"/>
            </w:pPr>
            <w:r/>
            <w:r>
              <w:rPr>
                <w:rFonts w:ascii="游ゴシック" w:hAnsi="游ゴシック" w:eastAsia="游ゴシック"/>
                <w:b/>
                <w:sz w:val="17"/>
              </w:rPr>
              <w:t>R11</w:t>
            </w:r>
          </w:p>
        </w:tc>
        <w:tc>
          <w:tcPr>
            <w:tcW w:type="dxa" w:w="1144"/>
            <w:shd w:val="clear" w:color="auto" w:fill="DCE6F1"/>
          </w:tcPr>
          <w:p>
            <w:pPr>
              <w:jc w:val="center"/>
            </w:pPr>
            <w:r/>
            <w:r>
              <w:rPr>
                <w:rFonts w:ascii="游ゴシック" w:hAnsi="游ゴシック" w:eastAsia="游ゴシック"/>
                <w:b/>
                <w:sz w:val="17"/>
              </w:rPr>
              <w:t>R17</w:t>
            </w:r>
          </w:p>
        </w:tc>
        <w:tc>
          <w:tcPr>
            <w:tcW w:type="dxa" w:w="1144"/>
            <w:shd w:val="clear" w:color="auto" w:fill="DCE6F1"/>
          </w:tcPr>
          <w:p>
            <w:pPr>
              <w:jc w:val="center"/>
            </w:pPr>
            <w:r/>
            <w:r>
              <w:rPr>
                <w:rFonts w:ascii="游ゴシック" w:hAnsi="游ゴシック" w:eastAsia="游ゴシック"/>
                <w:b/>
                <w:sz w:val="17"/>
              </w:rPr>
              <w:t>R22</w:t>
            </w:r>
          </w:p>
        </w:tc>
      </w:tr>
      <w:tr>
        <w:trPr>
          <w:cantSplit/>
        </w:trP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rPr>
          <w:cantSplit/>
        </w:trP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rPr>
          <w:cantSplit/>
        </w:trP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rPr>
          <w:cantSplit/>
        </w:trP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rPr>
          <w:cantSplit/>
        </w:trP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【要介護度別の認定者数】</w:t>
      </w:r>
    </w:p>
    <w:p>
      <w:pPr>
        <w:spacing w:after="80" w:line="269" w:lineRule="auto"/>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R7（実績）</w:t>
            </w:r>
          </w:p>
        </w:tc>
        <w:tc>
          <w:tcPr>
            <w:tcW w:type="dxa" w:w="1304"/>
            <w:shd w:val="clear" w:color="auto" w:fill="DCE6F1"/>
          </w:tcPr>
          <w:p>
            <w:pPr>
              <w:jc w:val="center"/>
            </w:pPr>
            <w:r/>
            <w:r>
              <w:rPr>
                <w:rFonts w:ascii="游ゴシック" w:hAnsi="游ゴシック" w:eastAsia="游ゴシック"/>
                <w:b/>
                <w:sz w:val="17"/>
              </w:rPr>
              <w:t>R9</w:t>
            </w:r>
          </w:p>
        </w:tc>
        <w:tc>
          <w:tcPr>
            <w:tcW w:type="dxa" w:w="1304"/>
            <w:shd w:val="clear" w:color="auto" w:fill="DCE6F1"/>
          </w:tcPr>
          <w:p>
            <w:pPr>
              <w:jc w:val="center"/>
            </w:pPr>
            <w:r/>
            <w:r>
              <w:rPr>
                <w:rFonts w:ascii="游ゴシック" w:hAnsi="游ゴシック" w:eastAsia="游ゴシック"/>
                <w:b/>
                <w:sz w:val="17"/>
              </w:rPr>
              <w:t>R10</w:t>
            </w:r>
          </w:p>
        </w:tc>
        <w:tc>
          <w:tcPr>
            <w:tcW w:type="dxa" w:w="1304"/>
            <w:shd w:val="clear" w:color="auto" w:fill="DCE6F1"/>
          </w:tcPr>
          <w:p>
            <w:pPr>
              <w:jc w:val="center"/>
            </w:pPr>
            <w:r/>
            <w:r>
              <w:rPr>
                <w:rFonts w:ascii="游ゴシック" w:hAnsi="游ゴシック" w:eastAsia="游ゴシック"/>
                <w:b/>
                <w:sz w:val="17"/>
              </w:rPr>
              <w:t>R11</w:t>
            </w:r>
          </w:p>
        </w:tc>
        <w:tc>
          <w:tcPr>
            <w:tcW w:type="dxa" w:w="1304"/>
            <w:shd w:val="clear" w:color="auto" w:fill="DCE6F1"/>
          </w:tcPr>
          <w:p>
            <w:pPr>
              <w:jc w:val="center"/>
            </w:pPr>
            <w:r/>
            <w:r>
              <w:rPr>
                <w:rFonts w:ascii="游ゴシック" w:hAnsi="游ゴシック" w:eastAsia="游ゴシック"/>
                <w:b/>
                <w:sz w:val="17"/>
              </w:rPr>
              <w:t>R17</w:t>
            </w:r>
          </w:p>
        </w:tc>
        <w:tc>
          <w:tcPr>
            <w:tcW w:type="dxa" w:w="1304"/>
            <w:shd w:val="clear" w:color="auto" w:fill="DCE6F1"/>
          </w:tcPr>
          <w:p>
            <w:pPr>
              <w:jc w:val="center"/>
            </w:pPr>
            <w:r/>
            <w:r>
              <w:rPr>
                <w:rFonts w:ascii="游ゴシック" w:hAnsi="游ゴシック" w:eastAsia="游ゴシック"/>
                <w:b/>
                <w:sz w:val="17"/>
              </w:rPr>
              <w:t>R22</w:t>
            </w:r>
          </w:p>
        </w:tc>
      </w:tr>
      <w:tr>
        <w:trPr>
          <w:cantSplit/>
        </w:trP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rPr>
          <w:cantSplit/>
        </w:trP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rPr>
          <w:cantSplit/>
        </w:trP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rPr>
          <w:cantSplit/>
        </w:trP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rPr>
          <w:cantSplit/>
        </w:trP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rPr>
          <w:cantSplit/>
        </w:trP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rPr>
          <w:cantSplit/>
        </w:trP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rPr>
          <w:cantSplit/>
        </w:trP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line="269" w:lineRule="auto"/>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line="269" w:lineRule="auto"/>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160" w:line="269" w:lineRule="auto"/>
      </w:pPr>
      <w:r>
        <w:rPr>
          <w:rFonts w:ascii="游ゴシック" w:hAnsi="游ゴシック" w:eastAsia="游ゴシック"/>
          <w:b w:val="0"/>
          <w:sz w:val="17"/>
        </w:rPr>
        <w:t>注）認定率は、年報（各年度末現在）の第1号被保険者の認定者数を第1号被保険者数で除したものです。地域包括ケア「見える化」システムの総括表の要介護認定率は各年9月末現在の値であり、将来推計の参考シートが表示する認定率はさらにこれと異なります。いずれも分母・分子の定義によるものではなく時点等の違いによるものであり、本計画は年度末現在の値で統一しています［要確認］。</w:t>
      </w:r>
    </w:p>
    <w:p>
      <w:pPr>
        <w:spacing w:after="160" w:line="269" w:lineRule="auto"/>
      </w:pPr>
      <w:r>
        <w:rPr>
          <w:rFonts w:ascii="游ゴシック" w:hAnsi="游ゴシック" w:eastAsia="游ゴシック"/>
          <w:b w:val="0"/>
          <w:sz w:val="17"/>
        </w:rPr>
        <w:t>注）要介護度の構成は、施設に入所している方と在宅の方を分けずに置いています。施設入所者と在宅者を分けた要介護度の変化を把握できないためです。施設及び居住系サービスの定員が縮小する一方で重度者の在宅・居住系割合が上昇しており（第2章第5節）、入所の状況によって重度化の見え方は変わりますが、本計画はその経路を分けて算定し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【認定率の置き方によるちがい】</w:t>
      </w:r>
    </w:p>
    <w:p>
      <w:pPr>
        <w:spacing w:after="80" w:line="269" w:lineRule="auto"/>
      </w:pPr>
      <w:r>
        <w:rPr>
          <w:rFonts w:ascii="游ゴシック" w:hAnsi="游ゴシック" w:eastAsia="游ゴシック"/>
          <w:b w:val="0"/>
          <w:sz w:val="20"/>
        </w:rPr>
        <w:t>階級別認定率の置き方について、次の3つを算定しました。上表は②によっています。［要協議］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385"/>
            <w:shd w:val="clear" w:color="auto" w:fill="DCE6F1"/>
          </w:tcPr>
          <w:p>
            <w:pPr>
              <w:spacing w:before="0"/>
              <w:jc w:val="center"/>
            </w:pPr>
            <w:r/>
            <w:r>
              <w:rPr>
                <w:rFonts w:ascii="游ゴシック" w:hAnsi="游ゴシック" w:eastAsia="游ゴシック"/>
                <w:b/>
                <w:sz w:val="17"/>
              </w:rPr>
              <w:t>置き方</w:t>
            </w:r>
          </w:p>
        </w:tc>
        <w:tc>
          <w:tcPr>
            <w:tcW w:type="dxa" w:w="3197"/>
            <w:shd w:val="clear" w:color="auto" w:fill="DCE6F1"/>
          </w:tcPr>
          <w:p>
            <w:pPr>
              <w:jc w:val="center"/>
            </w:pPr>
            <w:r/>
            <w:r>
              <w:rPr>
                <w:rFonts w:ascii="游ゴシック" w:hAnsi="游ゴシック" w:eastAsia="游ゴシック"/>
                <w:b/>
                <w:sz w:val="17"/>
              </w:rPr>
              <w:t>内容</w:t>
            </w:r>
          </w:p>
        </w:tc>
        <w:tc>
          <w:tcPr>
            <w:tcW w:type="dxa" w:w="1012"/>
            <w:shd w:val="clear" w:color="auto" w:fill="DCE6F1"/>
          </w:tcPr>
          <w:p>
            <w:pPr>
              <w:jc w:val="center"/>
            </w:pPr>
            <w:r/>
            <w:r>
              <w:rPr>
                <w:rFonts w:ascii="游ゴシック" w:hAnsi="游ゴシック" w:eastAsia="游ゴシック"/>
                <w:b/>
                <w:sz w:val="17"/>
              </w:rPr>
              <w:t>R9</w:t>
            </w:r>
          </w:p>
        </w:tc>
        <w:tc>
          <w:tcPr>
            <w:tcW w:type="dxa" w:w="1012"/>
            <w:shd w:val="clear" w:color="auto" w:fill="DCE6F1"/>
          </w:tcPr>
          <w:p>
            <w:pPr>
              <w:jc w:val="center"/>
            </w:pPr>
            <w:r/>
            <w:r>
              <w:rPr>
                <w:rFonts w:ascii="游ゴシック" w:hAnsi="游ゴシック" w:eastAsia="游ゴシック"/>
                <w:b/>
                <w:sz w:val="17"/>
              </w:rPr>
              <w:t>R10</w:t>
            </w:r>
          </w:p>
        </w:tc>
        <w:tc>
          <w:tcPr>
            <w:tcW w:type="dxa" w:w="1012"/>
            <w:shd w:val="clear" w:color="auto" w:fill="DCE6F1"/>
          </w:tcPr>
          <w:p>
            <w:pPr>
              <w:jc w:val="center"/>
            </w:pPr>
            <w:r/>
            <w:r>
              <w:rPr>
                <w:rFonts w:ascii="游ゴシック" w:hAnsi="游ゴシック" w:eastAsia="游ゴシック"/>
                <w:b/>
                <w:sz w:val="17"/>
              </w:rPr>
              <w:t>R11</w:t>
            </w:r>
          </w:p>
        </w:tc>
        <w:tc>
          <w:tcPr>
            <w:tcW w:type="dxa" w:w="1119"/>
            <w:shd w:val="clear" w:color="auto" w:fill="DCE6F1"/>
          </w:tcPr>
          <w:p>
            <w:pPr>
              <w:jc w:val="center"/>
            </w:pPr>
            <w:r/>
            <w:r>
              <w:rPr>
                <w:rFonts w:ascii="游ゴシック" w:hAnsi="游ゴシック" w:eastAsia="游ゴシック"/>
                <w:b/>
                <w:sz w:val="17"/>
              </w:rPr>
              <w:t>3年計</w:t>
            </w:r>
          </w:p>
        </w:tc>
        <w:tc>
          <w:tcPr>
            <w:tcW w:type="dxa" w:w="1012"/>
            <w:shd w:val="clear" w:color="auto" w:fill="DCE6F1"/>
          </w:tcPr>
          <w:p>
            <w:pPr>
              <w:jc w:val="center"/>
            </w:pPr>
            <w:r/>
            <w:r>
              <w:rPr>
                <w:rFonts w:ascii="游ゴシック" w:hAnsi="游ゴシック" w:eastAsia="游ゴシック"/>
                <w:b/>
                <w:sz w:val="17"/>
              </w:rPr>
              <w:t>R22</w:t>
            </w:r>
          </w:p>
        </w:tc>
      </w:tr>
      <w:tr>
        <w:trPr>
          <w:cantSplit/>
        </w:trPr>
        <w:tc>
          <w:tcPr>
            <w:tcW w:type="dxa" w:w="1385"/>
          </w:tcPr>
          <w:p>
            <w:r/>
            <w:r>
              <w:rPr>
                <w:rFonts w:ascii="游ゴシック" w:hAnsi="游ゴシック" w:eastAsia="游ゴシック"/>
                <w:sz w:val="17"/>
              </w:rPr>
              <w:t>① 現状固定</w:t>
            </w:r>
          </w:p>
        </w:tc>
        <w:tc>
          <w:tcPr>
            <w:tcW w:type="dxa" w:w="3197"/>
          </w:tcPr>
          <w:p>
            <w:r/>
            <w:r>
              <w:rPr>
                <w:rFonts w:ascii="游ゴシック" w:hAnsi="游ゴシック" w:eastAsia="游ゴシック"/>
                <w:sz w:val="17"/>
              </w:rPr>
              <w:t>令和8年3月末の認定率をそのまま固定する</w:t>
            </w:r>
          </w:p>
        </w:tc>
        <w:tc>
          <w:tcPr>
            <w:tcW w:type="dxa" w:w="1012"/>
          </w:tcPr>
          <w:p>
            <w:r/>
            <w:r>
              <w:rPr>
                <w:rFonts w:ascii="游ゴシック" w:hAnsi="游ゴシック" w:eastAsia="游ゴシック"/>
                <w:sz w:val="17"/>
              </w:rPr>
              <w:t>2,045</w:t>
            </w:r>
          </w:p>
        </w:tc>
        <w:tc>
          <w:tcPr>
            <w:tcW w:type="dxa" w:w="1012"/>
          </w:tcPr>
          <w:p>
            <w:r/>
            <w:r>
              <w:rPr>
                <w:rFonts w:ascii="游ゴシック" w:hAnsi="游ゴシック" w:eastAsia="游ゴシック"/>
                <w:sz w:val="17"/>
              </w:rPr>
              <w:t>2,076</w:t>
            </w:r>
          </w:p>
        </w:tc>
        <w:tc>
          <w:tcPr>
            <w:tcW w:type="dxa" w:w="1012"/>
          </w:tcPr>
          <w:p>
            <w:r/>
            <w:r>
              <w:rPr>
                <w:rFonts w:ascii="游ゴシック" w:hAnsi="游ゴシック" w:eastAsia="游ゴシック"/>
                <w:sz w:val="17"/>
              </w:rPr>
              <w:t>2,108</w:t>
            </w:r>
          </w:p>
        </w:tc>
        <w:tc>
          <w:tcPr>
            <w:tcW w:type="dxa" w:w="1119"/>
          </w:tcPr>
          <w:p>
            <w:r/>
            <w:r>
              <w:rPr>
                <w:rFonts w:ascii="游ゴシック" w:hAnsi="游ゴシック" w:eastAsia="游ゴシック"/>
                <w:sz w:val="17"/>
              </w:rPr>
              <w:t>6,229</w:t>
            </w:r>
          </w:p>
        </w:tc>
        <w:tc>
          <w:tcPr>
            <w:tcW w:type="dxa" w:w="1012"/>
          </w:tcPr>
          <w:p>
            <w:r/>
            <w:r>
              <w:rPr>
                <w:rFonts w:ascii="游ゴシック" w:hAnsi="游ゴシック" w:eastAsia="游ゴシック"/>
                <w:sz w:val="17"/>
              </w:rPr>
              <w:t>2,328</w:t>
            </w:r>
          </w:p>
        </w:tc>
      </w:tr>
      <w:tr>
        <w:trPr>
          <w:cantSplit/>
        </w:trPr>
        <w:tc>
          <w:tcPr>
            <w:tcW w:type="dxa" w:w="1385"/>
          </w:tcPr>
          <w:p>
            <w:r/>
            <w:r>
              <w:rPr>
                <w:rFonts w:ascii="游ゴシック" w:hAnsi="游ゴシック" w:eastAsia="游ゴシック"/>
                <w:sz w:val="17"/>
              </w:rPr>
              <w:t>② トレンド継続</w:t>
            </w:r>
          </w:p>
        </w:tc>
        <w:tc>
          <w:tcPr>
            <w:tcW w:type="dxa" w:w="3197"/>
          </w:tcPr>
          <w:p>
            <w:r/>
            <w:r>
              <w:rPr>
                <w:rFonts w:ascii="游ゴシック" w:hAnsi="游ゴシック" w:eastAsia="游ゴシック"/>
                <w:sz w:val="17"/>
              </w:rPr>
              <w:t>令和元年から令和8年の変化を令和11年度まで延長する</w:t>
            </w:r>
          </w:p>
        </w:tc>
        <w:tc>
          <w:tcPr>
            <w:tcW w:type="dxa" w:w="1012"/>
          </w:tcPr>
          <w:p>
            <w:r/>
            <w:r>
              <w:rPr>
                <w:rFonts w:ascii="游ゴシック" w:hAnsi="游ゴシック" w:eastAsia="游ゴシック"/>
                <w:sz w:val="17"/>
              </w:rPr>
              <w:t>2,025</w:t>
            </w:r>
          </w:p>
        </w:tc>
        <w:tc>
          <w:tcPr>
            <w:tcW w:type="dxa" w:w="1012"/>
          </w:tcPr>
          <w:p>
            <w:r/>
            <w:r>
              <w:rPr>
                <w:rFonts w:ascii="游ゴシック" w:hAnsi="游ゴシック" w:eastAsia="游ゴシック"/>
                <w:sz w:val="17"/>
              </w:rPr>
              <w:t>2,046</w:t>
            </w:r>
          </w:p>
        </w:tc>
        <w:tc>
          <w:tcPr>
            <w:tcW w:type="dxa" w:w="1012"/>
          </w:tcPr>
          <w:p>
            <w:r/>
            <w:r>
              <w:rPr>
                <w:rFonts w:ascii="游ゴシック" w:hAnsi="游ゴシック" w:eastAsia="游ゴシック"/>
                <w:sz w:val="17"/>
              </w:rPr>
              <w:t>2,067</w:t>
            </w:r>
          </w:p>
        </w:tc>
        <w:tc>
          <w:tcPr>
            <w:tcW w:type="dxa" w:w="1119"/>
          </w:tcPr>
          <w:p>
            <w:r/>
            <w:r>
              <w:rPr>
                <w:rFonts w:ascii="游ゴシック" w:hAnsi="游ゴシック" w:eastAsia="游ゴシック"/>
                <w:sz w:val="17"/>
              </w:rPr>
              <w:t>6,138</w:t>
            </w:r>
          </w:p>
        </w:tc>
        <w:tc>
          <w:tcPr>
            <w:tcW w:type="dxa" w:w="1012"/>
          </w:tcPr>
          <w:p>
            <w:r/>
            <w:r>
              <w:rPr>
                <w:rFonts w:ascii="游ゴシック" w:hAnsi="游ゴシック" w:eastAsia="游ゴシック"/>
                <w:sz w:val="17"/>
              </w:rPr>
              <w:t>2,288</w:t>
            </w:r>
          </w:p>
        </w:tc>
      </w:tr>
      <w:tr>
        <w:trPr>
          <w:cantSplit/>
        </w:trPr>
        <w:tc>
          <w:tcPr>
            <w:tcW w:type="dxa" w:w="1385"/>
          </w:tcPr>
          <w:p>
            <w:r/>
            <w:r>
              <w:rPr>
                <w:rFonts w:ascii="游ゴシック" w:hAnsi="游ゴシック" w:eastAsia="游ゴシック"/>
                <w:sz w:val="17"/>
              </w:rPr>
              <w:t>③ 令和元年水準</w:t>
            </w:r>
          </w:p>
        </w:tc>
        <w:tc>
          <w:tcPr>
            <w:tcW w:type="dxa" w:w="3197"/>
          </w:tcPr>
          <w:p>
            <w:r/>
            <w:r>
              <w:rPr>
                <w:rFonts w:ascii="游ゴシック" w:hAnsi="游ゴシック" w:eastAsia="游ゴシック"/>
                <w:sz w:val="17"/>
              </w:rPr>
              <w:t>令和11年度にかけて令和元年の水準へ戻る</w:t>
            </w:r>
          </w:p>
        </w:tc>
        <w:tc>
          <w:tcPr>
            <w:tcW w:type="dxa" w:w="1012"/>
          </w:tcPr>
          <w:p>
            <w:r/>
            <w:r>
              <w:rPr>
                <w:rFonts w:ascii="游ゴシック" w:hAnsi="游ゴシック" w:eastAsia="游ゴシック"/>
                <w:sz w:val="17"/>
              </w:rPr>
              <w:t>2,079</w:t>
            </w:r>
          </w:p>
        </w:tc>
        <w:tc>
          <w:tcPr>
            <w:tcW w:type="dxa" w:w="1012"/>
          </w:tcPr>
          <w:p>
            <w:r/>
            <w:r>
              <w:rPr>
                <w:rFonts w:ascii="游ゴシック" w:hAnsi="游ゴシック" w:eastAsia="游ゴシック"/>
                <w:sz w:val="17"/>
              </w:rPr>
              <w:t>2,128</w:t>
            </w:r>
          </w:p>
        </w:tc>
        <w:tc>
          <w:tcPr>
            <w:tcW w:type="dxa" w:w="1012"/>
          </w:tcPr>
          <w:p>
            <w:r/>
            <w:r>
              <w:rPr>
                <w:rFonts w:ascii="游ゴシック" w:hAnsi="游ゴシック" w:eastAsia="游ゴシック"/>
                <w:sz w:val="17"/>
              </w:rPr>
              <w:t>2,178</w:t>
            </w:r>
          </w:p>
        </w:tc>
        <w:tc>
          <w:tcPr>
            <w:tcW w:type="dxa" w:w="1119"/>
          </w:tcPr>
          <w:p>
            <w:r/>
            <w:r>
              <w:rPr>
                <w:rFonts w:ascii="游ゴシック" w:hAnsi="游ゴシック" w:eastAsia="游ゴシック"/>
                <w:sz w:val="17"/>
              </w:rPr>
              <w:t>6,385</w:t>
            </w:r>
          </w:p>
        </w:tc>
        <w:tc>
          <w:tcPr>
            <w:tcW w:type="dxa" w:w="1012"/>
          </w:tcPr>
          <w:p>
            <w:r/>
            <w:r>
              <w:rPr>
                <w:rFonts w:ascii="游ゴシック" w:hAnsi="游ゴシック" w:eastAsia="游ゴシック"/>
                <w:sz w:val="17"/>
              </w:rPr>
              <w:t>2,398</w:t>
            </w:r>
          </w:p>
        </w:tc>
      </w:tr>
    </w:tbl>
    <w:p>
      <w:pPr>
        <w:spacing w:after="80" w:line="269" w:lineRule="auto"/>
      </w:pPr>
      <w:r>
        <w:rPr>
          <w:rFonts w:ascii="游ゴシック" w:hAnsi="游ゴシック" w:eastAsia="游ゴシック"/>
          <w:b w:val="0"/>
          <w:sz w:val="20"/>
        </w:rPr>
        <w:t>いずれの置き方でも認定者数は増えます。認定率が改善する②でも、年齢構成の変化により3年間で2.1％増えます。3年間の合計の差は②と③で247人（4.0％）です。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【人口の基礎による推計のちがい】</w:t>
      </w:r>
    </w:p>
    <w:p>
      <w:pPr>
        <w:spacing w:after="80" w:line="269" w:lineRule="auto"/>
      </w:pPr>
      <w:r>
        <w:rPr>
          <w:rFonts w:ascii="游ゴシック" w:hAnsi="游ゴシック" w:eastAsia="游ゴシック"/>
          <w:b w:val="0"/>
          <w:sz w:val="20"/>
        </w:rPr>
        <w:t>人口の基礎を国立社会保障・人口問題研究所の推計とした場合との対比は次のとおりです。上表は総合戦略ベースによっています。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社人研による場合</w:t>
            </w:r>
          </w:p>
        </w:tc>
        <w:tc>
          <w:tcPr>
            <w:tcW w:type="dxa" w:w="1587"/>
            <w:shd w:val="clear" w:color="auto" w:fill="DCE6F1"/>
          </w:tcPr>
          <w:p>
            <w:pPr>
              <w:jc w:val="center"/>
            </w:pPr>
            <w:r/>
            <w:r>
              <w:rPr>
                <w:rFonts w:ascii="游ゴシック" w:hAnsi="游ゴシック" w:eastAsia="游ゴシック"/>
                <w:b/>
                <w:sz w:val="17"/>
              </w:rPr>
              <w:t>総合戦略ベース（採用）</w:t>
            </w:r>
          </w:p>
        </w:tc>
        <w:tc>
          <w:tcPr>
            <w:tcW w:type="dxa" w:w="1020"/>
            <w:shd w:val="clear" w:color="auto" w:fill="DCE6F1"/>
          </w:tcPr>
          <w:p>
            <w:pPr>
              <w:jc w:val="center"/>
            </w:pPr>
            <w:r/>
            <w:r>
              <w:rPr>
                <w:rFonts w:ascii="游ゴシック" w:hAnsi="游ゴシック" w:eastAsia="游ゴシック"/>
                <w:b/>
                <w:sz w:val="17"/>
              </w:rPr>
              <w:t>差</w:t>
            </w:r>
          </w:p>
        </w:tc>
        <w:tc>
          <w:tcPr>
            <w:tcW w:type="dxa" w:w="2721"/>
            <w:shd w:val="clear" w:color="auto" w:fill="DCE6F1"/>
          </w:tcPr>
          <w:p>
            <w:pPr>
              <w:jc w:val="center"/>
            </w:pPr>
            <w:r/>
            <w:r>
              <w:rPr>
                <w:rFonts w:ascii="游ゴシック" w:hAnsi="游ゴシック" w:eastAsia="游ゴシック"/>
                <w:b/>
                <w:sz w:val="17"/>
              </w:rPr>
              <w:t>内容</w:t>
            </w:r>
          </w:p>
        </w:tc>
      </w:tr>
      <w:tr>
        <w:trPr>
          <w:cantSplit/>
        </w:trPr>
        <w:tc>
          <w:tcPr>
            <w:tcW w:type="dxa" w:w="2608"/>
          </w:tcPr>
          <w:p>
            <w:r/>
            <w:r>
              <w:rPr>
                <w:rFonts w:ascii="游ゴシック" w:hAnsi="游ゴシック" w:eastAsia="游ゴシック"/>
                <w:sz w:val="17"/>
              </w:rPr>
              <w:t>65歳以上（令和11年度）</w:t>
            </w:r>
          </w:p>
        </w:tc>
        <w:tc>
          <w:tcPr>
            <w:tcW w:type="dxa" w:w="1474"/>
          </w:tcPr>
          <w:p>
            <w:r/>
            <w:r>
              <w:rPr>
                <w:rFonts w:ascii="游ゴシック" w:hAnsi="游ゴシック" w:eastAsia="游ゴシック"/>
                <w:sz w:val="17"/>
              </w:rPr>
              <w:t>9,072</w:t>
            </w:r>
          </w:p>
        </w:tc>
        <w:tc>
          <w:tcPr>
            <w:tcW w:type="dxa" w:w="1587"/>
          </w:tcPr>
          <w:p>
            <w:r/>
            <w:r>
              <w:rPr>
                <w:rFonts w:ascii="游ゴシック" w:hAnsi="游ゴシック" w:eastAsia="游ゴシック"/>
                <w:sz w:val="17"/>
              </w:rPr>
              <w:t>9,213</w:t>
            </w:r>
          </w:p>
        </w:tc>
        <w:tc>
          <w:tcPr>
            <w:tcW w:type="dxa" w:w="1020"/>
          </w:tcPr>
          <w:p>
            <w:r/>
            <w:r>
              <w:rPr>
                <w:rFonts w:ascii="游ゴシック" w:hAnsi="游ゴシック" w:eastAsia="游ゴシック"/>
                <w:sz w:val="17"/>
              </w:rPr>
              <w:t>＋141</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 xml:space="preserve">　うち65〜74歳</w:t>
            </w:r>
          </w:p>
        </w:tc>
        <w:tc>
          <w:tcPr>
            <w:tcW w:type="dxa" w:w="1474"/>
          </w:tcPr>
          <w:p>
            <w:r/>
            <w:r>
              <w:rPr>
                <w:rFonts w:ascii="游ゴシック" w:hAnsi="游ゴシック" w:eastAsia="游ゴシック"/>
                <w:sz w:val="17"/>
              </w:rPr>
              <w:t>3,403</w:t>
            </w:r>
          </w:p>
        </w:tc>
        <w:tc>
          <w:tcPr>
            <w:tcW w:type="dxa" w:w="1587"/>
          </w:tcPr>
          <w:p>
            <w:r/>
            <w:r>
              <w:rPr>
                <w:rFonts w:ascii="游ゴシック" w:hAnsi="游ゴシック" w:eastAsia="游ゴシック"/>
                <w:sz w:val="17"/>
              </w:rPr>
              <w:t>3,372</w:t>
            </w:r>
          </w:p>
        </w:tc>
        <w:tc>
          <w:tcPr>
            <w:tcW w:type="dxa" w:w="1020"/>
          </w:tcPr>
          <w:p>
            <w:r/>
            <w:r>
              <w:rPr>
                <w:rFonts w:ascii="游ゴシック" w:hAnsi="游ゴシック" w:eastAsia="游ゴシック"/>
                <w:sz w:val="17"/>
              </w:rPr>
              <w:t>▲31</w:t>
            </w:r>
          </w:p>
        </w:tc>
        <w:tc>
          <w:tcPr>
            <w:tcW w:type="dxa" w:w="2721"/>
          </w:tcPr>
          <w:p>
            <w:r/>
            <w:r>
              <w:rPr>
                <w:rFonts w:ascii="游ゴシック" w:hAnsi="游ゴシック" w:eastAsia="游ゴシック"/>
                <w:sz w:val="17"/>
              </w:rPr>
              <w:t>住民基本台帳では年▲1.62％</w:t>
            </w:r>
          </w:p>
        </w:tc>
      </w:tr>
      <w:tr>
        <w:trPr>
          <w:cantSplit/>
        </w:trPr>
        <w:tc>
          <w:tcPr>
            <w:tcW w:type="dxa" w:w="2608"/>
          </w:tcPr>
          <w:p>
            <w:r/>
            <w:r>
              <w:rPr>
                <w:rFonts w:ascii="游ゴシック" w:hAnsi="游ゴシック" w:eastAsia="游ゴシック"/>
                <w:sz w:val="17"/>
              </w:rPr>
              <w:t xml:space="preserve">　うち75歳以上</w:t>
            </w:r>
          </w:p>
        </w:tc>
        <w:tc>
          <w:tcPr>
            <w:tcW w:type="dxa" w:w="1474"/>
          </w:tcPr>
          <w:p>
            <w:r/>
            <w:r>
              <w:rPr>
                <w:rFonts w:ascii="游ゴシック" w:hAnsi="游ゴシック" w:eastAsia="游ゴシック"/>
                <w:sz w:val="17"/>
              </w:rPr>
              <w:t>5,669</w:t>
            </w:r>
          </w:p>
        </w:tc>
        <w:tc>
          <w:tcPr>
            <w:tcW w:type="dxa" w:w="1587"/>
          </w:tcPr>
          <w:p>
            <w:r/>
            <w:r>
              <w:rPr>
                <w:rFonts w:ascii="游ゴシック" w:hAnsi="游ゴシック" w:eastAsia="游ゴシック"/>
                <w:sz w:val="17"/>
              </w:rPr>
              <w:t>5,841</w:t>
            </w:r>
          </w:p>
        </w:tc>
        <w:tc>
          <w:tcPr>
            <w:tcW w:type="dxa" w:w="1020"/>
          </w:tcPr>
          <w:p>
            <w:r/>
            <w:r>
              <w:rPr>
                <w:rFonts w:ascii="游ゴシック" w:hAnsi="游ゴシック" w:eastAsia="游ゴシック"/>
                <w:sz w:val="17"/>
              </w:rPr>
              <w:t>＋172</w:t>
            </w:r>
          </w:p>
        </w:tc>
        <w:tc>
          <w:tcPr>
            <w:tcW w:type="dxa" w:w="2721"/>
          </w:tcPr>
          <w:p>
            <w:r/>
            <w:r>
              <w:rPr>
                <w:rFonts w:ascii="游ゴシック" w:hAnsi="游ゴシック" w:eastAsia="游ゴシック"/>
                <w:sz w:val="17"/>
              </w:rPr>
              <w:t>住民基本台帳では年＋1.56％</w:t>
            </w:r>
          </w:p>
        </w:tc>
      </w:tr>
      <w:tr>
        <w:trPr>
          <w:cantSplit/>
        </w:trPr>
        <w:tc>
          <w:tcPr>
            <w:tcW w:type="dxa" w:w="2608"/>
          </w:tcPr>
          <w:p>
            <w:r/>
            <w:r>
              <w:rPr>
                <w:rFonts w:ascii="游ゴシック" w:hAnsi="游ゴシック" w:eastAsia="游ゴシック"/>
                <w:sz w:val="17"/>
              </w:rPr>
              <w:t>認定者数（令和11年度）</w:t>
            </w:r>
          </w:p>
        </w:tc>
        <w:tc>
          <w:tcPr>
            <w:tcW w:type="dxa" w:w="1474"/>
          </w:tcPr>
          <w:p>
            <w:r/>
            <w:r>
              <w:rPr>
                <w:rFonts w:ascii="游ゴシック" w:hAnsi="游ゴシック" w:eastAsia="游ゴシック"/>
                <w:sz w:val="17"/>
              </w:rPr>
              <w:t>2,004</w:t>
            </w:r>
          </w:p>
        </w:tc>
        <w:tc>
          <w:tcPr>
            <w:tcW w:type="dxa" w:w="1587"/>
          </w:tcPr>
          <w:p>
            <w:r/>
            <w:r>
              <w:rPr>
                <w:rFonts w:ascii="游ゴシック" w:hAnsi="游ゴシック" w:eastAsia="游ゴシック"/>
                <w:sz w:val="17"/>
              </w:rPr>
              <w:t>2,067</w:t>
            </w:r>
          </w:p>
        </w:tc>
        <w:tc>
          <w:tcPr>
            <w:tcW w:type="dxa" w:w="1020"/>
          </w:tcPr>
          <w:p>
            <w:r/>
            <w:r>
              <w:rPr>
                <w:rFonts w:ascii="游ゴシック" w:hAnsi="游ゴシック" w:eastAsia="游ゴシック"/>
                <w:sz w:val="17"/>
              </w:rPr>
              <w:t>＋63</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認定率（令和11年度）</w:t>
            </w:r>
          </w:p>
        </w:tc>
        <w:tc>
          <w:tcPr>
            <w:tcW w:type="dxa" w:w="1474"/>
          </w:tcPr>
          <w:p>
            <w:r/>
            <w:r>
              <w:rPr>
                <w:rFonts w:ascii="游ゴシック" w:hAnsi="游ゴシック" w:eastAsia="游ゴシック"/>
                <w:sz w:val="17"/>
              </w:rPr>
              <w:t>22.1％</w:t>
            </w:r>
          </w:p>
        </w:tc>
        <w:tc>
          <w:tcPr>
            <w:tcW w:type="dxa" w:w="1587"/>
          </w:tcPr>
          <w:p>
            <w:r/>
            <w:r>
              <w:rPr>
                <w:rFonts w:ascii="游ゴシック" w:hAnsi="游ゴシック" w:eastAsia="游ゴシック"/>
                <w:sz w:val="17"/>
              </w:rPr>
              <w:t>22.4％</w:t>
            </w:r>
          </w:p>
        </w:tc>
        <w:tc>
          <w:tcPr>
            <w:tcW w:type="dxa" w:w="1020"/>
          </w:tcPr>
          <w:p>
            <w:r/>
            <w:r>
              <w:rPr>
                <w:rFonts w:ascii="游ゴシック" w:hAnsi="游ゴシック" w:eastAsia="游ゴシック"/>
                <w:sz w:val="17"/>
              </w:rPr>
              <w:t>＋0.3pt</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保険料基準額（月額・3年平均）</w:t>
            </w:r>
          </w:p>
        </w:tc>
        <w:tc>
          <w:tcPr>
            <w:tcW w:type="dxa" w:w="1474"/>
          </w:tcPr>
          <w:p>
            <w:r/>
            <w:r>
              <w:rPr>
                <w:rFonts w:ascii="游ゴシック" w:hAnsi="游ゴシック" w:eastAsia="游ゴシック"/>
                <w:sz w:val="17"/>
              </w:rPr>
              <w:t>6,670円</w:t>
            </w:r>
          </w:p>
        </w:tc>
        <w:tc>
          <w:tcPr>
            <w:tcW w:type="dxa" w:w="1587"/>
          </w:tcPr>
          <w:p>
            <w:r/>
            <w:r>
              <w:rPr>
                <w:rFonts w:ascii="游ゴシック" w:hAnsi="游ゴシック" w:eastAsia="游ゴシック"/>
                <w:sz w:val="17"/>
              </w:rPr>
              <w:t>6,740円</w:t>
            </w:r>
          </w:p>
        </w:tc>
        <w:tc>
          <w:tcPr>
            <w:tcW w:type="dxa" w:w="1020"/>
          </w:tcPr>
          <w:p>
            <w:r/>
            <w:r>
              <w:rPr>
                <w:rFonts w:ascii="游ゴシック" w:hAnsi="游ゴシック" w:eastAsia="游ゴシック"/>
                <w:sz w:val="17"/>
              </w:rPr>
              <w:t>＋70円</w:t>
            </w:r>
          </w:p>
        </w:tc>
        <w:tc>
          <w:tcPr>
            <w:tcW w:type="dxa" w:w="2721"/>
          </w:tcPr>
          <w:p>
            <w:r/>
            <w:r>
              <w:rPr>
                <w:rFonts w:ascii="游ゴシック" w:hAnsi="游ゴシック" w:eastAsia="游ゴシック"/>
                <w:sz w:val="17"/>
              </w:rPr>
              <w:t>見える化システムの自然体推計による場合（第6節の置き方③）</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w:t>
      </w:r>
    </w:p>
    <w:p>
      <w:pPr>
        <w:spacing w:after="80" w:line="269" w:lineRule="auto"/>
      </w:pPr>
      <w:r>
        <w:rPr>
          <w:rFonts w:ascii="游ゴシック" w:hAnsi="游ゴシック" w:eastAsia="游ゴシック"/>
          <w:b w:val="0"/>
          <w:sz w:val="20"/>
        </w:rPr>
        <w:t>住民基本台帳の実績では、75歳以上が社人研の推計より速く増えています。認定率の高い層が増えるため、第1号被保険者数が141人増えるのに対し、認定者数は63人増えます。保険料基準額は、分子（給付費）の増加が分母（第1号被保険者数）の増加を上回るため上がります。</w:t>
      </w:r>
    </w:p>
    <w:p>
      <w:pPr>
        <w:spacing w:after="160" w:line="269" w:lineRule="auto"/>
      </w:pPr>
      <w:r>
        <w:rPr>
          <w:rFonts w:ascii="游ゴシック" w:hAnsi="游ゴシック" w:eastAsia="游ゴシック"/>
          <w:b w:val="0"/>
          <w:sz w:val="17"/>
        </w:rPr>
        <w:t>注）保険料基準額の欄は、給付費を見える化システムの自然体推計により置いた場合の対比です。第6節の暫定算定は、令和7年度の実績から組み上げた給付費（第3節）によっており、算定上の月額基準額は6,438円です。</w:t>
      </w:r>
    </w:p>
    <w:p>
      <w:pPr>
        <w:spacing w:after="160" w:line="269" w:lineRule="auto"/>
      </w:pPr>
      <w:r>
        <w:rPr>
          <w:rFonts w:ascii="游ゴシック" w:hAnsi="游ゴシック" w:eastAsia="游ゴシック"/>
          <w:b w:val="0"/>
          <w:sz w:val="17"/>
        </w:rPr>
        <w:t>総人口の目標値は3町一律には用いられません。美瑛町の第3期総合戦略に人口の目標値がないこと、東神楽町の実績が目標（9,500人の維持）を下回る見込みであること、東川町の実績が目標（8,635人）を既に上回っていることによります。このため、総人口は3町計を総合戦略の目標の水準により置き、年齢階級別の内訳及び町別の総人口は住民基本台帳の実績趨勢によることとしています［要協議］。</w:t>
      </w:r>
    </w:p>
    <w:p>
      <w:pPr>
        <w:pStyle w:val="Heading2"/>
        <w:spacing w:before="180" w:after="100"/>
      </w:pPr>
      <w:bookmarkStart w:id="137" w:name="_Toc10_037"/>
      <w:r>
        <w:rPr>
          <w:rFonts w:ascii="游ゴシック" w:hAnsi="游ゴシック" w:eastAsia="游ゴシック"/>
          <w:sz w:val="25"/>
        </w:rPr>
        <w:t>第2節 介護給付等サービスの見込量</w:t>
      </w:r>
      <w:bookmarkEnd w:id="137"/>
    </w:p>
    <w:p>
      <w:pPr>
        <w:spacing w:after="80" w:line="269" w:lineRule="auto"/>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line="269" w:lineRule="auto"/>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推計段階</w:t>
            </w:r>
          </w:p>
        </w:tc>
        <w:tc>
          <w:tcPr>
            <w:tcW w:type="dxa" w:w="4602"/>
            <w:shd w:val="clear" w:color="auto" w:fill="DCE6F1"/>
          </w:tcPr>
          <w:p>
            <w:pPr>
              <w:jc w:val="center"/>
            </w:pPr>
            <w:r/>
            <w:r>
              <w:rPr>
                <w:rFonts w:ascii="游ゴシック" w:hAnsi="游ゴシック" w:eastAsia="游ゴシック"/>
                <w:b/>
                <w:sz w:val="17"/>
              </w:rPr>
              <w:t>内容</w:t>
            </w:r>
          </w:p>
        </w:tc>
        <w:tc>
          <w:tcPr>
            <w:tcW w:type="dxa" w:w="3287"/>
            <w:shd w:val="clear" w:color="auto" w:fill="DCE6F1"/>
          </w:tcPr>
          <w:p>
            <w:pPr>
              <w:jc w:val="center"/>
            </w:pPr>
            <w:r/>
            <w:r>
              <w:rPr>
                <w:rFonts w:ascii="游ゴシック" w:hAnsi="游ゴシック" w:eastAsia="游ゴシック"/>
                <w:b/>
                <w:sz w:val="17"/>
              </w:rPr>
              <w:t>確認資料</w:t>
            </w:r>
          </w:p>
        </w:tc>
      </w:tr>
      <w:tr>
        <w:trPr>
          <w:cantSplit/>
        </w:trP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rPr>
          <w:cantSplit/>
        </w:trP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rPr>
          <w:cantSplit/>
        </w:trP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rPr>
          <w:cantSplit/>
        </w:trP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rPr>
          <w:cantSplit/>
        </w:trP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【見込量の算定方法】</w:t>
      </w:r>
    </w:p>
    <w:p>
      <w:pPr>
        <w:spacing w:after="80" w:line="269" w:lineRule="auto"/>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単位</w:t>
            </w:r>
          </w:p>
        </w:tc>
        <w:tc>
          <w:tcPr>
            <w:tcW w:type="dxa" w:w="986"/>
            <w:shd w:val="clear" w:color="auto" w:fill="DCE6F1"/>
          </w:tcPr>
          <w:p>
            <w:pPr>
              <w:jc w:val="center"/>
            </w:pPr>
            <w:r/>
            <w:r>
              <w:rPr>
                <w:rFonts w:ascii="游ゴシック" w:hAnsi="游ゴシック" w:eastAsia="游ゴシック"/>
                <w:b/>
                <w:sz w:val="17"/>
              </w:rPr>
              <w:t>R7実績</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877"/>
            <w:shd w:val="clear" w:color="auto" w:fill="DCE6F1"/>
          </w:tcPr>
          <w:p>
            <w:pPr>
              <w:jc w:val="center"/>
            </w:pPr>
            <w:r/>
            <w:r>
              <w:rPr>
                <w:rFonts w:ascii="游ゴシック" w:hAnsi="游ゴシック" w:eastAsia="游ゴシック"/>
                <w:b/>
                <w:sz w:val="17"/>
              </w:rPr>
              <w:t>R17</w:t>
            </w:r>
          </w:p>
        </w:tc>
        <w:tc>
          <w:tcPr>
            <w:tcW w:type="dxa" w:w="877"/>
            <w:shd w:val="clear" w:color="auto" w:fill="DCE6F1"/>
          </w:tcPr>
          <w:p>
            <w:pPr>
              <w:jc w:val="center"/>
            </w:pPr>
            <w:r/>
            <w:r>
              <w:rPr>
                <w:rFonts w:ascii="游ゴシック" w:hAnsi="游ゴシック" w:eastAsia="游ゴシック"/>
                <w:b/>
                <w:sz w:val="17"/>
              </w:rPr>
              <w:t>R22</w:t>
            </w:r>
          </w:p>
        </w:tc>
        <w:tc>
          <w:tcPr>
            <w:tcW w:type="dxa" w:w="1315"/>
            <w:shd w:val="clear" w:color="auto" w:fill="DCE6F1"/>
          </w:tcPr>
          <w:p>
            <w:pPr>
              <w:jc w:val="center"/>
            </w:pPr>
            <w:r/>
            <w:r>
              <w:rPr>
                <w:rFonts w:ascii="游ゴシック" w:hAnsi="游ゴシック" w:eastAsia="游ゴシック"/>
                <w:b/>
                <w:sz w:val="17"/>
              </w:rPr>
              <w:t>事業所数（R6）</w:t>
            </w:r>
          </w:p>
        </w:tc>
      </w:tr>
      <w:tr>
        <w:trPr>
          <w:cantSplit/>
        </w:trP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rPr>
          <w:cantSplit/>
        </w:trP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rPr>
          <w:cantSplit/>
        </w:trP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rPr>
          <w:cantSplit/>
        </w:trP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rPr>
          <w:cantSplit/>
        </w:trP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rPr>
          <w:cantSplit/>
        </w:trP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line="269" w:lineRule="auto"/>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180" w:after="100"/>
      </w:pPr>
      <w:r>
        <w:rPr>
          <w:rFonts w:ascii="游ゴシック" w:hAnsi="游ゴシック" w:eastAsia="游ゴシック"/>
          <w:sz w:val="22"/>
        </w:rPr>
        <w:t>（2）地域密着型サービス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992"/>
            <w:shd w:val="clear" w:color="auto" w:fill="DCE6F1"/>
          </w:tcPr>
          <w:p>
            <w:pPr>
              <w:spacing w:before="0"/>
              <w:jc w:val="center"/>
            </w:pPr>
            <w:r/>
            <w:r>
              <w:rPr>
                <w:rFonts w:ascii="游ゴシック" w:hAnsi="游ゴシック" w:eastAsia="游ゴシック"/>
                <w:b/>
                <w:sz w:val="17"/>
              </w:rPr>
              <w:t>サービス</w:t>
            </w:r>
          </w:p>
        </w:tc>
        <w:tc>
          <w:tcPr>
            <w:tcW w:type="dxa" w:w="776"/>
            <w:shd w:val="clear" w:color="auto" w:fill="DCE6F1"/>
          </w:tcPr>
          <w:p>
            <w:pPr>
              <w:jc w:val="center"/>
            </w:pPr>
            <w:r/>
            <w:r>
              <w:rPr>
                <w:rFonts w:ascii="游ゴシック" w:hAnsi="游ゴシック" w:eastAsia="游ゴシック"/>
                <w:b/>
                <w:sz w:val="17"/>
              </w:rPr>
              <w:t>単位</w:t>
            </w:r>
          </w:p>
        </w:tc>
        <w:tc>
          <w:tcPr>
            <w:tcW w:type="dxa" w:w="831"/>
            <w:shd w:val="clear" w:color="auto" w:fill="DCE6F1"/>
          </w:tcPr>
          <w:p>
            <w:pPr>
              <w:jc w:val="center"/>
            </w:pPr>
            <w:r/>
            <w:r>
              <w:rPr>
                <w:rFonts w:ascii="游ゴシック" w:hAnsi="游ゴシック" w:eastAsia="游ゴシック"/>
                <w:b/>
                <w:sz w:val="17"/>
              </w:rPr>
              <w:t>R7実績</w:t>
            </w:r>
          </w:p>
        </w:tc>
        <w:tc>
          <w:tcPr>
            <w:tcW w:type="dxa" w:w="831"/>
            <w:shd w:val="clear" w:color="auto" w:fill="DCE6F1"/>
          </w:tcPr>
          <w:p>
            <w:pPr>
              <w:jc w:val="center"/>
            </w:pPr>
            <w:r/>
            <w:r>
              <w:rPr>
                <w:rFonts w:ascii="游ゴシック" w:hAnsi="游ゴシック" w:eastAsia="游ゴシック"/>
                <w:b/>
                <w:sz w:val="17"/>
              </w:rPr>
              <w:t>R9</w:t>
            </w:r>
          </w:p>
        </w:tc>
        <w:tc>
          <w:tcPr>
            <w:tcW w:type="dxa" w:w="831"/>
            <w:shd w:val="clear" w:color="auto" w:fill="DCE6F1"/>
          </w:tcPr>
          <w:p>
            <w:pPr>
              <w:jc w:val="center"/>
            </w:pPr>
            <w:r/>
            <w:r>
              <w:rPr>
                <w:rFonts w:ascii="游ゴシック" w:hAnsi="游ゴシック" w:eastAsia="游ゴシック"/>
                <w:b/>
                <w:sz w:val="17"/>
              </w:rPr>
              <w:t>R10</w:t>
            </w:r>
          </w:p>
        </w:tc>
        <w:tc>
          <w:tcPr>
            <w:tcW w:type="dxa" w:w="831"/>
            <w:shd w:val="clear" w:color="auto" w:fill="DCE6F1"/>
          </w:tcPr>
          <w:p>
            <w:pPr>
              <w:jc w:val="center"/>
            </w:pPr>
            <w:r/>
            <w:r>
              <w:rPr>
                <w:rFonts w:ascii="游ゴシック" w:hAnsi="游ゴシック" w:eastAsia="游ゴシック"/>
                <w:b/>
                <w:sz w:val="17"/>
              </w:rPr>
              <w:t>R11</w:t>
            </w:r>
          </w:p>
        </w:tc>
        <w:tc>
          <w:tcPr>
            <w:tcW w:type="dxa" w:w="776"/>
            <w:shd w:val="clear" w:color="auto" w:fill="DCE6F1"/>
          </w:tcPr>
          <w:p>
            <w:pPr>
              <w:jc w:val="center"/>
            </w:pPr>
            <w:r/>
            <w:r>
              <w:rPr>
                <w:rFonts w:ascii="游ゴシック" w:hAnsi="游ゴシック" w:eastAsia="游ゴシック"/>
                <w:b/>
                <w:sz w:val="17"/>
              </w:rPr>
              <w:t>R17</w:t>
            </w:r>
          </w:p>
        </w:tc>
        <w:tc>
          <w:tcPr>
            <w:tcW w:type="dxa" w:w="776"/>
            <w:shd w:val="clear" w:color="auto" w:fill="DCE6F1"/>
          </w:tcPr>
          <w:p>
            <w:pPr>
              <w:jc w:val="center"/>
            </w:pPr>
            <w:r/>
            <w:r>
              <w:rPr>
                <w:rFonts w:ascii="游ゴシック" w:hAnsi="游ゴシック" w:eastAsia="游ゴシック"/>
                <w:b/>
                <w:sz w:val="17"/>
              </w:rPr>
              <w:t>R22</w:t>
            </w:r>
          </w:p>
        </w:tc>
        <w:tc>
          <w:tcPr>
            <w:tcW w:type="dxa" w:w="1108"/>
            <w:shd w:val="clear" w:color="auto" w:fill="DCE6F1"/>
          </w:tcPr>
          <w:p>
            <w:pPr>
              <w:jc w:val="center"/>
            </w:pPr>
            <w:r/>
            <w:r>
              <w:rPr>
                <w:rFonts w:ascii="游ゴシック" w:hAnsi="游ゴシック" w:eastAsia="游ゴシック"/>
                <w:b/>
                <w:sz w:val="17"/>
              </w:rPr>
              <w:t>事業所数（R6）</w:t>
            </w:r>
          </w:p>
        </w:tc>
      </w:tr>
      <w:tr>
        <w:trPr>
          <w:cantSplit/>
        </w:trP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rPr>
          <w:cantSplit/>
        </w:trP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rPr>
          <w:cantSplit/>
        </w:trP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1）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第4節1の確保方策により整備又は事業の実施を行う場合は、開始する年度から利用者数及び給付費を加えます。</w:t>
        <w:br/>
        <w:t>注2）認知症対応型通所介護は、区域内に事業所が存在しませんが区域外の事業所により給付が行われています。第9期計画では計画値を0としていたため、実績がありながら計画値に対する実績の割合が算出されず、評価の対象となりませんでした（第3章第3節）。第10期は実績から算定した値を置きます。なお、本サービスについては、請求事業所数及び受給者数が全国的に減少傾向にあることを踏まえ、地域密着型通所介護の報酬体系及び単位数を参考にしつつ基本報酬の在り方を検討することとされています（第1章第9節6）。本表は令和7年度の実績による単価で算定しており、区分が改められた場合は単価を再算定します［要確認］。</w:t>
      </w:r>
    </w:p>
    <w:p>
      <w:pPr>
        <w:pStyle w:val="Heading3"/>
        <w:spacing w:before="180" w:after="100"/>
      </w:pPr>
      <w:r>
        <w:rPr>
          <w:rFonts w:ascii="游ゴシック" w:hAnsi="游ゴシック" w:eastAsia="游ゴシック"/>
          <w:sz w:val="22"/>
        </w:rPr>
        <w:t>（3）施設サービス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384"/>
            <w:shd w:val="clear" w:color="auto" w:fill="DCE6F1"/>
          </w:tcPr>
          <w:p>
            <w:pPr>
              <w:spacing w:before="0"/>
              <w:jc w:val="center"/>
            </w:pPr>
            <w:r/>
            <w:r>
              <w:rPr>
                <w:rFonts w:ascii="游ゴシック" w:hAnsi="游ゴシック" w:eastAsia="游ゴシック"/>
                <w:b/>
                <w:sz w:val="17"/>
              </w:rPr>
              <w:t>サービス</w:t>
            </w:r>
          </w:p>
        </w:tc>
        <w:tc>
          <w:tcPr>
            <w:tcW w:type="dxa" w:w="867"/>
            <w:shd w:val="clear" w:color="auto" w:fill="DCE6F1"/>
          </w:tcPr>
          <w:p>
            <w:pPr>
              <w:jc w:val="center"/>
            </w:pPr>
            <w:r/>
            <w:r>
              <w:rPr>
                <w:rFonts w:ascii="游ゴシック" w:hAnsi="游ゴシック" w:eastAsia="游ゴシック"/>
                <w:b/>
                <w:sz w:val="17"/>
              </w:rPr>
              <w:t>単位</w:t>
            </w:r>
          </w:p>
        </w:tc>
        <w:tc>
          <w:tcPr>
            <w:tcW w:type="dxa" w:w="975"/>
            <w:shd w:val="clear" w:color="auto" w:fill="DCE6F1"/>
          </w:tcPr>
          <w:p>
            <w:pPr>
              <w:jc w:val="center"/>
            </w:pPr>
            <w:r/>
            <w:r>
              <w:rPr>
                <w:rFonts w:ascii="游ゴシック" w:hAnsi="游ゴシック" w:eastAsia="游ゴシック"/>
                <w:b/>
                <w:sz w:val="17"/>
              </w:rPr>
              <w:t>R7実績</w:t>
            </w:r>
          </w:p>
        </w:tc>
        <w:tc>
          <w:tcPr>
            <w:tcW w:type="dxa" w:w="867"/>
            <w:shd w:val="clear" w:color="auto" w:fill="DCE6F1"/>
          </w:tcPr>
          <w:p>
            <w:pPr>
              <w:jc w:val="center"/>
            </w:pPr>
            <w:r/>
            <w:r>
              <w:rPr>
                <w:rFonts w:ascii="游ゴシック" w:hAnsi="游ゴシック" w:eastAsia="游ゴシック"/>
                <w:b/>
                <w:sz w:val="17"/>
              </w:rPr>
              <w:t>R9</w:t>
            </w:r>
          </w:p>
        </w:tc>
        <w:tc>
          <w:tcPr>
            <w:tcW w:type="dxa" w:w="867"/>
            <w:shd w:val="clear" w:color="auto" w:fill="DCE6F1"/>
          </w:tcPr>
          <w:p>
            <w:pPr>
              <w:jc w:val="center"/>
            </w:pPr>
            <w:r/>
            <w:r>
              <w:rPr>
                <w:rFonts w:ascii="游ゴシック" w:hAnsi="游ゴシック" w:eastAsia="游ゴシック"/>
                <w:b/>
                <w:sz w:val="17"/>
              </w:rPr>
              <w:t>R10</w:t>
            </w:r>
          </w:p>
        </w:tc>
        <w:tc>
          <w:tcPr>
            <w:tcW w:type="dxa" w:w="867"/>
            <w:shd w:val="clear" w:color="auto" w:fill="DCE6F1"/>
          </w:tcPr>
          <w:p>
            <w:pPr>
              <w:jc w:val="center"/>
            </w:pPr>
            <w:r/>
            <w:r>
              <w:rPr>
                <w:rFonts w:ascii="游ゴシック" w:hAnsi="游ゴシック" w:eastAsia="游ゴシック"/>
                <w:b/>
                <w:sz w:val="17"/>
              </w:rPr>
              <w:t>R11</w:t>
            </w:r>
          </w:p>
        </w:tc>
        <w:tc>
          <w:tcPr>
            <w:tcW w:type="dxa" w:w="867"/>
            <w:shd w:val="clear" w:color="auto" w:fill="DCE6F1"/>
          </w:tcPr>
          <w:p>
            <w:pPr>
              <w:jc w:val="center"/>
            </w:pPr>
            <w:r/>
            <w:r>
              <w:rPr>
                <w:rFonts w:ascii="游ゴシック" w:hAnsi="游ゴシック" w:eastAsia="游ゴシック"/>
                <w:b/>
                <w:sz w:val="17"/>
              </w:rPr>
              <w:t>R17</w:t>
            </w:r>
          </w:p>
        </w:tc>
        <w:tc>
          <w:tcPr>
            <w:tcW w:type="dxa" w:w="867"/>
            <w:shd w:val="clear" w:color="auto" w:fill="DCE6F1"/>
          </w:tcPr>
          <w:p>
            <w:pPr>
              <w:jc w:val="center"/>
            </w:pPr>
            <w:r/>
            <w:r>
              <w:rPr>
                <w:rFonts w:ascii="游ゴシック" w:hAnsi="游ゴシック" w:eastAsia="游ゴシック"/>
                <w:b/>
                <w:sz w:val="17"/>
              </w:rPr>
              <w:t>R22</w:t>
            </w:r>
          </w:p>
        </w:tc>
        <w:tc>
          <w:tcPr>
            <w:tcW w:type="dxa" w:w="1192"/>
            <w:shd w:val="clear" w:color="auto" w:fill="DCE6F1"/>
          </w:tcPr>
          <w:p>
            <w:pPr>
              <w:jc w:val="center"/>
            </w:pPr>
            <w:r/>
            <w:r>
              <w:rPr>
                <w:rFonts w:ascii="游ゴシック" w:hAnsi="游ゴシック" w:eastAsia="游ゴシック"/>
                <w:b/>
                <w:sz w:val="17"/>
              </w:rPr>
              <w:t>施設数（R6）</w:t>
            </w:r>
          </w:p>
        </w:tc>
      </w:tr>
      <w:tr>
        <w:trPr>
          <w:cantSplit/>
        </w:trP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rPr>
          <w:cantSplit/>
        </w:trP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地域密着型介護老人福祉施設入所者生活介護は（2）に掲げています。介護療養型医療施設は令和6年3月末で廃止されています。令和6年度に経過的な給付が1人分ありましたが、基準年度（令和7年度）の実績はないため、第10期には計上していません。</w:t>
      </w:r>
    </w:p>
    <w:p>
      <w:pPr>
        <w:pStyle w:val="Heading3"/>
        <w:spacing w:before="180" w:after="100"/>
      </w:pPr>
      <w:r>
        <w:rPr>
          <w:rFonts w:ascii="游ゴシック" w:hAnsi="游ゴシック" w:eastAsia="游ゴシック"/>
          <w:sz w:val="22"/>
        </w:rPr>
        <w:t>（4）利用回（日）数</w:t>
      </w:r>
    </w:p>
    <w:p>
      <w:pPr>
        <w:spacing w:after="80" w:line="269" w:lineRule="auto"/>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134"/>
            <w:shd w:val="clear" w:color="auto" w:fill="DCE6F1"/>
          </w:tcPr>
          <w:p>
            <w:pPr>
              <w:jc w:val="center"/>
            </w:pPr>
            <w:r/>
            <w:r>
              <w:rPr>
                <w:rFonts w:ascii="游ゴシック" w:hAnsi="游ゴシック" w:eastAsia="游ゴシック"/>
                <w:b/>
                <w:sz w:val="17"/>
              </w:rPr>
              <w:t>R7実績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r>
      <w:tr>
        <w:trPr>
          <w:cantSplit/>
        </w:trP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rPr>
          <w:cantSplit/>
        </w:trP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rPr>
          <w:cantSplit/>
        </w:trP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rPr>
          <w:cantSplit/>
        </w:trP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rPr>
          <w:cantSplit/>
        </w:trP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rPr>
          <w:cantSplit/>
        </w:trP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rPr>
          <w:cantSplit/>
        </w:trP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rPr>
          <w:cantSplit/>
        </w:trP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rPr>
          <w:cantSplit/>
        </w:trP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rPr>
          <w:cantSplit/>
        </w:trP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180" w:after="100"/>
      </w:pPr>
      <w:r>
        <w:rPr>
          <w:rFonts w:ascii="游ゴシック" w:hAnsi="游ゴシック" w:eastAsia="游ゴシック"/>
          <w:sz w:val="22"/>
        </w:rPr>
        <w:t>2　介護予防給付サービス（1月当たり利用者数）</w:t>
      </w:r>
    </w:p>
    <w:p>
      <w:pPr>
        <w:spacing w:after="80" w:line="269" w:lineRule="auto"/>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rPr>
          <w:cantSplit/>
        </w:trP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rPr>
          <w:cantSplit/>
        </w:trP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rPr>
          <w:cantSplit/>
        </w:trP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rPr>
          <w:cantSplit/>
        </w:trP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rPr>
          <w:cantSplit/>
        </w:trP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line="269" w:lineRule="auto"/>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【利用回（日）数】</w:t>
      </w:r>
    </w:p>
    <w:p>
      <w:pPr>
        <w:spacing w:after="80" w:line="269" w:lineRule="auto"/>
      </w:pPr>
      <w:r>
        <w:rPr>
          <w:rFonts w:ascii="游ゴシック" w:hAnsi="游ゴシック" w:eastAsia="游ゴシック"/>
          <w:b w:val="0"/>
          <w:sz w:val="20"/>
        </w:rPr>
        <w:t>介護予防給付についても、介護保険法第117条第2項第1号により回数・日数を掲げます。1（4）と同じく、1人1月当たりの回（日）数を令和7年度で固定し、利用者数に乗じて求めます。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103.6</w:t>
            </w:r>
          </w:p>
        </w:tc>
        <w:tc>
          <w:tcPr>
            <w:tcW w:type="dxa" w:w="964"/>
          </w:tcPr>
          <w:p>
            <w:r/>
            <w:r>
              <w:rPr>
                <w:rFonts w:ascii="游ゴシック" w:hAnsi="游ゴシック" w:eastAsia="游ゴシック"/>
                <w:sz w:val="17"/>
              </w:rPr>
              <w:t>105.6</w:t>
            </w:r>
          </w:p>
        </w:tc>
        <w:tc>
          <w:tcPr>
            <w:tcW w:type="dxa" w:w="964"/>
          </w:tcPr>
          <w:p>
            <w:r/>
            <w:r>
              <w:rPr>
                <w:rFonts w:ascii="游ゴシック" w:hAnsi="游ゴシック" w:eastAsia="游ゴシック"/>
                <w:sz w:val="17"/>
              </w:rPr>
              <w:t>106.6</w:t>
            </w:r>
          </w:p>
        </w:tc>
        <w:tc>
          <w:tcPr>
            <w:tcW w:type="dxa" w:w="964"/>
          </w:tcPr>
          <w:p>
            <w:r/>
            <w:r>
              <w:rPr>
                <w:rFonts w:ascii="游ゴシック" w:hAnsi="游ゴシック" w:eastAsia="游ゴシック"/>
                <w:sz w:val="17"/>
              </w:rPr>
              <w:t>107.6</w:t>
            </w:r>
          </w:p>
        </w:tc>
        <w:tc>
          <w:tcPr>
            <w:tcW w:type="dxa" w:w="964"/>
          </w:tcPr>
          <w:p>
            <w:r/>
            <w:r>
              <w:rPr>
                <w:rFonts w:ascii="游ゴシック" w:hAnsi="游ゴシック" w:eastAsia="游ゴシック"/>
                <w:sz w:val="17"/>
              </w:rPr>
              <w:t>113.1</w:t>
            </w:r>
          </w:p>
        </w:tc>
        <w:tc>
          <w:tcPr>
            <w:tcW w:type="dxa" w:w="964"/>
          </w:tcPr>
          <w:p>
            <w:r/>
            <w:r>
              <w:rPr>
                <w:rFonts w:ascii="游ゴシック" w:hAnsi="游ゴシック" w:eastAsia="游ゴシック"/>
                <w:sz w:val="17"/>
              </w:rPr>
              <w:t>115.2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140.3</w:t>
            </w:r>
          </w:p>
        </w:tc>
        <w:tc>
          <w:tcPr>
            <w:tcW w:type="dxa" w:w="964"/>
          </w:tcPr>
          <w:p>
            <w:r/>
            <w:r>
              <w:rPr>
                <w:rFonts w:ascii="游ゴシック" w:hAnsi="游ゴシック" w:eastAsia="游ゴシック"/>
                <w:sz w:val="17"/>
              </w:rPr>
              <w:t>143.0</w:t>
            </w:r>
          </w:p>
        </w:tc>
        <w:tc>
          <w:tcPr>
            <w:tcW w:type="dxa" w:w="964"/>
          </w:tcPr>
          <w:p>
            <w:r/>
            <w:r>
              <w:rPr>
                <w:rFonts w:ascii="游ゴシック" w:hAnsi="游ゴシック" w:eastAsia="游ゴシック"/>
                <w:sz w:val="17"/>
              </w:rPr>
              <w:t>144.4</w:t>
            </w:r>
          </w:p>
        </w:tc>
        <w:tc>
          <w:tcPr>
            <w:tcW w:type="dxa" w:w="964"/>
          </w:tcPr>
          <w:p>
            <w:r/>
            <w:r>
              <w:rPr>
                <w:rFonts w:ascii="游ゴシック" w:hAnsi="游ゴシック" w:eastAsia="游ゴシック"/>
                <w:sz w:val="17"/>
              </w:rPr>
              <w:t>145.8</w:t>
            </w:r>
          </w:p>
        </w:tc>
        <w:tc>
          <w:tcPr>
            <w:tcW w:type="dxa" w:w="964"/>
          </w:tcPr>
          <w:p>
            <w:r/>
            <w:r>
              <w:rPr>
                <w:rFonts w:ascii="游ゴシック" w:hAnsi="游ゴシック" w:eastAsia="游ゴシック"/>
                <w:sz w:val="17"/>
              </w:rPr>
              <w:t>153.3</w:t>
            </w:r>
          </w:p>
        </w:tc>
        <w:tc>
          <w:tcPr>
            <w:tcW w:type="dxa" w:w="964"/>
          </w:tcPr>
          <w:p>
            <w:r/>
            <w:r>
              <w:rPr>
                <w:rFonts w:ascii="游ゴシック" w:hAnsi="游ゴシック" w:eastAsia="游ゴシック"/>
                <w:sz w:val="17"/>
              </w:rPr>
              <w:t>156.1</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11.8</w:t>
            </w:r>
          </w:p>
        </w:tc>
        <w:tc>
          <w:tcPr>
            <w:tcW w:type="dxa" w:w="964"/>
          </w:tcPr>
          <w:p>
            <w:r/>
            <w:r>
              <w:rPr>
                <w:rFonts w:ascii="游ゴシック" w:hAnsi="游ゴシック" w:eastAsia="游ゴシック"/>
                <w:sz w:val="17"/>
              </w:rPr>
              <w:t>12.1</w:t>
            </w:r>
          </w:p>
        </w:tc>
        <w:tc>
          <w:tcPr>
            <w:tcW w:type="dxa" w:w="964"/>
          </w:tcPr>
          <w:p>
            <w:r/>
            <w:r>
              <w:rPr>
                <w:rFonts w:ascii="游ゴシック" w:hAnsi="游ゴシック" w:eastAsia="游ゴシック"/>
                <w:sz w:val="17"/>
              </w:rPr>
              <w:t>12.2</w:t>
            </w:r>
          </w:p>
        </w:tc>
        <w:tc>
          <w:tcPr>
            <w:tcW w:type="dxa" w:w="964"/>
          </w:tcPr>
          <w:p>
            <w:r/>
            <w:r>
              <w:rPr>
                <w:rFonts w:ascii="游ゴシック" w:hAnsi="游ゴシック" w:eastAsia="游ゴシック"/>
                <w:sz w:val="17"/>
              </w:rPr>
              <w:t>12.3</w:t>
            </w:r>
          </w:p>
        </w:tc>
        <w:tc>
          <w:tcPr>
            <w:tcW w:type="dxa" w:w="964"/>
          </w:tcPr>
          <w:p>
            <w:r/>
            <w:r>
              <w:rPr>
                <w:rFonts w:ascii="游ゴシック" w:hAnsi="游ゴシック" w:eastAsia="游ゴシック"/>
                <w:sz w:val="17"/>
              </w:rPr>
              <w:t>12.9</w:t>
            </w:r>
          </w:p>
        </w:tc>
        <w:tc>
          <w:tcPr>
            <w:tcW w:type="dxa" w:w="964"/>
          </w:tcPr>
          <w:p>
            <w:r/>
            <w:r>
              <w:rPr>
                <w:rFonts w:ascii="游ゴシック" w:hAnsi="游ゴシック" w:eastAsia="游ゴシック"/>
                <w:sz w:val="17"/>
              </w:rPr>
              <w:t>13.2</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1.9</w:t>
            </w:r>
          </w:p>
        </w:tc>
        <w:tc>
          <w:tcPr>
            <w:tcW w:type="dxa" w:w="964"/>
          </w:tcPr>
          <w:p>
            <w:r/>
            <w:r>
              <w:rPr>
                <w:rFonts w:ascii="游ゴシック" w:hAnsi="游ゴシック" w:eastAsia="游ゴシック"/>
                <w:sz w:val="17"/>
              </w:rPr>
              <w:t>1.9</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は令和7年度に要支援1・2の利用がないもの（介護予防訪問入浴介護・介護予防認知症対応型通所介護）及び月単位の包括報酬により回数の計上がないもの（介護予防通所リハビリテーション）です。介護予防居宅療養管理指導、介護予防福祉用具貸与、特定介護予防福祉用具購入、介護予防住宅改修、介護予防小規模多機能型居宅介護、介護予防認知症対応型共同生活介護、介護予防特定施設入居者生活介護及び介護予防支援は、月単位の報酬又は支給決定によるため掲げていません。</w:t>
      </w:r>
    </w:p>
    <w:p>
      <w:pPr>
        <w:spacing w:after="160" w:line="269" w:lineRule="auto"/>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-1）基準年度は令和7年度（12か月）です。令和8年度は令和8年4月から7月までの4か月分であるため基準年度には用いておらず、季節による補正も行っていません。完結年度を基準とする場合、季節指数の和は12となり年度換算係数は1.0000となるためです。また、施設及び居住系サービスの定員の縮小の趨勢（第4節2）は将来へ延長しておらず、給付の適正化による抑制も織り込んでいません（第6節2）。過疎地域における小規模多機能型居宅介護の登録定員の超過の特例も用いていません。介護老人保健施設の令和8年度の利用者数が令和7年度を下回っていること（第4節2）も、4か月分の月報によるものであるため将来へ延長していません［要確認］。また、実績は年報（保険者単位）によっており、地域包括ケア「見える化」システムの画面が表示する令和7年度の値とは一部の区分で食い違います。年報の値は総括表及び給付費と内的整合が取れているため年報によっています（画面の値の作り方は確認できていません）［要確認］。施設及び居住系サービスについても、在宅サービスと同じく令和7年度の要介護度別の利用率を固定して置いており、これらのサービスに固有の伸びを別に選んではいません。定員との関係は第4節2により別に確かめます。なお、短期入所生活介護について、31日以上連続して利用する場合の減算を61日以上連続して利用する場合と同程度に改めることと、積雪期、猛暑期、農繁期等の季節による利用のみの方について例外的に当該減算を適用しない仕組みを設けることの双方が検討されています。短期入所療養介護についても、長期利用に係る減算を新たに設けることが検討されています。国の調査研究事業の速報値では、中山間・離島その他の農村地域において積雪期等の季節による利用の受入れが他の地域よりも高い傾向にあることが示されています。本表は令和7年度（12か月の完結年度）の実績によっているため、年間の水準としては季節による利用を含んでいます。また、訪問入浴介護の事業所が不足している中山間地域等において、例外的に通所介護等で入浴介助を目的とするサービスを認めることが検討されています（いずれも第1章第9節6）。本表はこれらを織り込んでおらず、要件が示された時点で利用日数、利用回数及び単価の置き方を確かめます［要確認］。さらに、特定福祉用具販売及び介護予防福祉用具販売に係る居宅介護福祉用具購入費等の額について、**購入に要する平均的な費用の額を勘案して厚生労働大臣が定める基準により算定した費用の額の100分の90に相当する額とする改正**が行われました（第1章第9節2）。現行は現に要した費用の額を基礎とするものであり、基準となる額が新たに定められるものです。基準が示されていないため、本表は令和7年度の実績によっており、基準が実勢の価格を下回る場合は給付費を下げる向きに働きます［要確認］。</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社会保障審議会介護給付費分科会では、移行を見据えた評価として、定期巡回・随時対応型訪問介護看護において24時間の通報及び相談への対応の機能を確保し、日中の支援を実施する事業所の取組を評価することが検討されています。経過措置の期限については、同分科会の資料の中に令和11年度末までとするものと令和11年3月までとするものの2通りの記載があり、確定していません（第1章第9節6 注2）［要確認］。</w:t>
        <w:br/>
        <w:t>注3）社会福祉法等の一部を改正する法律により新設される登録施設介護（予防）支援、特定地域サービス及び特定地域居宅サービス等事業は、実績がないため0として立てています。国の様式の確定後に区分を改めます［要協議］。このうち**登録施設介護（予防）支援の施行日は、公布の日（令和8年6月25日）から起算して3年を超えない範囲内において政令で定める日**とされており、令和9年4月1日ではありません。有料老人ホームの登録制及び特定施設の定義の改正についても、施行日は公布の日から起算して2年を超えない範囲内において政令で定める日とされています。このため、いずれの区分も本計画の期間中に給付が生じ得るものの、開始の時期を特定できません［要確認］。区域内には住宅型有料老人ホーム9施設（定員223人）があり、登録施設介護（予防）支援の対象となり得る方がいます。登録施設介護（予防）支援は、現に居宅介護支援又は介護予防支援として給付されている方が振り替わるものと見込まれるため、区分の間の振替として扱い、総額を増やしていません。登録施設介護サービス計画費等の額は、**厚生労働大臣が定める基準により算定した費用の額の100分の90に相当する額**とされており、居宅介護支援（10割給付）とは異なります。振替により1割の利用者負担が生じる分だけ給付費は下がる向きに働きます。一定以上の所得を有する方に係る負担割合は引き続き検討することとされています（第1章第9節5）［要確認］。</w:t>
        <w:br/>
        <w:t>注4）特定地域居宅サービス等事業の対象となるのは、要介護者に対する訪問介護・訪問入浴介護・通所介護・短期入所生活介護及び要支援者に対する介護予防訪問入浴介護・介護予防短期入所生活介護の6区分であり、費用負担は介護予防・日常生活支援総合事業と同様とされています（第1章第9節2）。特定地域の基準（厚生労働省令）、北海道が定める区域及び費用の額の基準（厚生労働大臣）が定まっていないため、量及び費用を算定していません。本事業として実施する場合は、当該サービスの給付が地域支援事業に移ることとなるため、第3節の給付費と地域支援事業費の間で振替が生じます［要協議］。</w:t>
      </w:r>
    </w:p>
    <w:p>
      <w:pPr>
        <w:pStyle w:val="Heading2"/>
        <w:spacing w:before="180" w:after="100"/>
      </w:pPr>
      <w:bookmarkStart w:id="138" w:name="_Toc10_038"/>
      <w:r>
        <w:rPr>
          <w:rFonts w:ascii="游ゴシック" w:hAnsi="游ゴシック" w:eastAsia="游ゴシック"/>
          <w:sz w:val="25"/>
        </w:rPr>
        <w:t>第3節 介護保険サービス事業費の見込み</w:t>
      </w:r>
      <w:bookmarkEnd w:id="138"/>
    </w:p>
    <w:p>
      <w:pPr>
        <w:spacing w:after="80" w:line="269" w:lineRule="auto"/>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p>
      <w:pPr>
        <w:spacing w:after="80" w:line="269" w:lineRule="auto"/>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397"/>
            <w:shd w:val="clear" w:color="auto" w:fill="DCE6F1"/>
          </w:tcPr>
          <w:p>
            <w:pPr>
              <w:spacing w:before="0"/>
              <w:jc w:val="center"/>
            </w:pPr>
            <w:r/>
            <w:r>
              <w:rPr>
                <w:rFonts w:ascii="游ゴシック" w:hAnsi="游ゴシック" w:eastAsia="游ゴシック"/>
                <w:b/>
                <w:sz w:val="17"/>
              </w:rPr>
              <w:t>区分</w:t>
            </w:r>
          </w:p>
        </w:tc>
        <w:tc>
          <w:tcPr>
            <w:tcW w:type="dxa" w:w="981"/>
            <w:shd w:val="clear" w:color="auto" w:fill="DCE6F1"/>
          </w:tcPr>
          <w:p>
            <w:pPr>
              <w:jc w:val="center"/>
            </w:pPr>
            <w:r/>
            <w:r>
              <w:rPr>
                <w:rFonts w:ascii="游ゴシック" w:hAnsi="游ゴシック" w:eastAsia="游ゴシック"/>
                <w:b/>
                <w:sz w:val="17"/>
              </w:rPr>
              <w:t>R7実績</w:t>
            </w:r>
          </w:p>
        </w:tc>
        <w:tc>
          <w:tcPr>
            <w:tcW w:type="dxa" w:w="1035"/>
            <w:shd w:val="clear" w:color="auto" w:fill="DCE6F1"/>
          </w:tcPr>
          <w:p>
            <w:pPr>
              <w:jc w:val="center"/>
            </w:pPr>
            <w:r/>
            <w:r>
              <w:rPr>
                <w:rFonts w:ascii="游ゴシック" w:hAnsi="游ゴシック" w:eastAsia="游ゴシック"/>
                <w:b/>
                <w:sz w:val="17"/>
              </w:rPr>
              <w:t>R9</w:t>
            </w:r>
          </w:p>
        </w:tc>
        <w:tc>
          <w:tcPr>
            <w:tcW w:type="dxa" w:w="1035"/>
            <w:shd w:val="clear" w:color="auto" w:fill="DCE6F1"/>
          </w:tcPr>
          <w:p>
            <w:pPr>
              <w:jc w:val="center"/>
            </w:pPr>
            <w:r/>
            <w:r>
              <w:rPr>
                <w:rFonts w:ascii="游ゴシック" w:hAnsi="游ゴシック" w:eastAsia="游ゴシック"/>
                <w:b/>
                <w:sz w:val="17"/>
              </w:rPr>
              <w:t>R10</w:t>
            </w:r>
          </w:p>
        </w:tc>
        <w:tc>
          <w:tcPr>
            <w:tcW w:type="dxa" w:w="1035"/>
            <w:shd w:val="clear" w:color="auto" w:fill="DCE6F1"/>
          </w:tcPr>
          <w:p>
            <w:pPr>
              <w:jc w:val="center"/>
            </w:pPr>
            <w:r/>
            <w:r>
              <w:rPr>
                <w:rFonts w:ascii="游ゴシック" w:hAnsi="游ゴシック" w:eastAsia="游ゴシック"/>
                <w:b/>
                <w:sz w:val="17"/>
              </w:rPr>
              <w:t>R11</w:t>
            </w:r>
          </w:p>
        </w:tc>
        <w:tc>
          <w:tcPr>
            <w:tcW w:type="dxa" w:w="1198"/>
            <w:shd w:val="clear" w:color="auto" w:fill="DCE6F1"/>
          </w:tcPr>
          <w:p>
            <w:pPr>
              <w:jc w:val="center"/>
            </w:pPr>
            <w:r/>
            <w:r>
              <w:rPr>
                <w:rFonts w:ascii="游ゴシック" w:hAnsi="游ゴシック" w:eastAsia="游ゴシック"/>
                <w:b/>
                <w:sz w:val="17"/>
              </w:rPr>
              <w:t>第10期計</w:t>
            </w:r>
          </w:p>
        </w:tc>
        <w:tc>
          <w:tcPr>
            <w:tcW w:type="dxa" w:w="1035"/>
            <w:shd w:val="clear" w:color="auto" w:fill="DCE6F1"/>
          </w:tcPr>
          <w:p>
            <w:pPr>
              <w:jc w:val="center"/>
            </w:pPr>
            <w:r/>
            <w:r>
              <w:rPr>
                <w:rFonts w:ascii="游ゴシック" w:hAnsi="游ゴシック" w:eastAsia="游ゴシック"/>
                <w:b/>
                <w:sz w:val="17"/>
              </w:rPr>
              <w:t>R17</w:t>
            </w:r>
          </w:p>
        </w:tc>
        <w:tc>
          <w:tcPr>
            <w:tcW w:type="dxa" w:w="1035"/>
            <w:shd w:val="clear" w:color="auto" w:fill="DCE6F1"/>
          </w:tcPr>
          <w:p>
            <w:pPr>
              <w:jc w:val="center"/>
            </w:pPr>
            <w:r/>
            <w:r>
              <w:rPr>
                <w:rFonts w:ascii="游ゴシック" w:hAnsi="游ゴシック" w:eastAsia="游ゴシック"/>
                <w:b/>
                <w:sz w:val="17"/>
              </w:rPr>
              <w:t>R22</w:t>
            </w:r>
          </w:p>
        </w:tc>
      </w:tr>
      <w:tr>
        <w:trPr>
          <w:cantSplit/>
        </w:trP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rPr>
          <w:cantSplit/>
        </w:trP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rPr>
          <w:cantSplit/>
        </w:trP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rPr>
          <w:cantSplit/>
        </w:trP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rPr>
          <w:cantSplit/>
        </w:trP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rPr>
          <w:cantSplit/>
        </w:trP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rPr>
          <w:cantSplit/>
        </w:trP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2,979.0</w:t>
            </w:r>
          </w:p>
        </w:tc>
        <w:tc>
          <w:tcPr>
            <w:tcW w:type="dxa" w:w="1035"/>
          </w:tcPr>
          <w:p>
            <w:r/>
            <w:r>
              <w:rPr>
                <w:rFonts w:ascii="游ゴシック" w:hAnsi="游ゴシック" w:eastAsia="游ゴシック"/>
                <w:sz w:val="17"/>
              </w:rPr>
              <w:t>3,011.5</w:t>
            </w:r>
          </w:p>
        </w:tc>
        <w:tc>
          <w:tcPr>
            <w:tcW w:type="dxa" w:w="1035"/>
          </w:tcPr>
          <w:p>
            <w:r/>
            <w:r>
              <w:rPr>
                <w:rFonts w:ascii="游ゴシック" w:hAnsi="游ゴシック" w:eastAsia="游ゴシック"/>
                <w:sz w:val="17"/>
              </w:rPr>
              <w:t>3,044.6</w:t>
            </w:r>
          </w:p>
        </w:tc>
        <w:tc>
          <w:tcPr>
            <w:tcW w:type="dxa" w:w="1198"/>
          </w:tcPr>
          <w:p>
            <w:r/>
            <w:r>
              <w:rPr>
                <w:rFonts w:ascii="游ゴシック" w:hAnsi="游ゴシック" w:eastAsia="游ゴシック"/>
                <w:sz w:val="17"/>
              </w:rPr>
              <w:t>9,035.1</w:t>
            </w:r>
          </w:p>
        </w:tc>
        <w:tc>
          <w:tcPr>
            <w:tcW w:type="dxa" w:w="1035"/>
          </w:tcPr>
          <w:p>
            <w:r/>
            <w:r>
              <w:rPr>
                <w:rFonts w:ascii="游ゴシック" w:hAnsi="游ゴシック" w:eastAsia="游ゴシック"/>
                <w:sz w:val="17"/>
              </w:rPr>
              <w:t>3,317.8</w:t>
            </w:r>
          </w:p>
        </w:tc>
        <w:tc>
          <w:tcPr>
            <w:tcW w:type="dxa" w:w="1035"/>
          </w:tcPr>
          <w:p>
            <w:r/>
            <w:r>
              <w:rPr>
                <w:rFonts w:ascii="游ゴシック" w:hAnsi="游ゴシック" w:eastAsia="游ゴシック"/>
                <w:sz w:val="17"/>
              </w:rPr>
              <w:t>3,418.5</w:t>
            </w:r>
          </w:p>
        </w:tc>
      </w:tr>
    </w:tbl>
    <w:p>
      <w:pPr>
        <w:spacing w:after="160" w:line="269" w:lineRule="auto"/>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line="269" w:lineRule="auto"/>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br/>
        <w:t>注）給付費の実績は、年報及び地域包括ケア「見える化」システムの総括表詳細（いずれも保険者単位）によっています。介護保険事業計画作成支援ツールの実績値は構成3町ごとに作成されるもので、数える対象が異なるため3町を合計しても保険者単位の値になりません。同ツールの値は比較のためにのみ用いています。</w:t>
      </w:r>
    </w:p>
    <w:p>
      <w:pPr>
        <w:pStyle w:val="Heading3"/>
        <w:spacing w:before="180" w:after="100"/>
      </w:pPr>
      <w:r>
        <w:rPr>
          <w:rFonts w:ascii="游ゴシック" w:hAnsi="游ゴシック" w:eastAsia="游ゴシック"/>
          <w:sz w:val="22"/>
        </w:rPr>
        <w:t>2　地域支援事業費</w:t>
      </w:r>
    </w:p>
    <w:p>
      <w:pPr>
        <w:keepNext/>
        <w:spacing w:after="60" w:line="269" w:lineRule="auto" w:before="160"/>
      </w:pPr>
      <w:r>
        <w:rPr>
          <w:rFonts w:ascii="游ゴシック" w:hAnsi="游ゴシック" w:eastAsia="游ゴシック"/>
          <w:b/>
          <w:sz w:val="20"/>
        </w:rPr>
        <w:t>【介護予防・日常生活支援総合事業の量の見込み】</w:t>
      </w:r>
    </w:p>
    <w:p>
      <w:pPr>
        <w:spacing w:after="80" w:line="269" w:lineRule="auto"/>
      </w:pPr>
      <w:r>
        <w:rPr>
          <w:rFonts w:ascii="游ゴシック" w:hAnsi="游ゴシック" w:eastAsia="游ゴシック"/>
          <w:b w:val="0"/>
          <w:sz w:val="20"/>
        </w:rPr>
        <w:t>介護保険法第117条第2項第2号は、地域支援事業の量の見込みを掲げることを求めています。利用者実人数による直近の実績が令和6年度である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w:t>
      </w:r>
    </w:p>
    <w:p>
      <w:pPr>
        <w:spacing w:after="160" w:line="269" w:lineRule="auto"/>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事業ごとの実施状況は、構成3町の地域包括支援センター事業実施報告書により確認しています。同報告書の量は延べ人数によるものであり、本表の利用者実人数とは数える単位が異なるため、本表の基礎には用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【地域支援事業の量の中長期的な推計】</w:t>
      </w:r>
    </w:p>
    <w:p>
      <w:pPr>
        <w:spacing w:after="80" w:line="269" w:lineRule="auto"/>
      </w:pPr>
      <w:r>
        <w:rPr>
          <w:rFonts w:ascii="游ゴシック" w:hAnsi="游ゴシック" w:eastAsia="游ゴシック"/>
          <w:b w:val="0"/>
          <w:sz w:val="20"/>
        </w:rPr>
        <w:t>社会福祉法等の一部を改正する法律（令和8年法律第51号）により、地域支援事業の量に関する中長期的な推計が記載事項となりました（第117条第2項第3号。第1章第9節2）。延ばし方は上表と同じです。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78.2</w:t>
            </w:r>
          </w:p>
        </w:tc>
        <w:tc>
          <w:tcPr>
            <w:tcW w:type="dxa" w:w="1020"/>
          </w:tcPr>
          <w:p>
            <w:r/>
            <w:r>
              <w:rPr>
                <w:rFonts w:ascii="游ゴシック" w:hAnsi="游ゴシック" w:eastAsia="游ゴシック"/>
                <w:sz w:val="17"/>
              </w:rPr>
              <w:t>84.2</w:t>
            </w:r>
          </w:p>
        </w:tc>
        <w:tc>
          <w:tcPr>
            <w:tcW w:type="dxa" w:w="1020"/>
          </w:tcPr>
          <w:p>
            <w:r/>
            <w:r>
              <w:rPr>
                <w:rFonts w:ascii="游ゴシック" w:hAnsi="游ゴシック" w:eastAsia="游ゴシック"/>
                <w:sz w:val="17"/>
              </w:rPr>
              <w:t>86.5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41.7</w:t>
            </w:r>
          </w:p>
        </w:tc>
        <w:tc>
          <w:tcPr>
            <w:tcW w:type="dxa" w:w="1020"/>
          </w:tcPr>
          <w:p>
            <w:r/>
            <w:r>
              <w:rPr>
                <w:rFonts w:ascii="游ゴシック" w:hAnsi="游ゴシック" w:eastAsia="游ゴシック"/>
                <w:sz w:val="17"/>
              </w:rPr>
              <w:t>44.9</w:t>
            </w:r>
          </w:p>
        </w:tc>
        <w:tc>
          <w:tcPr>
            <w:tcW w:type="dxa" w:w="1020"/>
          </w:tcPr>
          <w:p>
            <w:r/>
            <w:r>
              <w:rPr>
                <w:rFonts w:ascii="游ゴシック" w:hAnsi="游ゴシック" w:eastAsia="游ゴシック"/>
                <w:sz w:val="17"/>
              </w:rPr>
              <w:t>46.1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155.3</w:t>
            </w:r>
          </w:p>
        </w:tc>
        <w:tc>
          <w:tcPr>
            <w:tcW w:type="dxa" w:w="1020"/>
          </w:tcPr>
          <w:p>
            <w:r/>
            <w:r>
              <w:rPr>
                <w:rFonts w:ascii="游ゴシック" w:hAnsi="游ゴシック" w:eastAsia="游ゴシック"/>
                <w:sz w:val="17"/>
              </w:rPr>
              <w:t>167.3</w:t>
            </w:r>
          </w:p>
        </w:tc>
        <w:tc>
          <w:tcPr>
            <w:tcW w:type="dxa" w:w="1020"/>
          </w:tcPr>
          <w:p>
            <w:r/>
            <w:r>
              <w:rPr>
                <w:rFonts w:ascii="游ゴシック" w:hAnsi="游ゴシック" w:eastAsia="游ゴシック"/>
                <w:sz w:val="17"/>
              </w:rPr>
              <w:t>171.8</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2.2</w:t>
            </w:r>
          </w:p>
        </w:tc>
        <w:tc>
          <w:tcPr>
            <w:tcW w:type="dxa" w:w="1020"/>
          </w:tcPr>
          <w:p>
            <w:r/>
            <w:r>
              <w:rPr>
                <w:rFonts w:ascii="游ゴシック" w:hAnsi="游ゴシック" w:eastAsia="游ゴシック"/>
                <w:sz w:val="17"/>
              </w:rPr>
              <w:t>2.3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27.1</w:t>
            </w:r>
          </w:p>
        </w:tc>
        <w:tc>
          <w:tcPr>
            <w:tcW w:type="dxa" w:w="1020"/>
          </w:tcPr>
          <w:p>
            <w:r/>
            <w:r>
              <w:rPr>
                <w:rFonts w:ascii="游ゴシック" w:hAnsi="游ゴシック" w:eastAsia="游ゴシック"/>
                <w:sz w:val="17"/>
              </w:rPr>
              <w:t>29.2</w:t>
            </w:r>
          </w:p>
        </w:tc>
        <w:tc>
          <w:tcPr>
            <w:tcW w:type="dxa" w:w="1020"/>
          </w:tcPr>
          <w:p>
            <w:r/>
            <w:r>
              <w:rPr>
                <w:rFonts w:ascii="游ゴシック" w:hAnsi="游ゴシック" w:eastAsia="游ゴシック"/>
                <w:sz w:val="17"/>
              </w:rPr>
              <w:t>30.0</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11.5</w:t>
            </w:r>
          </w:p>
        </w:tc>
        <w:tc>
          <w:tcPr>
            <w:tcW w:type="dxa" w:w="1020"/>
          </w:tcPr>
          <w:p>
            <w:r/>
            <w:r>
              <w:rPr>
                <w:rFonts w:ascii="游ゴシック" w:hAnsi="游ゴシック" w:eastAsia="游ゴシック"/>
                <w:sz w:val="17"/>
              </w:rPr>
              <w:t>12.4</w:t>
            </w:r>
          </w:p>
        </w:tc>
        <w:tc>
          <w:tcPr>
            <w:tcW w:type="dxa" w:w="1020"/>
          </w:tcPr>
          <w:p>
            <w:r/>
            <w:r>
              <w:rPr>
                <w:rFonts w:ascii="游ゴシック" w:hAnsi="游ゴシック" w:eastAsia="游ゴシック"/>
                <w:sz w:val="17"/>
              </w:rPr>
              <w:t>12.7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207.4</w:t>
            </w:r>
          </w:p>
        </w:tc>
        <w:tc>
          <w:tcPr>
            <w:tcW w:type="dxa" w:w="1020"/>
          </w:tcPr>
          <w:p>
            <w:r/>
            <w:r>
              <w:rPr>
                <w:rFonts w:ascii="游ゴシック" w:hAnsi="游ゴシック" w:eastAsia="游ゴシック"/>
                <w:sz w:val="17"/>
              </w:rPr>
              <w:t>223.5</w:t>
            </w:r>
          </w:p>
        </w:tc>
        <w:tc>
          <w:tcPr>
            <w:tcW w:type="dxa" w:w="1020"/>
          </w:tcPr>
          <w:p>
            <w:r/>
            <w:r>
              <w:rPr>
                <w:rFonts w:ascii="游ゴシック" w:hAnsi="游ゴシック" w:eastAsia="游ゴシック"/>
                <w:sz w:val="17"/>
              </w:rPr>
              <w:t>229.5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46.9</w:t>
            </w:r>
          </w:p>
        </w:tc>
        <w:tc>
          <w:tcPr>
            <w:tcW w:type="dxa" w:w="1020"/>
          </w:tcPr>
          <w:p>
            <w:r/>
            <w:r>
              <w:rPr>
                <w:rFonts w:ascii="游ゴシック" w:hAnsi="游ゴシック" w:eastAsia="游ゴシック"/>
                <w:sz w:val="17"/>
              </w:rPr>
              <w:t>50.5</w:t>
            </w:r>
          </w:p>
        </w:tc>
        <w:tc>
          <w:tcPr>
            <w:tcW w:type="dxa" w:w="1020"/>
          </w:tcPr>
          <w:p>
            <w:r/>
            <w:r>
              <w:rPr>
                <w:rFonts w:ascii="游ゴシック" w:hAnsi="游ゴシック" w:eastAsia="游ゴシック"/>
                <w:sz w:val="17"/>
              </w:rPr>
              <w:t>51.9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245.3</w:t>
            </w:r>
          </w:p>
        </w:tc>
        <w:tc>
          <w:tcPr>
            <w:tcW w:type="dxa" w:w="1020"/>
          </w:tcPr>
          <w:p>
            <w:r/>
            <w:r>
              <w:rPr>
                <w:rFonts w:ascii="游ゴシック" w:hAnsi="游ゴシック" w:eastAsia="游ゴシック"/>
                <w:sz w:val="17"/>
              </w:rPr>
              <w:t>246.3</w:t>
            </w:r>
          </w:p>
        </w:tc>
        <w:tc>
          <w:tcPr>
            <w:tcW w:type="dxa" w:w="1020"/>
          </w:tcPr>
          <w:p>
            <w:r/>
            <w:r>
              <w:rPr>
                <w:rFonts w:ascii="游ゴシック" w:hAnsi="游ゴシック" w:eastAsia="游ゴシック"/>
                <w:sz w:val="17"/>
              </w:rPr>
              <w:t>252.7</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334.5</w:t>
            </w:r>
          </w:p>
        </w:tc>
        <w:tc>
          <w:tcPr>
            <w:tcW w:type="dxa" w:w="1020"/>
          </w:tcPr>
          <w:p>
            <w:r/>
            <w:r>
              <w:rPr>
                <w:rFonts w:ascii="游ゴシック" w:hAnsi="游ゴシック" w:eastAsia="游ゴシック"/>
                <w:sz w:val="17"/>
              </w:rPr>
              <w:t>335.8</w:t>
            </w:r>
          </w:p>
        </w:tc>
        <w:tc>
          <w:tcPr>
            <w:tcW w:type="dxa" w:w="1020"/>
          </w:tcPr>
          <w:p>
            <w:r/>
            <w:r>
              <w:rPr>
                <w:rFonts w:ascii="游ゴシック" w:hAnsi="游ゴシック" w:eastAsia="游ゴシック"/>
                <w:sz w:val="17"/>
              </w:rPr>
              <w:t>344.6</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資料：介護予防・日常生活支援総合事業（地域支援事業）の実施状況に関する調査（構成3町の令和6年度実績）及び第6章第1節の推計</w:t>
      </w:r>
    </w:p>
    <w:p>
      <w:pPr>
        <w:spacing w:after="160" w:line="269" w:lineRule="auto"/>
      </w:pPr>
      <w:r>
        <w:rPr>
          <w:rFonts w:ascii="游ゴシック" w:hAnsi="游ゴシック" w:eastAsia="游ゴシック"/>
          <w:b w:val="0"/>
          <w:sz w:val="17"/>
        </w:rPr>
        <w:t>注1）認定者数は令和22年度にかけて増えるためサービス事業の量も増え、第1号被保険者数はおおむね横ばいであるため一般介護予防事業の量は横ばいとなります。</w:t>
        <w:br/>
        <w:t>注2）事業費の中長期的な推計は、令和7年度の事業ごとの実績及び特定地域居宅サービス等事業その他の令和9年度に創設される事業の費用の額が定まった時点で算定します［要協議］。</w:t>
        <w:br/>
        <w:t>注3）通いの場の箇所数は3町の事業計画によるため据え置いています。中長期の目標値は3町と協議のうえ定めます［要協議］。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【地域支援事業費】</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区分（決算科目）</w:t>
            </w:r>
          </w:p>
        </w:tc>
        <w:tc>
          <w:tcPr>
            <w:tcW w:type="dxa" w:w="737"/>
            <w:shd w:val="clear" w:color="auto" w:fill="DCE6F1"/>
          </w:tcPr>
          <w:p>
            <w:pPr>
              <w:jc w:val="center"/>
            </w:pPr>
            <w:r/>
            <w:r>
              <w:rPr>
                <w:rFonts w:ascii="游ゴシック" w:hAnsi="游ゴシック" w:eastAsia="游ゴシック"/>
                <w:b/>
                <w:sz w:val="17"/>
              </w:rPr>
              <w:t>R5</w:t>
            </w:r>
          </w:p>
        </w:tc>
        <w:tc>
          <w:tcPr>
            <w:tcW w:type="dxa" w:w="850"/>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R9</w:t>
            </w:r>
          </w:p>
        </w:tc>
        <w:tc>
          <w:tcPr>
            <w:tcW w:type="dxa" w:w="737"/>
            <w:shd w:val="clear" w:color="auto" w:fill="DCE6F1"/>
          </w:tcPr>
          <w:p>
            <w:pPr>
              <w:jc w:val="center"/>
            </w:pPr>
            <w:r/>
            <w:r>
              <w:rPr>
                <w:rFonts w:ascii="游ゴシック" w:hAnsi="游ゴシック" w:eastAsia="游ゴシック"/>
                <w:b/>
                <w:sz w:val="17"/>
              </w:rPr>
              <w:t>R10</w:t>
            </w:r>
          </w:p>
        </w:tc>
        <w:tc>
          <w:tcPr>
            <w:tcW w:type="dxa" w:w="737"/>
            <w:shd w:val="clear" w:color="auto" w:fill="DCE6F1"/>
          </w:tcPr>
          <w:p>
            <w:pPr>
              <w:jc w:val="center"/>
            </w:pPr>
            <w:r/>
            <w:r>
              <w:rPr>
                <w:rFonts w:ascii="游ゴシック" w:hAnsi="游ゴシック" w:eastAsia="游ゴシック"/>
                <w:b/>
                <w:sz w:val="17"/>
              </w:rPr>
              <w:t>R11</w:t>
            </w:r>
          </w:p>
        </w:tc>
        <w:tc>
          <w:tcPr>
            <w:tcW w:type="dxa" w:w="850"/>
            <w:shd w:val="clear" w:color="auto" w:fill="DCE6F1"/>
          </w:tcPr>
          <w:p>
            <w:pPr>
              <w:jc w:val="center"/>
            </w:pPr>
            <w:r/>
            <w:r>
              <w:rPr>
                <w:rFonts w:ascii="游ゴシック" w:hAnsi="游ゴシック" w:eastAsia="游ゴシック"/>
                <w:b/>
                <w:sz w:val="17"/>
              </w:rPr>
              <w:t>第10期計</w:t>
            </w:r>
          </w:p>
        </w:tc>
        <w:tc>
          <w:tcPr>
            <w:tcW w:type="dxa" w:w="2041"/>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rPr>
          <w:cantSplit/>
        </w:trP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rPr>
          <w:cantSplit/>
        </w:trP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rPr>
          <w:cantSplit/>
        </w:trP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rPr>
          <w:cantSplit/>
        </w:trP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line="269" w:lineRule="auto"/>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【認知症総合支援事業の実施状況】</w:t>
      </w:r>
    </w:p>
    <w:p>
      <w:pPr>
        <w:spacing w:after="80" w:line="269" w:lineRule="auto"/>
      </w:pPr>
      <w:r>
        <w:rPr>
          <w:rFonts w:ascii="游ゴシック" w:hAnsi="游ゴシック" w:eastAsia="游ゴシック"/>
          <w:b w:val="0"/>
          <w:sz w:val="20"/>
        </w:rPr>
        <w:t>認知症総合支援事業は包括的支援事業（社会保障充実分）として実施しています。事業ごとの利用者実人数及び事業費を把握できていないため量の見込みは掲げられません。構成3町の実施状況は次のとおり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2381"/>
            <w:shd w:val="clear" w:color="auto" w:fill="DCE6F1"/>
          </w:tcPr>
          <w:p>
            <w:pPr>
              <w:jc w:val="center"/>
            </w:pPr>
            <w:r/>
            <w:r>
              <w:rPr>
                <w:rFonts w:ascii="游ゴシック" w:hAnsi="游ゴシック" w:eastAsia="游ゴシック"/>
                <w:b/>
                <w:sz w:val="17"/>
              </w:rPr>
              <w:t>東川町</w:t>
            </w:r>
          </w:p>
        </w:tc>
        <w:tc>
          <w:tcPr>
            <w:tcW w:type="dxa" w:w="2381"/>
            <w:shd w:val="clear" w:color="auto" w:fill="DCE6F1"/>
          </w:tcPr>
          <w:p>
            <w:pPr>
              <w:jc w:val="center"/>
            </w:pPr>
            <w:r/>
            <w:r>
              <w:rPr>
                <w:rFonts w:ascii="游ゴシック" w:hAnsi="游ゴシック" w:eastAsia="游ゴシック"/>
                <w:b/>
                <w:sz w:val="17"/>
              </w:rPr>
              <w:t>美瑛町</w:t>
            </w:r>
          </w:p>
        </w:tc>
        <w:tc>
          <w:tcPr>
            <w:tcW w:type="dxa" w:w="2381"/>
            <w:shd w:val="clear" w:color="auto" w:fill="DCE6F1"/>
          </w:tcPr>
          <w:p>
            <w:pPr>
              <w:jc w:val="center"/>
            </w:pPr>
            <w:r/>
            <w:r>
              <w:rPr>
                <w:rFonts w:ascii="游ゴシック" w:hAnsi="游ゴシック" w:eastAsia="游ゴシック"/>
                <w:b/>
                <w:sz w:val="17"/>
              </w:rPr>
              <w:t>東神楽町</w:t>
            </w:r>
          </w:p>
        </w:tc>
      </w:tr>
      <w:tr>
        <w:trPr>
          <w:cantSplit/>
        </w:trPr>
        <w:tc>
          <w:tcPr>
            <w:tcW w:type="dxa" w:w="2608"/>
          </w:tcPr>
          <w:p>
            <w:r/>
            <w:r>
              <w:rPr>
                <w:rFonts w:ascii="游ゴシック" w:hAnsi="游ゴシック" w:eastAsia="游ゴシック"/>
                <w:sz w:val="17"/>
              </w:rPr>
              <w:t>認知症初期集中支援推進事業</w:t>
            </w:r>
          </w:p>
        </w:tc>
        <w:tc>
          <w:tcPr>
            <w:tcW w:type="dxa" w:w="2381"/>
          </w:tcPr>
          <w:p>
            <w:r/>
            <w:r>
              <w:rPr>
                <w:rFonts w:ascii="游ゴシック" w:hAnsi="游ゴシック" w:eastAsia="游ゴシック"/>
                <w:sz w:val="17"/>
              </w:rPr>
              <w:t>認知症初期集中支援チーム員会議１回／サポーター養成講座2回</w:t>
            </w:r>
          </w:p>
        </w:tc>
        <w:tc>
          <w:tcPr>
            <w:tcW w:type="dxa" w:w="2381"/>
          </w:tcPr>
          <w:p>
            <w:r/>
            <w:r>
              <w:rPr>
                <w:rFonts w:ascii="游ゴシック" w:hAnsi="游ゴシック" w:eastAsia="游ゴシック"/>
                <w:sz w:val="17"/>
              </w:rPr>
              <w:t>0件／医師確保できず休止中</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認知症地域支援・ケア向上事業</w:t>
            </w:r>
          </w:p>
        </w:tc>
        <w:tc>
          <w:tcPr>
            <w:tcW w:type="dxa" w:w="2381"/>
          </w:tcPr>
          <w:p>
            <w:r/>
            <w:r>
              <w:rPr>
                <w:rFonts w:ascii="游ゴシック" w:hAnsi="游ゴシック" w:eastAsia="游ゴシック"/>
                <w:sz w:val="17"/>
              </w:rPr>
              <w:t>オレンジカフェの運営10回／認知症ケアに係る普及・啓発（パネル展示５か所）／映画上映会47名参加／チームオレンジ結成へ向けた打合せ（社協・包括）７回／認知症地域支援推進員リーダー研修出席１回</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認知症サポーター活動促進・地域づくり推進事業</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90人</w:t>
            </w:r>
          </w:p>
        </w:tc>
      </w:tr>
    </w:tbl>
    <w:p>
      <w:pPr>
        <w:spacing w:after="160" w:line="269" w:lineRule="auto"/>
        <w:jc w:val="right"/>
      </w:pPr>
      <w:r>
        <w:rPr>
          <w:rFonts w:ascii="游ゴシック" w:hAnsi="游ゴシック" w:eastAsia="游ゴシック"/>
          <w:b w:val="0"/>
          <w:sz w:val="17"/>
        </w:rPr>
        <w:t>資料：地域包括支援センター事業実施報告書（構成3町・令和7年度）</w:t>
      </w:r>
    </w:p>
    <w:p>
      <w:pPr>
        <w:spacing w:after="160" w:line="269" w:lineRule="auto"/>
      </w:pPr>
      <w:r>
        <w:rPr>
          <w:rFonts w:ascii="游ゴシック" w:hAnsi="游ゴシック" w:eastAsia="游ゴシック"/>
          <w:b w:val="0"/>
          <w:sz w:val="17"/>
        </w:rPr>
        <w:t>注1）量の欄は報告書の記載のとおりです。回数・件数・人数・対象者数が混在しており、町の間で単位がそろわないため合計できません。東神楽町の「対象2,910人」は第1号被保険者数であり、取組の回数ではありません。</w:t>
        <w:br/>
        <w:t>注2）美瑛町の認知症初期集中支援推進事業は、医師を確保できないため令和7年度の対応件数が0件で休止しています（第5章 基本目標2）。</w:t>
        <w:br/>
        <w:t>注3）事業ごとの利用者実人数及び事業費を確認できた時点で、量の見込みを掲げます［要協議］。</w:t>
      </w:r>
    </w:p>
    <w:p>
      <w:pPr>
        <w:pStyle w:val="Heading3"/>
        <w:spacing w:before="180" w:after="100"/>
      </w:pPr>
      <w:r>
        <w:rPr>
          <w:rFonts w:ascii="游ゴシック" w:hAnsi="游ゴシック" w:eastAsia="游ゴシック"/>
          <w:sz w:val="22"/>
        </w:rPr>
        <w:t>3　総給付費等</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108"/>
            <w:shd w:val="clear" w:color="auto" w:fill="DCE6F1"/>
          </w:tcPr>
          <w:p>
            <w:pPr>
              <w:spacing w:before="0"/>
              <w:jc w:val="center"/>
            </w:pPr>
            <w:r/>
            <w:r>
              <w:rPr>
                <w:rFonts w:ascii="游ゴシック" w:hAnsi="游ゴシック" w:eastAsia="游ゴシック"/>
                <w:b/>
                <w:sz w:val="17"/>
              </w:rPr>
              <w:t>区分</w:t>
            </w:r>
          </w:p>
        </w:tc>
        <w:tc>
          <w:tcPr>
            <w:tcW w:type="dxa" w:w="1054"/>
            <w:shd w:val="clear" w:color="auto" w:fill="DCE6F1"/>
          </w:tcPr>
          <w:p>
            <w:pPr>
              <w:jc w:val="center"/>
            </w:pPr>
            <w:r/>
            <w:r>
              <w:rPr>
                <w:rFonts w:ascii="游ゴシック" w:hAnsi="游ゴシック" w:eastAsia="游ゴシック"/>
                <w:b/>
                <w:sz w:val="17"/>
              </w:rPr>
              <w:t>第10期計</w:t>
            </w:r>
          </w:p>
        </w:tc>
        <w:tc>
          <w:tcPr>
            <w:tcW w:type="dxa" w:w="1001"/>
            <w:shd w:val="clear" w:color="auto" w:fill="DCE6F1"/>
          </w:tcPr>
          <w:p>
            <w:pPr>
              <w:jc w:val="center"/>
            </w:pPr>
            <w:r/>
            <w:r>
              <w:rPr>
                <w:rFonts w:ascii="游ゴシック" w:hAnsi="游ゴシック" w:eastAsia="游ゴシック"/>
                <w:b/>
                <w:sz w:val="17"/>
              </w:rPr>
              <w:t>R9</w:t>
            </w:r>
          </w:p>
        </w:tc>
        <w:tc>
          <w:tcPr>
            <w:tcW w:type="dxa" w:w="1001"/>
            <w:shd w:val="clear" w:color="auto" w:fill="DCE6F1"/>
          </w:tcPr>
          <w:p>
            <w:pPr>
              <w:jc w:val="center"/>
            </w:pPr>
            <w:r/>
            <w:r>
              <w:rPr>
                <w:rFonts w:ascii="游ゴシック" w:hAnsi="游ゴシック" w:eastAsia="游ゴシック"/>
                <w:b/>
                <w:sz w:val="17"/>
              </w:rPr>
              <w:t>R10</w:t>
            </w:r>
          </w:p>
        </w:tc>
        <w:tc>
          <w:tcPr>
            <w:tcW w:type="dxa" w:w="1001"/>
            <w:shd w:val="clear" w:color="auto" w:fill="DCE6F1"/>
          </w:tcPr>
          <w:p>
            <w:pPr>
              <w:jc w:val="center"/>
            </w:pPr>
            <w:r/>
            <w:r>
              <w:rPr>
                <w:rFonts w:ascii="游ゴシック" w:hAnsi="游ゴシック" w:eastAsia="游ゴシック"/>
                <w:b/>
                <w:sz w:val="17"/>
              </w:rPr>
              <w:t>R11</w:t>
            </w:r>
          </w:p>
        </w:tc>
        <w:tc>
          <w:tcPr>
            <w:tcW w:type="dxa" w:w="1001"/>
            <w:shd w:val="clear" w:color="auto" w:fill="DCE6F1"/>
          </w:tcPr>
          <w:p>
            <w:pPr>
              <w:jc w:val="center"/>
            </w:pPr>
            <w:r/>
            <w:r>
              <w:rPr>
                <w:rFonts w:ascii="游ゴシック" w:hAnsi="游ゴシック" w:eastAsia="游ゴシック"/>
                <w:b/>
                <w:sz w:val="17"/>
              </w:rPr>
              <w:t>R17</w:t>
            </w:r>
          </w:p>
        </w:tc>
        <w:tc>
          <w:tcPr>
            <w:tcW w:type="dxa" w:w="1001"/>
            <w:shd w:val="clear" w:color="auto" w:fill="DCE6F1"/>
          </w:tcPr>
          <w:p>
            <w:pPr>
              <w:jc w:val="center"/>
            </w:pPr>
            <w:r/>
            <w:r>
              <w:rPr>
                <w:rFonts w:ascii="游ゴシック" w:hAnsi="游ゴシック" w:eastAsia="游ゴシック"/>
                <w:b/>
                <w:sz w:val="17"/>
              </w:rPr>
              <w:t>R22</w:t>
            </w:r>
          </w:p>
        </w:tc>
        <w:tc>
          <w:tcPr>
            <w:tcW w:type="dxa" w:w="1581"/>
            <w:shd w:val="clear" w:color="auto" w:fill="DCE6F1"/>
          </w:tcPr>
          <w:p>
            <w:pPr>
              <w:jc w:val="center"/>
            </w:pPr>
            <w:r/>
            <w:r>
              <w:rPr>
                <w:rFonts w:ascii="游ゴシック" w:hAnsi="游ゴシック" w:eastAsia="游ゴシック"/>
                <w:b/>
                <w:sz w:val="17"/>
              </w:rPr>
              <w:t>算定根拠</w:t>
            </w:r>
          </w:p>
        </w:tc>
      </w:tr>
      <w:tr>
        <w:trPr>
          <w:cantSplit/>
        </w:trP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9,035.1</w:t>
            </w:r>
          </w:p>
        </w:tc>
        <w:tc>
          <w:tcPr>
            <w:tcW w:type="dxa" w:w="1001"/>
          </w:tcPr>
          <w:p>
            <w:r/>
            <w:r>
              <w:rPr>
                <w:rFonts w:ascii="游ゴシック" w:hAnsi="游ゴシック" w:eastAsia="游ゴシック"/>
                <w:sz w:val="17"/>
              </w:rPr>
              <w:t>2,979.0</w:t>
            </w:r>
          </w:p>
        </w:tc>
        <w:tc>
          <w:tcPr>
            <w:tcW w:type="dxa" w:w="1001"/>
          </w:tcPr>
          <w:p>
            <w:r/>
            <w:r>
              <w:rPr>
                <w:rFonts w:ascii="游ゴシック" w:hAnsi="游ゴシック" w:eastAsia="游ゴシック"/>
                <w:sz w:val="17"/>
              </w:rPr>
              <w:t>3,011.5</w:t>
            </w:r>
          </w:p>
        </w:tc>
        <w:tc>
          <w:tcPr>
            <w:tcW w:type="dxa" w:w="1001"/>
          </w:tcPr>
          <w:p>
            <w:r/>
            <w:r>
              <w:rPr>
                <w:rFonts w:ascii="游ゴシック" w:hAnsi="游ゴシック" w:eastAsia="游ゴシック"/>
                <w:sz w:val="17"/>
              </w:rPr>
              <w:t>3,044.6</w:t>
            </w:r>
          </w:p>
        </w:tc>
        <w:tc>
          <w:tcPr>
            <w:tcW w:type="dxa" w:w="1001"/>
          </w:tcPr>
          <w:p>
            <w:r/>
            <w:r>
              <w:rPr>
                <w:rFonts w:ascii="游ゴシック" w:hAnsi="游ゴシック" w:eastAsia="游ゴシック"/>
                <w:sz w:val="17"/>
              </w:rPr>
              <w:t>3,317.8</w:t>
            </w:r>
          </w:p>
        </w:tc>
        <w:tc>
          <w:tcPr>
            <w:tcW w:type="dxa" w:w="1001"/>
          </w:tcPr>
          <w:p>
            <w:r/>
            <w:r>
              <w:rPr>
                <w:rFonts w:ascii="游ゴシック" w:hAnsi="游ゴシック" w:eastAsia="游ゴシック"/>
                <w:sz w:val="17"/>
              </w:rPr>
              <w:t>3,418.5</w:t>
            </w:r>
          </w:p>
        </w:tc>
        <w:tc>
          <w:tcPr>
            <w:tcW w:type="dxa" w:w="1581"/>
          </w:tcPr>
          <w:p>
            <w:r/>
            <w:r>
              <w:rPr>
                <w:rFonts w:ascii="游ゴシック" w:hAnsi="游ゴシック" w:eastAsia="游ゴシック"/>
                <w:sz w:val="17"/>
              </w:rPr>
              <w:t>令和7年度の実績×要介護度別の認定者数の伸び</w:t>
            </w:r>
          </w:p>
        </w:tc>
      </w:tr>
      <w:tr>
        <w:trPr>
          <w:cantSplit/>
        </w:trP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9,569.0</w:t>
            </w:r>
          </w:p>
        </w:tc>
        <w:tc>
          <w:tcPr>
            <w:tcW w:type="dxa" w:w="1001"/>
          </w:tcPr>
          <w:p>
            <w:r/>
            <w:r>
              <w:rPr>
                <w:rFonts w:ascii="游ゴシック" w:hAnsi="游ゴシック" w:eastAsia="游ゴシック"/>
                <w:sz w:val="17"/>
              </w:rPr>
              <w:t>3,155.0</w:t>
            </w:r>
          </w:p>
        </w:tc>
        <w:tc>
          <w:tcPr>
            <w:tcW w:type="dxa" w:w="1001"/>
          </w:tcPr>
          <w:p>
            <w:r/>
            <w:r>
              <w:rPr>
                <w:rFonts w:ascii="游ゴシック" w:hAnsi="游ゴシック" w:eastAsia="游ゴシック"/>
                <w:sz w:val="17"/>
              </w:rPr>
              <w:t>3,189.5</w:t>
            </w:r>
          </w:p>
        </w:tc>
        <w:tc>
          <w:tcPr>
            <w:tcW w:type="dxa" w:w="1001"/>
          </w:tcPr>
          <w:p>
            <w:r/>
            <w:r>
              <w:rPr>
                <w:rFonts w:ascii="游ゴシック" w:hAnsi="游ゴシック" w:eastAsia="游ゴシック"/>
                <w:sz w:val="17"/>
              </w:rPr>
              <w:t>3,224.5</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rPr>
          <w:cantSplit/>
        </w:trP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rPr>
          <w:cantSplit/>
        </w:trP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10,100.5</w:t>
            </w:r>
          </w:p>
        </w:tc>
        <w:tc>
          <w:tcPr>
            <w:tcW w:type="dxa" w:w="1001"/>
          </w:tcPr>
          <w:p>
            <w:r/>
            <w:r>
              <w:rPr>
                <w:rFonts w:ascii="游ゴシック" w:hAnsi="游ゴシック" w:eastAsia="游ゴシック"/>
                <w:sz w:val="17"/>
              </w:rPr>
              <w:t>3,332.2</w:t>
            </w:r>
          </w:p>
        </w:tc>
        <w:tc>
          <w:tcPr>
            <w:tcW w:type="dxa" w:w="1001"/>
          </w:tcPr>
          <w:p>
            <w:r/>
            <w:r>
              <w:rPr>
                <w:rFonts w:ascii="游ゴシック" w:hAnsi="游ゴシック" w:eastAsia="游ゴシック"/>
                <w:sz w:val="17"/>
              </w:rPr>
              <w:t>3,366.7</w:t>
            </w:r>
          </w:p>
        </w:tc>
        <w:tc>
          <w:tcPr>
            <w:tcW w:type="dxa" w:w="1001"/>
          </w:tcPr>
          <w:p>
            <w:r/>
            <w:r>
              <w:rPr>
                <w:rFonts w:ascii="游ゴシック" w:hAnsi="游ゴシック" w:eastAsia="游ゴシック"/>
                <w:sz w:val="17"/>
              </w:rPr>
              <w:t>3,401.7</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line="269" w:lineRule="auto"/>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9,035.1百万円）に対し、令和22年度は単年度で3,418.5百万円となります。</w:t>
      </w:r>
    </w:p>
    <w:p>
      <w:pPr>
        <w:pStyle w:val="Heading2"/>
        <w:spacing w:before="180" w:after="100"/>
      </w:pPr>
      <w:bookmarkStart w:id="139" w:name="_Toc10_039"/>
      <w:r>
        <w:rPr>
          <w:rFonts w:ascii="游ゴシック" w:hAnsi="游ゴシック" w:eastAsia="游ゴシック"/>
          <w:sz w:val="25"/>
        </w:rPr>
        <w:t>第4節 介護保険サービス等における施設の見込み</w:t>
      </w:r>
      <w:bookmarkEnd w:id="139"/>
    </w:p>
    <w:p>
      <w:pPr>
        <w:spacing w:after="80" w:line="269" w:lineRule="auto"/>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line="269" w:lineRule="auto"/>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line="269" w:lineRule="auto"/>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案</w:t>
            </w:r>
          </w:p>
        </w:tc>
        <w:tc>
          <w:tcPr>
            <w:tcW w:type="dxa" w:w="3287"/>
            <w:shd w:val="clear" w:color="auto" w:fill="DCE6F1"/>
          </w:tcPr>
          <w:p>
            <w:pPr>
              <w:jc w:val="center"/>
            </w:pPr>
            <w:r/>
            <w:r>
              <w:rPr>
                <w:rFonts w:ascii="游ゴシック" w:hAnsi="游ゴシック" w:eastAsia="游ゴシック"/>
                <w:b/>
                <w:sz w:val="17"/>
              </w:rPr>
              <w:t>内容</w:t>
            </w:r>
          </w:p>
        </w:tc>
        <w:tc>
          <w:tcPr>
            <w:tcW w:type="dxa" w:w="3616"/>
            <w:shd w:val="clear" w:color="auto" w:fill="DCE6F1"/>
          </w:tcPr>
          <w:p>
            <w:pPr>
              <w:jc w:val="center"/>
            </w:pPr>
            <w:r/>
            <w:r>
              <w:rPr>
                <w:rFonts w:ascii="游ゴシック" w:hAnsi="游ゴシック" w:eastAsia="游ゴシック"/>
                <w:b/>
                <w:sz w:val="17"/>
              </w:rPr>
              <w:t>留意点</w:t>
            </w:r>
          </w:p>
        </w:tc>
        <w:tc>
          <w:tcPr>
            <w:tcW w:type="dxa" w:w="2191"/>
            <w:shd w:val="clear" w:color="auto" w:fill="DCE6F1"/>
          </w:tcPr>
          <w:p>
            <w:pPr>
              <w:jc w:val="center"/>
            </w:pPr>
            <w:r/>
            <w:r>
              <w:rPr>
                <w:rFonts w:ascii="游ゴシック" w:hAnsi="游ゴシック" w:eastAsia="游ゴシック"/>
                <w:b/>
                <w:sz w:val="17"/>
              </w:rPr>
              <w:t>見込量への反映</w:t>
            </w:r>
          </w:p>
        </w:tc>
      </w:tr>
      <w:tr>
        <w:trPr>
          <w:cantSplit/>
        </w:trP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rPr>
          <w:cantSplit/>
        </w:trP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rPr>
          <w:cantSplit/>
        </w:trP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rPr>
          <w:cantSplit/>
        </w:trP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の素案は「特定のサービス類型の事業所が地域に存在しない……など、現に指定サービス等を前提としたサービス基盤の維持が困難である地域」を指定の対象として挙げており、本広域連合の状況はこれに当たり得る。指定は市町村の意向を踏まえて都道府県が定めるため、本計画に指定の意向を記載することが手続の起点となる。事業の具体の内容、費用の負担及び事業費の上限は確定していないため、必要となる事業費は算定できない（第1章第9節1）</w:t>
            </w:r>
          </w:p>
        </w:tc>
        <w:tc>
          <w:tcPr>
            <w:tcW w:type="dxa" w:w="2191"/>
          </w:tcPr>
          <w:p>
            <w:r/>
            <w:r>
              <w:rPr>
                <w:rFonts w:ascii="游ゴシック" w:hAnsi="游ゴシック" w:eastAsia="游ゴシック"/>
                <w:sz w:val="17"/>
              </w:rPr>
              <w:t>事業開始年度から利用者数を計上</w:t>
            </w:r>
          </w:p>
        </w:tc>
      </w:tr>
    </w:tbl>
    <w:p>
      <w:pPr>
        <w:spacing w:after="80" w:line="269" w:lineRule="auto"/>
      </w:pPr>
      <w:r>
        <w:rPr>
          <w:rFonts w:ascii="游ゴシック" w:hAnsi="游ゴシック" w:eastAsia="游ゴシック"/>
          <w:b w:val="0"/>
          <w:sz w:val="20"/>
        </w:rPr>
        <w:t>いずれの案によるかが定まるまでの間、第2節の見込量は現在の利用の水準を延ばした自然体の値としており、整備又は事業の実施による上乗せは含んでいません［要協議］。案A、案B又は案Dによる場合は、開始する年度から利用者数及び給付費を加えて見込量を置き直します。本計画の保険料の算定（第6節）は、整備による上乗せを含まない見込量によっています。</w:t>
      </w:r>
    </w:p>
    <w:p>
      <w:pPr>
        <w:spacing w:after="80" w:line="269" w:lineRule="auto"/>
      </w:pPr>
      <w:r>
        <w:rPr>
          <w:rFonts w:ascii="游ゴシック" w:hAnsi="游ゴシック" w:eastAsia="游ゴシック"/>
          <w:b w:val="0"/>
          <w:sz w:val="20"/>
        </w:rPr>
        <w:t>なお、定期巡回・随時対応型訪問介護看護については、新規に開設する際に利用者の確保が困難である場合の訪問介護員等の配置基準の見直しと、区域外の指定を受けて複数の市町村にまたがってサービスを提供する事業所の評価の在り方が検討されています（第1章第9節6）。いずれも整備を検討する際の条件に関わるものであるため、案を定めるに当たり、確定した内容により確かめます［要協議］。</w:t>
      </w:r>
    </w:p>
    <w:p>
      <w:pPr>
        <w:pStyle w:val="Heading3"/>
        <w:spacing w:before="180" w:after="100"/>
      </w:pPr>
      <w:r>
        <w:rPr>
          <w:rFonts w:ascii="游ゴシック" w:hAnsi="游ゴシック" w:eastAsia="游ゴシック"/>
          <w:sz w:val="22"/>
        </w:rPr>
        <w:t>2　施設・居住系サービスの整備見込み</w:t>
      </w:r>
    </w:p>
    <w:p>
      <w:pPr>
        <w:spacing w:after="80" w:line="269" w:lineRule="auto"/>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068"/>
            <w:shd w:val="clear" w:color="auto" w:fill="DCE6F1"/>
          </w:tcPr>
          <w:p>
            <w:pPr>
              <w:spacing w:before="0"/>
              <w:jc w:val="center"/>
            </w:pPr>
            <w:r/>
            <w:r>
              <w:rPr>
                <w:rFonts w:ascii="游ゴシック" w:hAnsi="游ゴシック" w:eastAsia="游ゴシック"/>
                <w:b/>
                <w:sz w:val="17"/>
              </w:rPr>
              <w:t>サービス</w:t>
            </w:r>
          </w:p>
        </w:tc>
        <w:tc>
          <w:tcPr>
            <w:tcW w:type="dxa" w:w="886"/>
            <w:shd w:val="clear" w:color="auto" w:fill="DCE6F1"/>
          </w:tcPr>
          <w:p>
            <w:pPr>
              <w:jc w:val="center"/>
            </w:pPr>
            <w:r/>
            <w:r>
              <w:rPr>
                <w:rFonts w:ascii="游ゴシック" w:hAnsi="游ゴシック" w:eastAsia="游ゴシック"/>
                <w:b/>
                <w:sz w:val="17"/>
              </w:rPr>
              <w:t>R6公開定員</w:t>
            </w:r>
          </w:p>
        </w:tc>
        <w:tc>
          <w:tcPr>
            <w:tcW w:type="dxa" w:w="1970"/>
            <w:shd w:val="clear" w:color="auto" w:fill="DCE6F1"/>
          </w:tcPr>
          <w:p>
            <w:pPr>
              <w:jc w:val="center"/>
            </w:pPr>
            <w:r/>
            <w:r>
              <w:rPr>
                <w:rFonts w:ascii="游ゴシック" w:hAnsi="游ゴシック" w:eastAsia="游ゴシック"/>
                <w:b/>
                <w:sz w:val="17"/>
              </w:rPr>
              <w:t>定員の推移</w:t>
            </w:r>
          </w:p>
        </w:tc>
        <w:tc>
          <w:tcPr>
            <w:tcW w:type="dxa" w:w="788"/>
            <w:shd w:val="clear" w:color="auto" w:fill="DCE6F1"/>
          </w:tcPr>
          <w:p>
            <w:pPr>
              <w:jc w:val="center"/>
            </w:pPr>
            <w:r/>
            <w:r>
              <w:rPr>
                <w:rFonts w:ascii="游ゴシック" w:hAnsi="游ゴシック" w:eastAsia="游ゴシック"/>
                <w:b/>
                <w:sz w:val="17"/>
              </w:rPr>
              <w:t>R9</w:t>
            </w:r>
          </w:p>
        </w:tc>
        <w:tc>
          <w:tcPr>
            <w:tcW w:type="dxa" w:w="788"/>
            <w:shd w:val="clear" w:color="auto" w:fill="DCE6F1"/>
          </w:tcPr>
          <w:p>
            <w:pPr>
              <w:jc w:val="center"/>
            </w:pPr>
            <w:r/>
            <w:r>
              <w:rPr>
                <w:rFonts w:ascii="游ゴシック" w:hAnsi="游ゴシック" w:eastAsia="游ゴシック"/>
                <w:b/>
                <w:sz w:val="17"/>
              </w:rPr>
              <w:t>R10</w:t>
            </w:r>
          </w:p>
        </w:tc>
        <w:tc>
          <w:tcPr>
            <w:tcW w:type="dxa" w:w="788"/>
            <w:shd w:val="clear" w:color="auto" w:fill="DCE6F1"/>
          </w:tcPr>
          <w:p>
            <w:pPr>
              <w:jc w:val="center"/>
            </w:pPr>
            <w:r/>
            <w:r>
              <w:rPr>
                <w:rFonts w:ascii="游ゴシック" w:hAnsi="游ゴシック" w:eastAsia="游ゴシック"/>
                <w:b/>
                <w:sz w:val="17"/>
              </w:rPr>
              <w:t>R11</w:t>
            </w:r>
          </w:p>
        </w:tc>
        <w:tc>
          <w:tcPr>
            <w:tcW w:type="dxa" w:w="2462"/>
            <w:shd w:val="clear" w:color="auto" w:fill="DCE6F1"/>
          </w:tcPr>
          <w:p>
            <w:pPr>
              <w:jc w:val="center"/>
            </w:pPr>
            <w:r/>
            <w:r>
              <w:rPr>
                <w:rFonts w:ascii="游ゴシック" w:hAnsi="游ゴシック" w:eastAsia="游ゴシック"/>
                <w:b/>
                <w:sz w:val="17"/>
              </w:rPr>
              <w:t>整備・判断根拠</w:t>
            </w:r>
          </w:p>
        </w:tc>
      </w:tr>
      <w:tr>
        <w:trPr>
          <w:cantSplit/>
        </w:trP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rPr>
          <w:cantSplit/>
        </w:trP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rPr>
          <w:cantSplit/>
        </w:trP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rPr>
          <w:cantSplit/>
        </w:trP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rPr>
          <w:cantSplit/>
        </w:trP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rPr>
          <w:cantSplit/>
        </w:trP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rPr>
          <w:cantSplit/>
        </w:trP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【定員と見込量の照合】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定員</w:t>
            </w:r>
          </w:p>
        </w:tc>
        <w:tc>
          <w:tcPr>
            <w:tcW w:type="dxa" w:w="986"/>
            <w:shd w:val="clear" w:color="auto" w:fill="DCE6F1"/>
          </w:tcPr>
          <w:p>
            <w:pPr>
              <w:jc w:val="center"/>
            </w:pPr>
            <w:r/>
            <w:r>
              <w:rPr>
                <w:rFonts w:ascii="游ゴシック" w:hAnsi="游ゴシック" w:eastAsia="游ゴシック"/>
                <w:b/>
                <w:sz w:val="17"/>
              </w:rPr>
              <w:t>R7実績</w:t>
            </w:r>
          </w:p>
        </w:tc>
        <w:tc>
          <w:tcPr>
            <w:tcW w:type="dxa" w:w="986"/>
            <w:shd w:val="clear" w:color="auto" w:fill="DCE6F1"/>
          </w:tcPr>
          <w:p>
            <w:pPr>
              <w:jc w:val="center"/>
            </w:pPr>
            <w:r/>
            <w:r>
              <w:rPr>
                <w:rFonts w:ascii="游ゴシック" w:hAnsi="游ゴシック" w:eastAsia="游ゴシック"/>
                <w:b/>
                <w:sz w:val="17"/>
              </w:rPr>
              <w:t>R11見込</w:t>
            </w:r>
          </w:p>
        </w:tc>
        <w:tc>
          <w:tcPr>
            <w:tcW w:type="dxa" w:w="986"/>
            <w:shd w:val="clear" w:color="auto" w:fill="DCE6F1"/>
          </w:tcPr>
          <w:p>
            <w:pPr>
              <w:jc w:val="center"/>
            </w:pPr>
            <w:r/>
            <w:r>
              <w:rPr>
                <w:rFonts w:ascii="游ゴシック" w:hAnsi="游ゴシック" w:eastAsia="游ゴシック"/>
                <w:b/>
                <w:sz w:val="17"/>
              </w:rPr>
              <w:t>R11／定員</w:t>
            </w:r>
          </w:p>
        </w:tc>
        <w:tc>
          <w:tcPr>
            <w:tcW w:type="dxa" w:w="3725"/>
            <w:shd w:val="clear" w:color="auto" w:fill="DCE6F1"/>
          </w:tcPr>
          <w:p>
            <w:pPr>
              <w:jc w:val="center"/>
            </w:pPr>
            <w:r/>
            <w:r>
              <w:rPr>
                <w:rFonts w:ascii="游ゴシック" w:hAnsi="游ゴシック" w:eastAsia="游ゴシック"/>
                <w:b/>
                <w:sz w:val="17"/>
              </w:rPr>
              <w:t>整備判断上の確認事項</w:t>
            </w:r>
          </w:p>
        </w:tc>
      </w:tr>
      <w:tr>
        <w:trPr>
          <w:cantSplit/>
        </w:trPr>
        <w:tc>
          <w:tcPr>
            <w:tcW w:type="dxa" w:w="2191"/>
          </w:tcPr>
          <w:p>
            <w:r/>
            <w:r>
              <w:rPr>
                <w:rFonts w:ascii="游ゴシック" w:hAnsi="游ゴシック" w:eastAsia="游ゴシック"/>
                <w:sz w:val="17"/>
              </w:rPr>
              <w:t>介護老人福祉施設</w:t>
            </w:r>
          </w:p>
        </w:tc>
        <w:tc>
          <w:tcPr>
            <w:tcW w:type="dxa" w:w="877"/>
          </w:tcPr>
          <w:p>
            <w:r/>
            <w:r>
              <w:rPr>
                <w:rFonts w:ascii="游ゴシック" w:hAnsi="游ゴシック" w:eastAsia="游ゴシック"/>
                <w:sz w:val="17"/>
              </w:rPr>
              <w:t>160人</w:t>
            </w:r>
          </w:p>
        </w:tc>
        <w:tc>
          <w:tcPr>
            <w:tcW w:type="dxa" w:w="986"/>
          </w:tcPr>
          <w:p>
            <w:r/>
            <w:r>
              <w:rPr>
                <w:rFonts w:ascii="游ゴシック" w:hAnsi="游ゴシック" w:eastAsia="游ゴシック"/>
                <w:sz w:val="17"/>
              </w:rPr>
              <w:t>138.2人</w:t>
            </w:r>
          </w:p>
        </w:tc>
        <w:tc>
          <w:tcPr>
            <w:tcW w:type="dxa" w:w="986"/>
          </w:tcPr>
          <w:p>
            <w:r/>
            <w:r>
              <w:rPr>
                <w:rFonts w:ascii="游ゴシック" w:hAnsi="游ゴシック" w:eastAsia="游ゴシック"/>
                <w:sz w:val="17"/>
              </w:rPr>
              <w:t>144.6人</w:t>
            </w:r>
          </w:p>
        </w:tc>
        <w:tc>
          <w:tcPr>
            <w:tcW w:type="dxa" w:w="986"/>
          </w:tcPr>
          <w:p>
            <w:r/>
            <w:r>
              <w:rPr>
                <w:rFonts w:ascii="游ゴシック" w:hAnsi="游ゴシック" w:eastAsia="游ゴシック"/>
                <w:sz w:val="17"/>
              </w:rPr>
              <w:t>90.4％</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rPr>
          <w:cantSplit/>
        </w:trPr>
        <w:tc>
          <w:tcPr>
            <w:tcW w:type="dxa" w:w="2191"/>
          </w:tcPr>
          <w:p>
            <w:r/>
            <w:r>
              <w:rPr>
                <w:rFonts w:ascii="游ゴシック" w:hAnsi="游ゴシック" w:eastAsia="游ゴシック"/>
                <w:sz w:val="17"/>
              </w:rPr>
              <w:t>介護老人保健施設</w:t>
            </w:r>
          </w:p>
        </w:tc>
        <w:tc>
          <w:tcPr>
            <w:tcW w:type="dxa" w:w="877"/>
          </w:tcPr>
          <w:p>
            <w:r/>
            <w:r>
              <w:rPr>
                <w:rFonts w:ascii="游ゴシック" w:hAnsi="游ゴシック" w:eastAsia="游ゴシック"/>
                <w:sz w:val="17"/>
              </w:rPr>
              <w:t>240人</w:t>
            </w:r>
          </w:p>
        </w:tc>
        <w:tc>
          <w:tcPr>
            <w:tcW w:type="dxa" w:w="986"/>
          </w:tcPr>
          <w:p>
            <w:r/>
            <w:r>
              <w:rPr>
                <w:rFonts w:ascii="游ゴシック" w:hAnsi="游ゴシック" w:eastAsia="游ゴシック"/>
                <w:sz w:val="17"/>
              </w:rPr>
              <w:t>134.1人</w:t>
            </w:r>
          </w:p>
        </w:tc>
        <w:tc>
          <w:tcPr>
            <w:tcW w:type="dxa" w:w="986"/>
          </w:tcPr>
          <w:p>
            <w:r/>
            <w:r>
              <w:rPr>
                <w:rFonts w:ascii="游ゴシック" w:hAnsi="游ゴシック" w:eastAsia="游ゴシック"/>
                <w:sz w:val="17"/>
              </w:rPr>
              <w:t>140.1人</w:t>
            </w:r>
          </w:p>
        </w:tc>
        <w:tc>
          <w:tcPr>
            <w:tcW w:type="dxa" w:w="986"/>
          </w:tcPr>
          <w:p>
            <w:r/>
            <w:r>
              <w:rPr>
                <w:rFonts w:ascii="游ゴシック" w:hAnsi="游ゴシック" w:eastAsia="游ゴシック"/>
                <w:sz w:val="17"/>
              </w:rPr>
              <w:t>58.4％</w:t>
            </w:r>
          </w:p>
        </w:tc>
        <w:tc>
          <w:tcPr>
            <w:tcW w:type="dxa" w:w="3725"/>
          </w:tcPr>
          <w:p>
            <w:r/>
            <w:r>
              <w:rPr>
                <w:rFonts w:ascii="游ゴシック" w:hAnsi="游ゴシック" w:eastAsia="游ゴシック"/>
                <w:sz w:val="17"/>
              </w:rPr>
              <w:t>在宅復帰、短期集中、医療機関からの受皿、休止床。令和8年度の月報では111人／月まで減っている</w:t>
            </w:r>
          </w:p>
        </w:tc>
      </w:tr>
      <w:tr>
        <w:trPr>
          <w:cantSplit/>
        </w:trPr>
        <w:tc>
          <w:tcPr>
            <w:tcW w:type="dxa" w:w="2191"/>
          </w:tcPr>
          <w:p>
            <w:r/>
            <w:r>
              <w:rPr>
                <w:rFonts w:ascii="游ゴシック" w:hAnsi="游ゴシック" w:eastAsia="游ゴシック"/>
                <w:sz w:val="17"/>
              </w:rPr>
              <w:t>介護医療院</w:t>
            </w:r>
          </w:p>
        </w:tc>
        <w:tc>
          <w:tcPr>
            <w:tcW w:type="dxa" w:w="877"/>
          </w:tcPr>
          <w:p>
            <w:r/>
            <w:r>
              <w:rPr>
                <w:rFonts w:ascii="游ゴシック" w:hAnsi="游ゴシック" w:eastAsia="游ゴシック"/>
                <w:sz w:val="17"/>
              </w:rPr>
              <w:t>―</w:t>
            </w:r>
          </w:p>
        </w:tc>
        <w:tc>
          <w:tcPr>
            <w:tcW w:type="dxa" w:w="986"/>
          </w:tcPr>
          <w:p>
            <w:r/>
            <w:r>
              <w:rPr>
                <w:rFonts w:ascii="游ゴシック" w:hAnsi="游ゴシック" w:eastAsia="游ゴシック"/>
                <w:sz w:val="17"/>
              </w:rPr>
              <w:t>5.5人</w:t>
            </w:r>
          </w:p>
        </w:tc>
        <w:tc>
          <w:tcPr>
            <w:tcW w:type="dxa" w:w="986"/>
          </w:tcPr>
          <w:p>
            <w:r/>
            <w:r>
              <w:rPr>
                <w:rFonts w:ascii="游ゴシック" w:hAnsi="游ゴシック" w:eastAsia="游ゴシック"/>
                <w:sz w:val="17"/>
              </w:rPr>
              <w:t>5.7人</w:t>
            </w:r>
          </w:p>
        </w:tc>
        <w:tc>
          <w:tcPr>
            <w:tcW w:type="dxa" w:w="98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rPr>
          <w:cantSplit/>
        </w:trPr>
        <w:tc>
          <w:tcPr>
            <w:tcW w:type="dxa" w:w="2191"/>
          </w:tcPr>
          <w:p>
            <w:r/>
            <w:r>
              <w:rPr>
                <w:rFonts w:ascii="游ゴシック" w:hAnsi="游ゴシック" w:eastAsia="游ゴシック"/>
                <w:sz w:val="17"/>
              </w:rPr>
              <w:t>認知症対応型共同生活介護</w:t>
            </w:r>
          </w:p>
        </w:tc>
        <w:tc>
          <w:tcPr>
            <w:tcW w:type="dxa" w:w="877"/>
          </w:tcPr>
          <w:p>
            <w:r/>
            <w:r>
              <w:rPr>
                <w:rFonts w:ascii="游ゴシック" w:hAnsi="游ゴシック" w:eastAsia="游ゴシック"/>
                <w:sz w:val="17"/>
              </w:rPr>
              <w:t>99人</w:t>
            </w:r>
          </w:p>
        </w:tc>
        <w:tc>
          <w:tcPr>
            <w:tcW w:type="dxa" w:w="986"/>
          </w:tcPr>
          <w:p>
            <w:r/>
            <w:r>
              <w:rPr>
                <w:rFonts w:ascii="游ゴシック" w:hAnsi="游ゴシック" w:eastAsia="游ゴシック"/>
                <w:sz w:val="17"/>
              </w:rPr>
              <w:t>81.6人</w:t>
            </w:r>
          </w:p>
        </w:tc>
        <w:tc>
          <w:tcPr>
            <w:tcW w:type="dxa" w:w="986"/>
          </w:tcPr>
          <w:p>
            <w:r/>
            <w:r>
              <w:rPr>
                <w:rFonts w:ascii="游ゴシック" w:hAnsi="游ゴシック" w:eastAsia="游ゴシック"/>
                <w:sz w:val="17"/>
              </w:rPr>
              <w:t>85.2人</w:t>
            </w:r>
          </w:p>
        </w:tc>
        <w:tc>
          <w:tcPr>
            <w:tcW w:type="dxa" w:w="986"/>
          </w:tcPr>
          <w:p>
            <w:r/>
            <w:r>
              <w:rPr>
                <w:rFonts w:ascii="游ゴシック" w:hAnsi="游ゴシック" w:eastAsia="游ゴシック"/>
                <w:sz w:val="17"/>
              </w:rPr>
              <w:t>86.1％</w:t>
            </w:r>
          </w:p>
        </w:tc>
        <w:tc>
          <w:tcPr>
            <w:tcW w:type="dxa" w:w="3725"/>
          </w:tcPr>
          <w:p>
            <w:r/>
            <w:r>
              <w:rPr>
                <w:rFonts w:ascii="游ゴシック" w:hAnsi="游ゴシック" w:eastAsia="游ゴシック"/>
                <w:sz w:val="17"/>
              </w:rPr>
              <w:t>認知症需要、町別アクセス、人材、空床。定員は99人＋［要確認］（東川町の1事業所が未確定）</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156人</w:t>
            </w:r>
          </w:p>
        </w:tc>
        <w:tc>
          <w:tcPr>
            <w:tcW w:type="dxa" w:w="986"/>
          </w:tcPr>
          <w:p>
            <w:r/>
            <w:r>
              <w:rPr>
                <w:rFonts w:ascii="游ゴシック" w:hAnsi="游ゴシック" w:eastAsia="游ゴシック"/>
                <w:sz w:val="17"/>
              </w:rPr>
              <w:t>61.5人</w:t>
            </w:r>
          </w:p>
        </w:tc>
        <w:tc>
          <w:tcPr>
            <w:tcW w:type="dxa" w:w="986"/>
          </w:tcPr>
          <w:p>
            <w:r/>
            <w:r>
              <w:rPr>
                <w:rFonts w:ascii="游ゴシック" w:hAnsi="游ゴシック" w:eastAsia="游ゴシック"/>
                <w:sz w:val="17"/>
              </w:rPr>
              <w:t>64.1人</w:t>
            </w:r>
          </w:p>
        </w:tc>
        <w:tc>
          <w:tcPr>
            <w:tcW w:type="dxa" w:w="986"/>
          </w:tcPr>
          <w:p>
            <w:r/>
            <w:r>
              <w:rPr>
                <w:rFonts w:ascii="游ゴシック" w:hAnsi="游ゴシック" w:eastAsia="游ゴシック"/>
                <w:sz w:val="17"/>
              </w:rPr>
              <w:t>41.1％</w:t>
            </w:r>
          </w:p>
        </w:tc>
        <w:tc>
          <w:tcPr>
            <w:tcW w:type="dxa" w:w="3725"/>
          </w:tcPr>
          <w:p>
            <w:r/>
            <w:r>
              <w:rPr>
                <w:rFonts w:ascii="游ゴシック" w:hAnsi="游ゴシック" w:eastAsia="游ゴシック"/>
                <w:sz w:val="17"/>
              </w:rPr>
              <w:t>住まいの選択、住所地特例、医療対応、町外利用</w:t>
            </w:r>
          </w:p>
        </w:tc>
      </w:tr>
      <w:tr>
        <w:trPr>
          <w:cantSplit/>
        </w:trPr>
        <w:tc>
          <w:tcPr>
            <w:tcW w:type="dxa" w:w="2191"/>
          </w:tcPr>
          <w:p>
            <w:r/>
            <w:r>
              <w:rPr>
                <w:rFonts w:ascii="游ゴシック" w:hAnsi="游ゴシック" w:eastAsia="游ゴシック"/>
                <w:sz w:val="17"/>
              </w:rPr>
              <w:t>地域密着型介護老人福祉施設</w:t>
            </w:r>
          </w:p>
        </w:tc>
        <w:tc>
          <w:tcPr>
            <w:tcW w:type="dxa" w:w="877"/>
          </w:tcPr>
          <w:p>
            <w:r/>
            <w:r>
              <w:rPr>
                <w:rFonts w:ascii="游ゴシック" w:hAnsi="游ゴシック" w:eastAsia="游ゴシック"/>
                <w:sz w:val="17"/>
              </w:rPr>
              <w:t>62人</w:t>
            </w:r>
          </w:p>
        </w:tc>
        <w:tc>
          <w:tcPr>
            <w:tcW w:type="dxa" w:w="986"/>
          </w:tcPr>
          <w:p>
            <w:r/>
            <w:r>
              <w:rPr>
                <w:rFonts w:ascii="游ゴシック" w:hAnsi="游ゴシック" w:eastAsia="游ゴシック"/>
                <w:sz w:val="17"/>
              </w:rPr>
              <w:t>59.3人</w:t>
            </w:r>
          </w:p>
        </w:tc>
        <w:tc>
          <w:tcPr>
            <w:tcW w:type="dxa" w:w="986"/>
          </w:tcPr>
          <w:p>
            <w:r/>
            <w:r>
              <w:rPr>
                <w:rFonts w:ascii="游ゴシック" w:hAnsi="游ゴシック" w:eastAsia="游ゴシック"/>
                <w:sz w:val="17"/>
              </w:rPr>
              <w:t>61.9人</w:t>
            </w:r>
          </w:p>
        </w:tc>
        <w:tc>
          <w:tcPr>
            <w:tcW w:type="dxa" w:w="986"/>
          </w:tcPr>
          <w:p>
            <w:r/>
            <w:r>
              <w:rPr>
                <w:rFonts w:ascii="游ゴシック" w:hAnsi="游ゴシック" w:eastAsia="游ゴシック"/>
                <w:sz w:val="17"/>
              </w:rPr>
              <w:t>99.9％</w:t>
            </w:r>
          </w:p>
        </w:tc>
        <w:tc>
          <w:tcPr>
            <w:tcW w:type="dxa" w:w="3725"/>
          </w:tcPr>
          <w:p>
            <w:r/>
            <w:r>
              <w:rPr>
                <w:rFonts w:ascii="游ゴシック" w:hAnsi="游ゴシック" w:eastAsia="游ゴシック"/>
                <w:sz w:val="17"/>
              </w:rPr>
              <w:t>令和11年度に定員に達する見込みです。区域外利用で受け止めるか整備するかの判断を要します［要協議］</w:t>
            </w:r>
          </w:p>
        </w:tc>
      </w:tr>
    </w:tbl>
    <w:p>
      <w:pPr>
        <w:spacing w:after="160" w:line="269" w:lineRule="auto"/>
        <w:jc w:val="right"/>
      </w:pPr>
      <w:r>
        <w:rPr>
          <w:rFonts w:ascii="游ゴシック" w:hAnsi="游ゴシック" w:eastAsia="游ゴシック"/>
          <w:b w:val="0"/>
          <w:sz w:val="17"/>
        </w:rPr>
        <w:t>資料：定員は北海道保健福祉部の各名簿及び指定事業所一覧（令和8年7月1日現在）、利用者は厚生労働省「介護保険事業状況報告」年報（令和7年度）</w:t>
      </w:r>
    </w:p>
    <w:p>
      <w:pPr>
        <w:spacing w:after="160" w:line="269" w:lineRule="auto"/>
      </w:pPr>
      <w:r>
        <w:rPr>
          <w:rFonts w:ascii="游ゴシック" w:hAnsi="游ゴシック" w:eastAsia="游ゴシック"/>
          <w:b w:val="0"/>
          <w:sz w:val="17"/>
        </w:rPr>
        <w:t>注1）R7実績及びR11見込は第2節と同じ基準です。年報は施設の所在地を問わず当広域連合の被保険者を数えるため、区域内の施設の定員は当広域連合の被保険者にとっての上限ではありません。区域外の施設の利用により、率が100％を超えることがあります。</w:t>
        <w:br/>
        <w:t>注2）介護医療院は区域内に施設がないため率を算定していません。</w:t>
        <w:br/>
        <w:t>注3）介護老人保健施設及び特定施設入居者生活介護は、当広域連合の被保険者の受給者数でみると定員に余裕があります。ただし下記のとおり、区域内の施設は必ずしも空いていません。</w:t>
        <w:br/>
        <w:t>注4）社会福祉法等の一部を改正する法律（令和8年法律第51号）により、指定介護老人福祉施設等は1月以上の予告期間を設けてその指定を辞退することができることとされました（第1章第9節2）。本表の定員は現に指定を受けている定員によるものであり、計画期間中に辞退が生じた場合は供給量が減少します。辞退の予告を受けた場合は、利用者の受入先の調整及び整備の方針の見直しを行います（第5節）。</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【区域内の入居状況と当広域連合の被保険者の受給者数】</w:t>
      </w:r>
    </w:p>
    <w:p>
      <w:pPr>
        <w:spacing w:after="80" w:line="269" w:lineRule="auto"/>
      </w:pPr>
      <w:r>
        <w:rPr>
          <w:rFonts w:ascii="游ゴシック" w:hAnsi="游ゴシック" w:eastAsia="游ゴシック"/>
          <w:b w:val="0"/>
          <w:sz w:val="20"/>
        </w:rPr>
        <w:t>特定施設入居者生活介護は、区域内3施設の入居者が154人で、施設別の入居率は98.3％と97.0％です（第2章第3節8）。時点が異なるため合計の入居率（定員156人に対し98.7％）は参考値ですが、いずれの施設も高い水準にあります。一方、当広域連合の被保険者として給付を受けている方は令和7年度で61.5人／月であり、定員156人の39.4％にとどまります（令和11年度の見込みでも41.1％です）。差の約92人は、他の保険者の被保険者が区域内の施設に入居しているもの（住所地特例を含む）とみられます。</w:t>
      </w:r>
    </w:p>
    <w:p>
      <w:pPr>
        <w:spacing w:after="80" w:line="269" w:lineRule="auto"/>
      </w:pPr>
      <w:r>
        <w:rPr>
          <w:rFonts w:ascii="游ゴシック" w:hAnsi="游ゴシック" w:eastAsia="游ゴシック"/>
          <w:b w:val="0"/>
          <w:sz w:val="20"/>
        </w:rPr>
        <w:t>したがって、定員に対する当広域連合の被保険者の受給者数の割合が低いことは、区域内に空きがあることを意味しません。整備の判断は、当広域連合の被保険者の受給者数と、区域内の施設の入居状況の両方を見て行います。認知症対応型共同生活介護についても、区域内の入居状況を3町に照会したうえで判断します［要確認］。</w:t>
      </w:r>
    </w:p>
    <w:p>
      <w:pPr>
        <w:spacing w:after="160" w:line="269" w:lineRule="auto"/>
      </w:pPr>
      <w:r>
        <w:rPr>
          <w:rFonts w:ascii="游ゴシック" w:hAnsi="游ゴシック" w:eastAsia="游ゴシック"/>
          <w:b w:val="0"/>
          <w:sz w:val="17"/>
        </w:rPr>
        <w:t>受給者数は年報（令和7年度）の月平均であり、要支援1・2を含みます。入居者154人は居所変更実態調査に回答した2施設と介護サービス情報公表システムの個別公表画面による1施設を合わせたもので、時点が異なります（第2章第3節8）。</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【供給の担い手の集中】</w:t>
      </w:r>
    </w:p>
    <w:p>
      <w:pPr>
        <w:spacing w:after="80" w:line="269" w:lineRule="auto"/>
      </w:pPr>
      <w:r>
        <w:rPr>
          <w:rFonts w:ascii="游ゴシック" w:hAnsi="游ゴシック" w:eastAsia="游ゴシック"/>
          <w:b w:val="0"/>
          <w:sz w:val="20"/>
        </w:rPr>
        <w:t>区域内の実75事業所を運営するのは28法人で、上位6法人が39事業所（52.0％）を運営しています（第2章第3節7）。小規模多機能型居宅介護の5事業所は、すべて同一の法人が美瑛町で運営しています。整備量を判断する際には、事業所数だけでなく、当該サービスを担う法人が何法人あるかを併せて確認します。1法人に集中しているサービスは、その法人の事業継続の状況が区域全体の供給量に直接影響するためです。</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確認項目</w:t>
            </w:r>
          </w:p>
        </w:tc>
        <w:tc>
          <w:tcPr>
            <w:tcW w:type="dxa" w:w="2520"/>
            <w:shd w:val="clear" w:color="auto" w:fill="DCE6F1"/>
          </w:tcPr>
          <w:p>
            <w:pPr>
              <w:jc w:val="center"/>
            </w:pPr>
            <w:r/>
            <w:r>
              <w:rPr>
                <w:rFonts w:ascii="游ゴシック" w:hAnsi="游ゴシック" w:eastAsia="游ゴシック"/>
                <w:b/>
                <w:sz w:val="17"/>
              </w:rPr>
              <w:t>医療側の確認</w:t>
            </w:r>
          </w:p>
        </w:tc>
        <w:tc>
          <w:tcPr>
            <w:tcW w:type="dxa" w:w="3177"/>
            <w:shd w:val="clear" w:color="auto" w:fill="DCE6F1"/>
          </w:tcPr>
          <w:p>
            <w:pPr>
              <w:jc w:val="center"/>
            </w:pPr>
            <w:r/>
            <w:r>
              <w:rPr>
                <w:rFonts w:ascii="游ゴシック" w:hAnsi="游ゴシック" w:eastAsia="游ゴシック"/>
                <w:b/>
                <w:sz w:val="17"/>
              </w:rPr>
              <w:t>介護側の確認</w:t>
            </w:r>
          </w:p>
        </w:tc>
        <w:tc>
          <w:tcPr>
            <w:tcW w:type="dxa" w:w="2082"/>
            <w:shd w:val="clear" w:color="auto" w:fill="DCE6F1"/>
          </w:tcPr>
          <w:p>
            <w:pPr>
              <w:jc w:val="center"/>
            </w:pPr>
            <w:r/>
            <w:r>
              <w:rPr>
                <w:rFonts w:ascii="游ゴシック" w:hAnsi="游ゴシック" w:eastAsia="游ゴシック"/>
                <w:b/>
                <w:sz w:val="17"/>
              </w:rPr>
              <w:t>調整先・資料</w:t>
            </w:r>
          </w:p>
        </w:tc>
      </w:tr>
      <w:tr>
        <w:trPr>
          <w:cantSplit/>
        </w:trP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rPr>
          <w:cantSplit/>
        </w:trP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rPr>
          <w:cantSplit/>
        </w:trP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rPr>
          <w:cantSplit/>
        </w:trP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180" w:after="100"/>
      </w:pPr>
      <w:r>
        <w:rPr>
          <w:rFonts w:ascii="游ゴシック" w:hAnsi="游ゴシック" w:eastAsia="游ゴシック"/>
          <w:sz w:val="22"/>
        </w:rPr>
        <w:t>4　日常生活圏域ごとの必要利用定員総数</w:t>
      </w:r>
    </w:p>
    <w:p>
      <w:pPr>
        <w:spacing w:after="80" w:line="269" w:lineRule="auto"/>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【現況（令和8年度）】</w:t>
      </w:r>
    </w:p>
    <w:p>
      <w:pPr>
        <w:spacing w:after="20" w:line="269" w:lineRule="auto"/>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日常生活圏域</w:t>
            </w:r>
          </w:p>
        </w:tc>
        <w:tc>
          <w:tcPr>
            <w:tcW w:type="dxa" w:w="2630"/>
            <w:shd w:val="clear" w:color="auto" w:fill="DCE6F1"/>
          </w:tcPr>
          <w:p>
            <w:pPr>
              <w:jc w:val="center"/>
            </w:pPr>
            <w:r/>
            <w:r>
              <w:rPr>
                <w:rFonts w:ascii="游ゴシック" w:hAnsi="游ゴシック" w:eastAsia="游ゴシック"/>
                <w:b/>
                <w:sz w:val="17"/>
              </w:rPr>
              <w:t>認知症対応型共同生活介護</w:t>
            </w:r>
          </w:p>
        </w:tc>
        <w:tc>
          <w:tcPr>
            <w:tcW w:type="dxa" w:w="2630"/>
            <w:shd w:val="clear" w:color="auto" w:fill="DCE6F1"/>
          </w:tcPr>
          <w:p>
            <w:pPr>
              <w:jc w:val="center"/>
            </w:pPr>
            <w:r/>
            <w:r>
              <w:rPr>
                <w:rFonts w:ascii="游ゴシック" w:hAnsi="游ゴシック" w:eastAsia="游ゴシック"/>
                <w:b/>
                <w:sz w:val="17"/>
              </w:rPr>
              <w:t>地域密着型特定施設入居者生活介護</w:t>
            </w:r>
          </w:p>
        </w:tc>
        <w:tc>
          <w:tcPr>
            <w:tcW w:type="dxa" w:w="2630"/>
            <w:shd w:val="clear" w:color="auto" w:fill="DCE6F1"/>
          </w:tcPr>
          <w:p>
            <w:pPr>
              <w:jc w:val="center"/>
            </w:pPr>
            <w:r/>
            <w:r>
              <w:rPr>
                <w:rFonts w:ascii="游ゴシック" w:hAnsi="游ゴシック" w:eastAsia="游ゴシック"/>
                <w:b/>
                <w:sz w:val="17"/>
              </w:rPr>
              <w:t>地域密着型介護老人福祉施設入所者生活介護</w:t>
            </w:r>
          </w:p>
        </w:tc>
      </w:tr>
      <w:tr>
        <w:trPr>
          <w:cantSplit/>
        </w:trP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rPr>
          <w:cantSplit/>
        </w:trP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rPr>
          <w:cantSplit/>
        </w:trP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rPr>
          <w:cantSplit/>
        </w:trP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line="269" w:lineRule="auto"/>
        <w:jc w:val="right"/>
      </w:pPr>
      <w:r>
        <w:rPr>
          <w:rFonts w:ascii="游ゴシック" w:hAnsi="游ゴシック" w:eastAsia="游ゴシック"/>
          <w:b w:val="0"/>
          <w:sz w:val="17"/>
        </w:rPr>
        <w:t>資料：第2章第3節6（北海道保健福祉部の各名簿ほか）</w:t>
      </w:r>
    </w:p>
    <w:p>
      <w:pPr>
        <w:spacing w:after="160" w:line="269" w:lineRule="auto"/>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【第10期における必要利用定員総数】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457"/>
            <w:shd w:val="clear" w:color="auto" w:fill="DCE6F1"/>
          </w:tcPr>
          <w:p>
            <w:pPr>
              <w:spacing w:before="0"/>
              <w:jc w:val="center"/>
            </w:pPr>
            <w:r/>
            <w:r>
              <w:rPr>
                <w:rFonts w:ascii="游ゴシック" w:hAnsi="游ゴシック" w:eastAsia="游ゴシック"/>
                <w:b/>
                <w:sz w:val="17"/>
              </w:rPr>
              <w:t>日常生活圏域</w:t>
            </w:r>
          </w:p>
        </w:tc>
        <w:tc>
          <w:tcPr>
            <w:tcW w:type="dxa" w:w="3587"/>
            <w:shd w:val="clear" w:color="auto" w:fill="DCE6F1"/>
          </w:tcPr>
          <w:p>
            <w:pPr>
              <w:jc w:val="center"/>
            </w:pPr>
            <w:r/>
            <w:r>
              <w:rPr>
                <w:rFonts w:ascii="游ゴシック" w:hAnsi="游ゴシック" w:eastAsia="游ゴシック"/>
                <w:b/>
                <w:sz w:val="17"/>
              </w:rPr>
              <w:t>サービス</w:t>
            </w:r>
          </w:p>
        </w:tc>
        <w:tc>
          <w:tcPr>
            <w:tcW w:type="dxa" w:w="1569"/>
            <w:shd w:val="clear" w:color="auto" w:fill="DCE6F1"/>
          </w:tcPr>
          <w:p>
            <w:pPr>
              <w:jc w:val="center"/>
            </w:pPr>
            <w:r/>
            <w:r>
              <w:rPr>
                <w:rFonts w:ascii="游ゴシック" w:hAnsi="游ゴシック" w:eastAsia="游ゴシック"/>
                <w:b/>
                <w:sz w:val="17"/>
              </w:rPr>
              <w:t>令和9年度</w:t>
            </w:r>
          </w:p>
        </w:tc>
        <w:tc>
          <w:tcPr>
            <w:tcW w:type="dxa" w:w="1569"/>
            <w:shd w:val="clear" w:color="auto" w:fill="DCE6F1"/>
          </w:tcPr>
          <w:p>
            <w:pPr>
              <w:jc w:val="center"/>
            </w:pPr>
            <w:r/>
            <w:r>
              <w:rPr>
                <w:rFonts w:ascii="游ゴシック" w:hAnsi="游ゴシック" w:eastAsia="游ゴシック"/>
                <w:b/>
                <w:sz w:val="17"/>
              </w:rPr>
              <w:t>令和10年度</w:t>
            </w:r>
          </w:p>
        </w:tc>
        <w:tc>
          <w:tcPr>
            <w:tcW w:type="dxa" w:w="1569"/>
            <w:shd w:val="clear" w:color="auto" w:fill="DCE6F1"/>
          </w:tcPr>
          <w:p>
            <w:pPr>
              <w:jc w:val="center"/>
            </w:pPr>
            <w:r/>
            <w:r>
              <w:rPr>
                <w:rFonts w:ascii="游ゴシック" w:hAnsi="游ゴシック" w:eastAsia="游ゴシック"/>
                <w:b/>
                <w:sz w:val="17"/>
              </w:rPr>
              <w:t>令和11年度</w:t>
            </w:r>
          </w:p>
        </w:tc>
      </w:tr>
      <w:tr>
        <w:trPr>
          <w:cantSplit/>
        </w:trP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line="269" w:lineRule="auto"/>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br/>
        <w:t>注4）必要利用定員総数は、日常生活圏域ごとに現に指定を受けている定員を基礎として定めるものです。第2節の見込量は当広域連合の被保険者の受給者数であり、数える対象が異なります。区域外の施設を利用する当広域連合の被保険者と、区域内の施設を利用する他の保険者の被保険者があるため、両者は一致しません（第4節2の注1）。住所地特例被保険者は年報により把握できますが、住所地特例に当たらない区域外利用は分けられ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【混合型特定施設入居者生活介護に係る必要利用定員総数】</w:t>
      </w:r>
    </w:p>
    <w:p>
      <w:pPr>
        <w:spacing w:after="80" w:line="269" w:lineRule="auto"/>
      </w:pPr>
      <w:r>
        <w:rPr>
          <w:rFonts w:ascii="游ゴシック" w:hAnsi="游ゴシック" w:eastAsia="游ゴシック"/>
          <w:b w:val="0"/>
          <w:sz w:val="21"/>
        </w:rPr>
        <w:t>介護保険法第117条第3項は、サービスの種類ごとの量を定めるに当たって勘案すべき事項として、混合型特定施設入居者生活介護に係る必要利用定員総数を挙げています。本計画では、混合型特定施設入居者生活介護に係る必要利用定員総数は定めないことと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928"/>
            <w:shd w:val="clear" w:color="auto" w:fill="DCE6F1"/>
          </w:tcPr>
          <w:p>
            <w:pPr>
              <w:jc w:val="center"/>
            </w:pPr>
            <w:r/>
            <w:r>
              <w:rPr>
                <w:rFonts w:ascii="游ゴシック" w:hAnsi="游ゴシック" w:eastAsia="游ゴシック"/>
                <w:b/>
                <w:sz w:val="17"/>
              </w:rPr>
              <w:t>区域内の定員</w:t>
            </w:r>
          </w:p>
        </w:tc>
        <w:tc>
          <w:tcPr>
            <w:tcW w:type="dxa" w:w="2835"/>
            <w:shd w:val="clear" w:color="auto" w:fill="DCE6F1"/>
          </w:tcPr>
          <w:p>
            <w:pPr>
              <w:jc w:val="center"/>
            </w:pPr>
            <w:r/>
            <w:r>
              <w:rPr>
                <w:rFonts w:ascii="游ゴシック" w:hAnsi="游ゴシック" w:eastAsia="游ゴシック"/>
                <w:b/>
                <w:sz w:val="17"/>
              </w:rPr>
              <w:t>令和7年度の受給者数（人／月）</w:t>
            </w:r>
          </w:p>
        </w:tc>
        <w:tc>
          <w:tcPr>
            <w:tcW w:type="dxa" w:w="2041"/>
            <w:shd w:val="clear" w:color="auto" w:fill="DCE6F1"/>
          </w:tcPr>
          <w:p>
            <w:pPr>
              <w:jc w:val="center"/>
            </w:pPr>
            <w:r/>
            <w:r>
              <w:rPr>
                <w:rFonts w:ascii="游ゴシック" w:hAnsi="游ゴシック" w:eastAsia="游ゴシック"/>
                <w:b/>
                <w:sz w:val="17"/>
              </w:rPr>
              <w:t>必要利用定員総数</w:t>
            </w:r>
          </w:p>
        </w:tc>
      </w:tr>
      <w:tr>
        <w:trPr>
          <w:cantSplit/>
        </w:trPr>
        <w:tc>
          <w:tcPr>
            <w:tcW w:type="dxa" w:w="2494"/>
          </w:tcPr>
          <w:p>
            <w:r/>
            <w:r>
              <w:rPr>
                <w:rFonts w:ascii="游ゴシック" w:hAnsi="游ゴシック" w:eastAsia="游ゴシック"/>
                <w:sz w:val="17"/>
              </w:rPr>
              <w:t>特定施設入居者生活介護</w:t>
            </w:r>
          </w:p>
        </w:tc>
        <w:tc>
          <w:tcPr>
            <w:tcW w:type="dxa" w:w="1928"/>
          </w:tcPr>
          <w:p>
            <w:r/>
            <w:r>
              <w:rPr>
                <w:rFonts w:ascii="游ゴシック" w:hAnsi="游ゴシック" w:eastAsia="游ゴシック"/>
                <w:sz w:val="17"/>
              </w:rPr>
              <w:t>156</w:t>
            </w:r>
          </w:p>
        </w:tc>
        <w:tc>
          <w:tcPr>
            <w:tcW w:type="dxa" w:w="2835"/>
          </w:tcPr>
          <w:p>
            <w:r/>
            <w:r>
              <w:rPr>
                <w:rFonts w:ascii="游ゴシック" w:hAnsi="游ゴシック" w:eastAsia="游ゴシック"/>
                <w:sz w:val="17"/>
              </w:rPr>
              <w:t>61.5</w:t>
            </w:r>
          </w:p>
        </w:tc>
        <w:tc>
          <w:tcPr>
            <w:tcW w:type="dxa" w:w="2041"/>
          </w:tcPr>
          <w:p>
            <w:r/>
            <w:r>
              <w:rPr>
                <w:rFonts w:ascii="游ゴシック" w:hAnsi="游ゴシック" w:eastAsia="游ゴシック"/>
                <w:sz w:val="17"/>
              </w:rPr>
              <w:t>定めない</w:t>
            </w:r>
          </w:p>
        </w:tc>
      </w:tr>
    </w:tbl>
    <w:p>
      <w:pPr>
        <w:spacing w:after="160" w:line="269" w:lineRule="auto"/>
        <w:jc w:val="right"/>
      </w:pPr>
      <w:r>
        <w:rPr>
          <w:rFonts w:ascii="游ゴシック" w:hAnsi="游ゴシック" w:eastAsia="游ゴシック"/>
          <w:b w:val="0"/>
          <w:sz w:val="17"/>
        </w:rPr>
        <w:t>資料：定員は北海道保健福祉部の名簿（第2章第3節6）、受給者数は厚生労働省「介護保険事業状況報告」年報（令和7年度）</w:t>
      </w:r>
    </w:p>
    <w:p>
      <w:pPr>
        <w:spacing w:after="160" w:line="269" w:lineRule="auto"/>
      </w:pPr>
      <w:r>
        <w:rPr>
          <w:rFonts w:ascii="游ゴシック" w:hAnsi="游ゴシック" w:eastAsia="游ゴシック"/>
          <w:b w:val="0"/>
          <w:sz w:val="17"/>
        </w:rPr>
        <w:t>注1）区域内の特定施設入居者生活介護の事業所の類型（混合型・介護専用型）は［要確認］です。混合型特定施設に該当する事業所がある場合の整備の考え方は第5節によります。</w:t>
        <w:br/>
        <w:t>注2）受給者数には要支援1・要支援2を含みます。定員に対する受給者数の割合が低いことは、区域内に空きがあることを意味しません（第4節2の注）。</w:t>
      </w:r>
    </w:p>
    <w:p>
      <w:pPr>
        <w:pStyle w:val="Heading2"/>
        <w:spacing w:before="180" w:after="100"/>
      </w:pPr>
      <w:bookmarkStart w:id="140" w:name="_Toc10_040"/>
      <w:r>
        <w:rPr>
          <w:rFonts w:ascii="游ゴシック" w:hAnsi="游ゴシック" w:eastAsia="游ゴシック"/>
          <w:sz w:val="25"/>
        </w:rPr>
        <w:t>第5節 介護施設整備に係る基本方針</w:t>
      </w:r>
      <w:bookmarkEnd w:id="140"/>
    </w:p>
    <w:p>
      <w:pPr>
        <w:spacing w:after="80" w:line="269" w:lineRule="auto"/>
      </w:pPr>
      <w:r>
        <w:rPr>
          <w:rFonts w:ascii="游ゴシック" w:hAnsi="游ゴシック" w:eastAsia="游ゴシック"/>
          <w:b w:val="0"/>
          <w:sz w:val="20"/>
        </w:rPr>
        <w:t>社会福祉法等の一部を改正する法律（令和8年法律第51号）により、中長期的なサービスの見通しとともに、その見通しを踏まえた介護給付等対象サービスの提供体制の確保及び地域支援事業の実施のための施策に関する事項を定めることとされています。見通しそのものは第1節から第3節に掲げており、本節及び第4節1がこれを踏まえた確保の方策に当たります。令和22年度の水準（第3節3）を踏まえた整備の考え方は、日常生活圏域ごとの必要利用定員総数の決定と併せて定めます［要協議］。条文の受領前であるため、定めるべき事項の範囲は［要確認］です。</w:t>
      </w:r>
    </w:p>
    <w:p>
      <w:pPr>
        <w:spacing w:after="80" w:line="269" w:lineRule="auto"/>
      </w:pPr>
      <w:r>
        <w:rPr>
          <w:rFonts w:ascii="游ゴシック" w:hAnsi="游ゴシック" w:eastAsia="游ゴシック"/>
          <w:b w:val="0"/>
          <w:sz w:val="20"/>
        </w:rPr>
        <w:t>同法により、指定介護老人福祉施設等は1月以上の予告期間を設けてその指定を辞退することができることとされました（第1章第9節2）。整備の判断は定員を増やすかどうかにとどまらず、現に指定を受けている定員が維持されるかどうかを含めて行います。辞退の予告を受けた場合は、入所者の受入先の調整を構成3町及び北海道と行うとともに、当該サービスの見込量及び必要利用定員総数の見直しを行います。</w:t>
      </w:r>
    </w:p>
    <w:p>
      <w:pPr>
        <w:spacing w:after="80" w:line="269" w:lineRule="auto"/>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判断項目</w:t>
            </w:r>
          </w:p>
        </w:tc>
        <w:tc>
          <w:tcPr>
            <w:tcW w:type="dxa" w:w="2739"/>
            <w:shd w:val="clear" w:color="auto" w:fill="DCE6F1"/>
          </w:tcPr>
          <w:p>
            <w:pPr>
              <w:jc w:val="center"/>
            </w:pPr>
            <w:r/>
            <w:r>
              <w:rPr>
                <w:rFonts w:ascii="游ゴシック" w:hAnsi="游ゴシック" w:eastAsia="游ゴシック"/>
                <w:b/>
                <w:sz w:val="17"/>
              </w:rPr>
              <w:t>確認内容</w:t>
            </w:r>
          </w:p>
        </w:tc>
        <w:tc>
          <w:tcPr>
            <w:tcW w:type="dxa" w:w="3177"/>
            <w:shd w:val="clear" w:color="auto" w:fill="DCE6F1"/>
          </w:tcPr>
          <w:p>
            <w:pPr>
              <w:jc w:val="center"/>
            </w:pPr>
            <w:r/>
            <w:r>
              <w:rPr>
                <w:rFonts w:ascii="游ゴシック" w:hAnsi="游ゴシック" w:eastAsia="游ゴシック"/>
                <w:b/>
                <w:sz w:val="17"/>
              </w:rPr>
              <w:t>基本方針</w:t>
            </w:r>
          </w:p>
        </w:tc>
        <w:tc>
          <w:tcPr>
            <w:tcW w:type="dxa" w:w="2191"/>
            <w:shd w:val="clear" w:color="auto" w:fill="DCE6F1"/>
          </w:tcPr>
          <w:p>
            <w:pPr>
              <w:jc w:val="center"/>
            </w:pPr>
            <w:r/>
            <w:r>
              <w:rPr>
                <w:rFonts w:ascii="游ゴシック" w:hAnsi="游ゴシック" w:eastAsia="游ゴシック"/>
                <w:b/>
                <w:sz w:val="17"/>
              </w:rPr>
              <w:t>主な資料</w:t>
            </w:r>
          </w:p>
        </w:tc>
      </w:tr>
      <w:tr>
        <w:trPr>
          <w:cantSplit/>
        </w:trP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rPr>
          <w:cantSplit/>
        </w:trP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rPr>
          <w:cantSplit/>
        </w:trP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rPr>
          <w:cantSplit/>
        </w:trP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rPr>
          <w:cantSplit/>
        </w:trP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【入所の経路からみた整備の考え方】</w:t>
      </w:r>
    </w:p>
    <w:p>
      <w:pPr>
        <w:spacing w:after="80" w:line="269" w:lineRule="auto"/>
      </w:pPr>
      <w:r>
        <w:rPr>
          <w:rFonts w:ascii="游ゴシック" w:hAnsi="游ゴシック" w:eastAsia="游ゴシック"/>
          <w:b w:val="0"/>
          <w:sz w:val="20"/>
        </w:rPr>
        <w:t>居所変更実態調査（令和7年4月1日現在・18施設が回答）によれば、新規入所者335人のうち病院・診療所からの入所が191人（57.0％）で最も多く、自宅からの入所は92人（27.5％）です。退去者349人の退去先も病院・診療所が164人（47.0％）で最も多く、次に死亡95人（27.2％）、自宅43人（12.3％）です（第2章第3節8）。</w:t>
      </w:r>
    </w:p>
    <w:p>
      <w:pPr>
        <w:spacing w:after="80" w:line="269" w:lineRule="auto"/>
      </w:pPr>
      <w:r>
        <w:rPr>
          <w:rFonts w:ascii="游ゴシック" w:hAnsi="游ゴシック" w:eastAsia="游ゴシック"/>
          <w:b w:val="0"/>
          <w:sz w:val="20"/>
        </w:rPr>
        <w:t>施設・居住系への入所と退去の多くは、自宅との間ではなく医療機関との間で生じています。このため施設整備の判断は、在宅からの入所需要だけでなく、医療機関からの退院後の受け皿としての機能を含めて行います。介護老人保健施設は3施設240人であり、この受け皿として働いています。上表の「医療との整合」は、この経路を前提とするものです。</w:t>
      </w:r>
    </w:p>
    <w:p>
      <w:pPr>
        <w:spacing w:after="160" w:line="269" w:lineRule="auto"/>
      </w:pPr>
      <w:r>
        <w:rPr>
          <w:rFonts w:ascii="游ゴシック" w:hAnsi="游ゴシック" w:eastAsia="游ゴシック"/>
          <w:b w:val="0"/>
          <w:sz w:val="17"/>
        </w:rPr>
        <w:t>回答した18施設の分であり、区域内の施設・住まい31施設のうち13施設は回答していません（施設数ベースの把握率58.1％）。入所・退去の経路は施設の種別により異なるため、種別ごとの整備量の判断に用いる際は種別別の内訳を確認します［要確認］。なお、通所リハビリテーションの退院時共同指導加算の対象に介護老人保健施設及び介護医療院の退所者を加えることが検討されています（第1章第9節6）。施設からの退所後に在宅でのリハビリテーションにつなぐ経路に関わるものであり、確定した内容により第5章 基本目標1の医療と介護の連携の施策において確かめます。</w:t>
      </w:r>
    </w:p>
    <w:p>
      <w:pPr>
        <w:pStyle w:val="Heading2"/>
        <w:spacing w:before="180" w:after="100"/>
      </w:pPr>
      <w:bookmarkStart w:id="141" w:name="_Toc10_041"/>
      <w:r>
        <w:rPr>
          <w:rFonts w:ascii="游ゴシック" w:hAnsi="游ゴシック" w:eastAsia="游ゴシック"/>
          <w:sz w:val="25"/>
        </w:rPr>
        <w:t>第6節 第1号被保険者の介護保険料試算</w:t>
      </w:r>
      <w:bookmarkEnd w:id="141"/>
    </w:p>
    <w:p>
      <w:pPr>
        <w:keepNext/>
        <w:spacing w:after="60" w:line="269" w:lineRule="auto" w:before="160"/>
      </w:pPr>
      <w:r>
        <w:rPr>
          <w:rFonts w:ascii="游ゴシック" w:hAnsi="游ゴシック" w:eastAsia="游ゴシック"/>
          <w:b/>
          <w:sz w:val="20"/>
        </w:rPr>
        <w:t>【第9期の状況】</w:t>
      </w:r>
    </w:p>
    <w:p>
      <w:pPr>
        <w:spacing w:after="80" w:line="269" w:lineRule="auto"/>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701"/>
            <w:shd w:val="clear" w:color="auto" w:fill="DCE6F1"/>
          </w:tcPr>
          <w:p>
            <w:pPr>
              <w:jc w:val="center"/>
            </w:pPr>
            <w:r/>
            <w:r>
              <w:rPr>
                <w:rFonts w:ascii="游ゴシック" w:hAnsi="游ゴシック" w:eastAsia="游ゴシック"/>
                <w:b/>
                <w:sz w:val="17"/>
              </w:rPr>
              <w:t>第8期</w:t>
            </w:r>
          </w:p>
        </w:tc>
        <w:tc>
          <w:tcPr>
            <w:tcW w:type="dxa" w:w="1701"/>
            <w:shd w:val="clear" w:color="auto" w:fill="DCE6F1"/>
          </w:tcPr>
          <w:p>
            <w:pPr>
              <w:jc w:val="center"/>
            </w:pPr>
            <w:r/>
            <w:r>
              <w:rPr>
                <w:rFonts w:ascii="游ゴシック" w:hAnsi="游ゴシック" w:eastAsia="游ゴシック"/>
                <w:b/>
                <w:sz w:val="17"/>
              </w:rPr>
              <w:t>第9期</w:t>
            </w:r>
          </w:p>
        </w:tc>
        <w:tc>
          <w:tcPr>
            <w:tcW w:type="dxa" w:w="2268"/>
            <w:shd w:val="clear" w:color="auto" w:fill="DCE6F1"/>
          </w:tcPr>
          <w:p>
            <w:pPr>
              <w:jc w:val="center"/>
            </w:pPr>
            <w:r/>
            <w:r>
              <w:rPr>
                <w:rFonts w:ascii="游ゴシック" w:hAnsi="游ゴシック" w:eastAsia="游ゴシック"/>
                <w:b/>
                <w:sz w:val="17"/>
              </w:rPr>
              <w:t>増減</w:t>
            </w:r>
          </w:p>
        </w:tc>
      </w:tr>
      <w:tr>
        <w:trPr>
          <w:cantSplit/>
        </w:trP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資料：介護保険事業状況報告等から算定した推計値</w:t>
      </w:r>
    </w:p>
    <w:p>
      <w:pPr>
        <w:keepNext/>
        <w:spacing w:after="60" w:line="269" w:lineRule="auto" w:before="1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017"/>
            <w:shd w:val="clear" w:color="auto" w:fill="DCE6F1"/>
          </w:tcPr>
          <w:p>
            <w:pPr>
              <w:spacing w:before="0"/>
              <w:jc w:val="center"/>
            </w:pPr>
            <w:r/>
            <w:r>
              <w:rPr>
                <w:rFonts w:ascii="游ゴシック" w:hAnsi="游ゴシック" w:eastAsia="游ゴシック"/>
                <w:b/>
                <w:sz w:val="17"/>
              </w:rPr>
              <w:t>期・年度</w:t>
            </w:r>
          </w:p>
        </w:tc>
        <w:tc>
          <w:tcPr>
            <w:tcW w:type="dxa" w:w="1681"/>
            <w:shd w:val="clear" w:color="auto" w:fill="DCE6F1"/>
          </w:tcPr>
          <w:p>
            <w:pPr>
              <w:jc w:val="center"/>
            </w:pPr>
            <w:r/>
            <w:r>
              <w:rPr>
                <w:rFonts w:ascii="游ゴシック" w:hAnsi="游ゴシック" w:eastAsia="游ゴシック"/>
                <w:b/>
                <w:sz w:val="17"/>
              </w:rPr>
              <w:t>必要保険料月額</w:t>
            </w:r>
          </w:p>
        </w:tc>
        <w:tc>
          <w:tcPr>
            <w:tcW w:type="dxa" w:w="1457"/>
            <w:shd w:val="clear" w:color="auto" w:fill="DCE6F1"/>
          </w:tcPr>
          <w:p>
            <w:pPr>
              <w:jc w:val="center"/>
            </w:pPr>
            <w:r/>
            <w:r>
              <w:rPr>
                <w:rFonts w:ascii="游ゴシック" w:hAnsi="游ゴシック" w:eastAsia="游ゴシック"/>
                <w:b/>
                <w:sz w:val="17"/>
              </w:rPr>
              <w:t>基準額</w:t>
            </w:r>
          </w:p>
        </w:tc>
        <w:tc>
          <w:tcPr>
            <w:tcW w:type="dxa" w:w="2017"/>
            <w:shd w:val="clear" w:color="auto" w:fill="DCE6F1"/>
          </w:tcPr>
          <w:p>
            <w:pPr>
              <w:jc w:val="center"/>
            </w:pPr>
            <w:r/>
            <w:r>
              <w:rPr>
                <w:rFonts w:ascii="游ゴシック" w:hAnsi="游ゴシック" w:eastAsia="游ゴシック"/>
                <w:b/>
                <w:sz w:val="17"/>
              </w:rPr>
              <w:t>差</w:t>
            </w:r>
          </w:p>
        </w:tc>
        <w:tc>
          <w:tcPr>
            <w:tcW w:type="dxa" w:w="2578"/>
            <w:shd w:val="clear" w:color="auto" w:fill="DCE6F1"/>
          </w:tcPr>
          <w:p>
            <w:pPr>
              <w:jc w:val="center"/>
            </w:pPr>
            <w:r/>
            <w:r>
              <w:rPr>
                <w:rFonts w:ascii="游ゴシック" w:hAnsi="游ゴシック" w:eastAsia="游ゴシック"/>
                <w:b/>
                <w:sz w:val="17"/>
              </w:rPr>
              <w:t>評価</w:t>
            </w:r>
          </w:p>
        </w:tc>
      </w:tr>
      <w:tr>
        <w:trPr>
          <w:cantSplit/>
        </w:trPr>
        <w:tc>
          <w:tcPr>
            <w:tcW w:type="dxa" w:w="2017"/>
          </w:tcPr>
          <w:p>
            <w:r/>
            <w:r>
              <w:rPr>
                <w:rFonts w:ascii="游ゴシック" w:hAnsi="游ゴシック" w:eastAsia="游ゴシック"/>
                <w:sz w:val="17"/>
              </w:rPr>
              <w:t>第5期（H24～H26）</w:t>
            </w:r>
          </w:p>
        </w:tc>
        <w:tc>
          <w:tcPr>
            <w:tcW w:type="dxa" w:w="1681"/>
          </w:tcPr>
          <w:p>
            <w:r/>
            <w:r>
              <w:rPr>
                <w:rFonts w:ascii="游ゴシック" w:hAnsi="游ゴシック" w:eastAsia="游ゴシック"/>
                <w:sz w:val="17"/>
              </w:rPr>
              <w:t>5,119円</w:t>
            </w:r>
          </w:p>
        </w:tc>
        <w:tc>
          <w:tcPr>
            <w:tcW w:type="dxa" w:w="1457"/>
          </w:tcPr>
          <w:p>
            <w:r/>
            <w:r>
              <w:rPr>
                <w:rFonts w:ascii="游ゴシック" w:hAnsi="游ゴシック" w:eastAsia="游ゴシック"/>
                <w:sz w:val="17"/>
              </w:rPr>
              <w:t>5,100円</w:t>
            </w:r>
          </w:p>
        </w:tc>
        <w:tc>
          <w:tcPr>
            <w:tcW w:type="dxa" w:w="2017"/>
          </w:tcPr>
          <w:p>
            <w:r/>
            <w:r>
              <w:rPr>
                <w:rFonts w:ascii="游ゴシック" w:hAnsi="游ゴシック" w:eastAsia="游ゴシック"/>
                <w:sz w:val="17"/>
              </w:rPr>
              <w:t>累計▲57円／月</w:t>
            </w:r>
          </w:p>
        </w:tc>
        <w:tc>
          <w:tcPr>
            <w:tcW w:type="dxa" w:w="2578"/>
          </w:tcPr>
          <w:p>
            <w:r/>
            <w:r>
              <w:rPr>
                <w:rFonts w:ascii="游ゴシック" w:hAnsi="游ゴシック" w:eastAsia="游ゴシック"/>
                <w:sz w:val="17"/>
              </w:rPr>
              <w:t>不足</w:t>
            </w:r>
          </w:p>
        </w:tc>
      </w:tr>
      <w:tr>
        <w:trPr>
          <w:cantSplit/>
        </w:trPr>
        <w:tc>
          <w:tcPr>
            <w:tcW w:type="dxa" w:w="2017"/>
          </w:tcPr>
          <w:p>
            <w:r/>
            <w:r>
              <w:rPr>
                <w:rFonts w:ascii="游ゴシック" w:hAnsi="游ゴシック" w:eastAsia="游ゴシック"/>
                <w:sz w:val="17"/>
              </w:rPr>
              <w:t>第6期（H27～H29）</w:t>
            </w:r>
          </w:p>
        </w:tc>
        <w:tc>
          <w:tcPr>
            <w:tcW w:type="dxa" w:w="1681"/>
          </w:tcPr>
          <w:p>
            <w:r/>
            <w:r>
              <w:rPr>
                <w:rFonts w:ascii="游ゴシック" w:hAnsi="游ゴシック" w:eastAsia="游ゴシック"/>
                <w:sz w:val="17"/>
              </w:rPr>
              <w:t>5,589円</w:t>
            </w:r>
          </w:p>
        </w:tc>
        <w:tc>
          <w:tcPr>
            <w:tcW w:type="dxa" w:w="1457"/>
          </w:tcPr>
          <w:p>
            <w:r/>
            <w:r>
              <w:rPr>
                <w:rFonts w:ascii="游ゴシック" w:hAnsi="游ゴシック" w:eastAsia="游ゴシック"/>
                <w:sz w:val="17"/>
              </w:rPr>
              <w:t>5,776円</w:t>
            </w:r>
          </w:p>
        </w:tc>
        <w:tc>
          <w:tcPr>
            <w:tcW w:type="dxa" w:w="2017"/>
          </w:tcPr>
          <w:p>
            <w:r/>
            <w:r>
              <w:rPr>
                <w:rFonts w:ascii="游ゴシック" w:hAnsi="游ゴシック" w:eastAsia="游ゴシック"/>
                <w:sz w:val="17"/>
              </w:rPr>
              <w:t>累計＋561円／月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第7期（H30～R2）</w:t>
            </w:r>
          </w:p>
        </w:tc>
        <w:tc>
          <w:tcPr>
            <w:tcW w:type="dxa" w:w="1681"/>
          </w:tcPr>
          <w:p>
            <w:r/>
            <w:r>
              <w:rPr>
                <w:rFonts w:ascii="游ゴシック" w:hAnsi="游ゴシック" w:eastAsia="游ゴシック"/>
                <w:sz w:val="17"/>
              </w:rPr>
              <w:t>6,024円</w:t>
            </w:r>
          </w:p>
        </w:tc>
        <w:tc>
          <w:tcPr>
            <w:tcW w:type="dxa" w:w="1457"/>
          </w:tcPr>
          <w:p>
            <w:r/>
            <w:r>
              <w:rPr>
                <w:rFonts w:ascii="游ゴシック" w:hAnsi="游ゴシック" w:eastAsia="游ゴシック"/>
                <w:sz w:val="17"/>
              </w:rPr>
              <w:t>6,077円</w:t>
            </w:r>
          </w:p>
        </w:tc>
        <w:tc>
          <w:tcPr>
            <w:tcW w:type="dxa" w:w="2017"/>
          </w:tcPr>
          <w:p>
            <w:r/>
            <w:r>
              <w:rPr>
                <w:rFonts w:ascii="游ゴシック" w:hAnsi="游ゴシック" w:eastAsia="游ゴシック"/>
                <w:sz w:val="17"/>
              </w:rPr>
              <w:t>累計＋159円／月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第8期（R3～R5）</w:t>
            </w:r>
          </w:p>
        </w:tc>
        <w:tc>
          <w:tcPr>
            <w:tcW w:type="dxa" w:w="1681"/>
          </w:tcPr>
          <w:p>
            <w:r/>
            <w:r>
              <w:rPr>
                <w:rFonts w:ascii="游ゴシック" w:hAnsi="游ゴシック" w:eastAsia="游ゴシック"/>
                <w:sz w:val="17"/>
              </w:rPr>
              <w:t>6,278円</w:t>
            </w:r>
          </w:p>
        </w:tc>
        <w:tc>
          <w:tcPr>
            <w:tcW w:type="dxa" w:w="1457"/>
          </w:tcPr>
          <w:p>
            <w:r/>
            <w:r>
              <w:rPr>
                <w:rFonts w:ascii="游ゴシック" w:hAnsi="游ゴシック" w:eastAsia="游ゴシック"/>
                <w:sz w:val="17"/>
              </w:rPr>
              <w:t>6,300円</w:t>
            </w:r>
          </w:p>
        </w:tc>
        <w:tc>
          <w:tcPr>
            <w:tcW w:type="dxa" w:w="2017"/>
          </w:tcPr>
          <w:p>
            <w:r/>
            <w:r>
              <w:rPr>
                <w:rFonts w:ascii="游ゴシック" w:hAnsi="游ゴシック" w:eastAsia="游ゴシック"/>
                <w:sz w:val="17"/>
              </w:rPr>
              <w:t>累計＋66円／月</w:t>
            </w:r>
          </w:p>
        </w:tc>
        <w:tc>
          <w:tcPr>
            <w:tcW w:type="dxa" w:w="2578"/>
          </w:tcPr>
          <w:p>
            <w:r/>
            <w:r>
              <w:rPr>
                <w:rFonts w:ascii="游ゴシック" w:hAnsi="游ゴシック" w:eastAsia="游ゴシック"/>
                <w:sz w:val="17"/>
              </w:rPr>
              <w:t>概ね均衡</w:t>
            </w:r>
          </w:p>
        </w:tc>
      </w:tr>
      <w:tr>
        <w:trPr>
          <w:cantSplit/>
        </w:trPr>
        <w:tc>
          <w:tcPr>
            <w:tcW w:type="dxa" w:w="2017"/>
          </w:tcPr>
          <w:p>
            <w:r/>
            <w:r>
              <w:rPr>
                <w:rFonts w:ascii="游ゴシック" w:hAnsi="游ゴシック" w:eastAsia="游ゴシック"/>
                <w:sz w:val="17"/>
              </w:rPr>
              <w:t>第9期 R6</w:t>
            </w:r>
          </w:p>
        </w:tc>
        <w:tc>
          <w:tcPr>
            <w:tcW w:type="dxa" w:w="1681"/>
          </w:tcPr>
          <w:p>
            <w:r/>
            <w:r>
              <w:rPr>
                <w:rFonts w:ascii="游ゴシック" w:hAnsi="游ゴシック" w:eastAsia="游ゴシック"/>
                <w:sz w:val="17"/>
              </w:rPr>
              <w:t>6,063円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＋337円／月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第9期 R7</w:t>
            </w:r>
          </w:p>
        </w:tc>
        <w:tc>
          <w:tcPr>
            <w:tcW w:type="dxa" w:w="1681"/>
          </w:tcPr>
          <w:p>
            <w:r/>
            <w:r>
              <w:rPr>
                <w:rFonts w:ascii="游ゴシック" w:hAnsi="游ゴシック" w:eastAsia="游ゴシック"/>
                <w:sz w:val="17"/>
              </w:rPr>
              <w:t>6,352円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＋48円／月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第9期 R6～R7計</w:t>
            </w:r>
          </w:p>
        </w:tc>
        <w:tc>
          <w:tcPr>
            <w:tcW w:type="dxa" w:w="1681"/>
          </w:tcPr>
          <w:p>
            <w:r/>
            <w:r>
              <w:rPr>
                <w:rFonts w:ascii="游ゴシック" w:hAnsi="游ゴシック" w:eastAsia="游ゴシック"/>
                <w:sz w:val="17"/>
              </w:rPr>
              <w:t>―</w:t>
            </w:r>
          </w:p>
        </w:tc>
        <w:tc>
          <w:tcPr>
            <w:tcW w:type="dxa" w:w="1457"/>
          </w:tcPr>
          <w:p>
            <w:r/>
            <w:r>
              <w:rPr>
                <w:rFonts w:ascii="游ゴシック" w:hAnsi="游ゴシック" w:eastAsia="游ゴシック"/>
                <w:sz w:val="17"/>
              </w:rPr>
              <w:t>―</w:t>
            </w:r>
          </w:p>
        </w:tc>
        <w:tc>
          <w:tcPr>
            <w:tcW w:type="dxa" w:w="2017"/>
          </w:tcPr>
          <w:p>
            <w:r/>
            <w:r>
              <w:rPr>
                <w:rFonts w:ascii="游ゴシック" w:hAnsi="游ゴシック" w:eastAsia="游ゴシック"/>
                <w:sz w:val="17"/>
              </w:rPr>
              <w:t>累計＋385円／月（約42百万円）</w:t>
            </w:r>
          </w:p>
        </w:tc>
        <w:tc>
          <w:tcPr>
            <w:tcW w:type="dxa" w:w="2578"/>
          </w:tcPr>
          <w:p>
            <w:r/>
            <w:r>
              <w:rPr>
                <w:rFonts w:ascii="游ゴシック" w:hAnsi="游ゴシック" w:eastAsia="游ゴシック"/>
                <w:sz w:val="17"/>
              </w:rPr>
              <w:t>剰余</w:t>
            </w:r>
          </w:p>
        </w:tc>
      </w:tr>
    </w:tbl>
    <w:p>
      <w:pPr>
        <w:spacing w:after="160" w:line="269" w:lineRule="auto"/>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は、実績が計画を下回っています。乖離は標準給付費見込額に集中しており、地域支援事業費はほぼ計画どおりです。実績から算定した令和6年度6,063円・令和7年度6,352円の平均6,208円は、別の経路で算定した値とも12円（0.2％）の差で一致するため、第10期の算定の出発点として用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【介護給付費準備基金の状況】</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金額</w:t>
            </w:r>
          </w:p>
        </w:tc>
        <w:tc>
          <w:tcPr>
            <w:tcW w:type="dxa" w:w="5443"/>
            <w:shd w:val="clear" w:color="auto" w:fill="DCE6F1"/>
          </w:tcPr>
          <w:p>
            <w:pPr>
              <w:jc w:val="center"/>
            </w:pPr>
            <w:r/>
            <w:r>
              <w:rPr>
                <w:rFonts w:ascii="游ゴシック" w:hAnsi="游ゴシック" w:eastAsia="游ゴシック"/>
                <w:b/>
                <w:sz w:val="17"/>
              </w:rPr>
              <w:t>説明</w:t>
            </w:r>
          </w:p>
        </w:tc>
      </w:tr>
      <w:tr>
        <w:trPr>
          <w:cantSplit/>
        </w:trP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rPr>
          <w:cantSplit/>
        </w:trP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rPr>
          <w:cantSplit/>
        </w:trP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rPr>
          <w:cantSplit/>
        </w:trP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rPr>
          <w:cantSplit/>
        </w:trP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line="269" w:lineRule="auto"/>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line="269" w:lineRule="auto"/>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令和6年度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3402"/>
            <w:shd w:val="clear" w:color="auto" w:fill="DCE6F1"/>
          </w:tcPr>
          <w:p>
            <w:pPr>
              <w:jc w:val="center"/>
            </w:pPr>
            <w:r/>
            <w:r>
              <w:rPr>
                <w:rFonts w:ascii="游ゴシック" w:hAnsi="游ゴシック" w:eastAsia="游ゴシック"/>
                <w:b/>
                <w:sz w:val="17"/>
              </w:rPr>
              <w:t>第10期算定での扱い</w:t>
            </w:r>
          </w:p>
        </w:tc>
      </w:tr>
      <w:tr>
        <w:trPr>
          <w:cantSplit/>
        </w:trP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rPr>
          <w:cantSplit/>
        </w:trP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rPr>
          <w:cantSplit/>
        </w:trP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rPr>
          <w:cantSplit/>
        </w:trP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rPr>
          <w:cantSplit/>
        </w:trP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rPr>
          <w:cantSplit/>
        </w:trP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line="269" w:lineRule="auto"/>
        <w:jc w:val="right"/>
      </w:pPr>
      <w:r>
        <w:rPr>
          <w:rFonts w:ascii="游ゴシック" w:hAnsi="游ゴシック" w:eastAsia="游ゴシック"/>
          <w:b w:val="0"/>
          <w:sz w:val="17"/>
        </w:rPr>
        <w:t>資料：厚生労働省「介護保険事業状況報告」年報（令和6年度・令和7年度）</w:t>
      </w:r>
    </w:p>
    <w:p>
      <w:pPr>
        <w:spacing w:after="80" w:line="269" w:lineRule="auto"/>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【所得段階と乗率の置き方】</w:t>
      </w:r>
    </w:p>
    <w:p>
      <w:pPr>
        <w:spacing w:after="80" w:line="269" w:lineRule="auto"/>
      </w:pPr>
      <w:r>
        <w:rPr>
          <w:rFonts w:ascii="游ゴシック" w:hAnsi="游ゴシック" w:eastAsia="游ゴシック"/>
          <w:b w:val="0"/>
          <w:sz w:val="20"/>
        </w:rPr>
        <w:t>所得段階の数、保険料の基準額に対する割合（乗率）、公費による軽減後の割合及び第1号被保険者負担割合は、いずれも政令により定められ、これを踏まえて条例で定めます。第10期の政令改正の内容が示されるまでの間、本計画の算定は、第9期の条例による16段階と公費による軽減前の割合を据え置き、第1号被保険者負担割合23％、調整交付金相当額5％及び予定収納率99.0％により行っています。政令が公布された時点で、段階数、割合及び負担割合を確認して保険料を再算定し、条例の改正の手続を行います［要確認］。</w:t>
      </w:r>
    </w:p>
    <w:p>
      <w:pPr>
        <w:spacing w:after="80" w:line="269" w:lineRule="auto"/>
      </w:pPr>
      <w:r>
        <w:rPr>
          <w:rFonts w:ascii="游ゴシック" w:hAnsi="游ゴシック" w:eastAsia="游ゴシック"/>
          <w:b w:val="0"/>
          <w:sz w:val="20"/>
        </w:rPr>
        <w:t>国は、第10期において、高所得者の標準乗率の見直し及び住民税非課税の段階から課税の段階に上がるときの保険料の上昇の緩和を含めた国の定める標準段階の見直しにより、被保険者の負担能力に応じた保険料設定を図ることを検討課題として挙げています（第1章第9節5）。いずれも標準段階の段階数及び割合に関わるものであり、政令が改められた場合は、当広域連合の条例の段階及び割合をこれに合わせて見直すかどうかを判断する必要があります。段階の置き方による保険料の違いは第5項に掲げます。</w:t>
      </w:r>
    </w:p>
    <w:p>
      <w:pPr>
        <w:spacing w:after="160" w:line="269" w:lineRule="auto"/>
      </w:pPr>
      <w:r>
        <w:rPr>
          <w:rFonts w:ascii="游ゴシック" w:hAnsi="游ゴシック" w:eastAsia="游ゴシック"/>
          <w:b w:val="0"/>
          <w:sz w:val="17"/>
        </w:rPr>
        <w:t>注）国の標準は13段階です。当広域連合は第9期の条例において第13段階を多段階化し16段階としており、標準の段階と割合が異なる段階があります。保険料の基準額に対する割合は公費による軽減前の割合によっています（第7節）。</w:t>
        <w:br/>
        <w:t>注）標準の13段階の範囲で割合を比べると、条例の割合が標準を下回る段階が3、上回る段階が6あります。下回るのは第2段階0.639（標準0.685）、第4段階0.860（標準0.900）、第9段階1.630（標準1.700）です。うち第9段階（本人の合計所得金額320万円以上420万円未満）の1.630は標準の1.700を下回りますが、この設定の経緯を確認できていないため、本計画の算定は第9期の条例の割合をそのまま用いています［要確認］。</w:t>
      </w:r>
    </w:p>
    <w:p>
      <w:pPr>
        <w:spacing w:after="80" w:line="269" w:lineRule="auto"/>
      </w:pPr>
      <w:r>
        <w:rPr>
          <w:rFonts w:ascii="游ゴシック" w:hAnsi="游ゴシック" w:eastAsia="游ゴシック"/>
          <w:b w:val="0"/>
          <w:sz w:val="20"/>
        </w:rPr>
        <w:t>所得段階別の第1号被保険者数は、令和6年度の実績の構成比を固定し、将来の第1号被保険者数（第1節）に乗じて求めています。予定保険料収納率は、所得段階別の収納率の実績を確認できていないため、全段階に一律に99.0％を用いています。段階別の収納率に差がある場合は、低い割合の段階の人数が多いほど必要額の確保に不足が生じる側に働くため、段階別の収納実績を確認して第10期の予定収納率を定めます［要確認］。</w:t>
      </w:r>
    </w:p>
    <w:p>
      <w:pPr>
        <w:pStyle w:val="Heading3"/>
        <w:spacing w:before="180" w:after="100"/>
      </w:pPr>
      <w:r>
        <w:rPr>
          <w:rFonts w:ascii="游ゴシック" w:hAnsi="游ゴシック" w:eastAsia="游ゴシック"/>
          <w:sz w:val="22"/>
        </w:rPr>
        <w:t>1 管内保険料の比較</w:t>
      </w:r>
    </w:p>
    <w:p>
      <w:pPr>
        <w:spacing w:after="80" w:line="269" w:lineRule="auto"/>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line="269" w:lineRule="auto"/>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c>
          <w:tcPr>
            <w:tcW w:type="dxa" w:w="2041"/>
            <w:shd w:val="clear" w:color="auto" w:fill="DCE6F1"/>
          </w:tcPr>
          <w:p>
            <w:pPr>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r>
      <w:tr>
        <w:trPr>
          <w:cantSplit/>
        </w:trP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rPr>
          <w:cantSplit/>
        </w:trP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rPr>
          <w:cantSplit/>
        </w:trP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rPr>
          <w:cantSplit/>
        </w:trP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rPr>
          <w:cantSplit/>
        </w:trP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rPr>
          <w:cantSplit/>
        </w:trP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rPr>
          <w:cantSplit/>
        </w:trP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単純平均との差は約570円、約9.8％です。ただし人口規模等を加重していない単純比較です。保険料は、認定者数、サービス利用・施設構成、地域支援事業、介護報酬、所得段階、収納率、基金取崩等の影響を受けます。当広域連合の給付水準の高さは、施設及び居住系サービスの受給率（全国比1.23）と訪問介護の利用強度（全国比1.87）が高いことによります（第2章第2節）。一方、サービス不足で利用が抑制されている場合は保険料が低く見えることにも留意を要します。当広域連合では認定者の25.7％がサービスを利用していません。第10期では、保険料水準だけでなく、1人当たり給付費、サービス別構成、基金、認定率、供給制約を要因分解します。</w:t>
      </w:r>
    </w:p>
    <w:p>
      <w:pPr>
        <w:spacing w:after="160" w:line="269" w:lineRule="auto"/>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【保険料と必要保険料月額との関係】</w:t>
      </w:r>
    </w:p>
    <w:p>
      <w:pPr>
        <w:spacing w:after="80" w:line="269" w:lineRule="auto"/>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第9期基準額</w:t>
            </w:r>
          </w:p>
        </w:tc>
        <w:tc>
          <w:tcPr>
            <w:tcW w:type="dxa" w:w="1361"/>
            <w:shd w:val="clear" w:color="auto" w:fill="DCE6F1"/>
          </w:tcPr>
          <w:p>
            <w:pPr>
              <w:jc w:val="center"/>
            </w:pPr>
            <w:r/>
            <w:r>
              <w:rPr>
                <w:rFonts w:ascii="游ゴシック" w:hAnsi="游ゴシック" w:eastAsia="游ゴシック"/>
                <w:b/>
                <w:sz w:val="17"/>
              </w:rPr>
              <w:t>R6必要額</w:t>
            </w:r>
          </w:p>
        </w:tc>
        <w:tc>
          <w:tcPr>
            <w:tcW w:type="dxa" w:w="1361"/>
            <w:shd w:val="clear" w:color="auto" w:fill="DCE6F1"/>
          </w:tcPr>
          <w:p>
            <w:pPr>
              <w:jc w:val="center"/>
            </w:pPr>
            <w:r/>
            <w:r>
              <w:rPr>
                <w:rFonts w:ascii="游ゴシック" w:hAnsi="游ゴシック" w:eastAsia="游ゴシック"/>
                <w:b/>
                <w:sz w:val="17"/>
              </w:rPr>
              <w:t>R7必要額</w:t>
            </w:r>
          </w:p>
        </w:tc>
        <w:tc>
          <w:tcPr>
            <w:tcW w:type="dxa" w:w="1474"/>
            <w:shd w:val="clear" w:color="auto" w:fill="DCE6F1"/>
          </w:tcPr>
          <w:p>
            <w:pPr>
              <w:jc w:val="center"/>
            </w:pPr>
            <w:r/>
            <w:r>
              <w:rPr>
                <w:rFonts w:ascii="游ゴシック" w:hAnsi="游ゴシック" w:eastAsia="游ゴシック"/>
                <w:b/>
                <w:sz w:val="17"/>
              </w:rPr>
              <w:t>2年の剰余累計</w:t>
            </w:r>
          </w:p>
        </w:tc>
        <w:tc>
          <w:tcPr>
            <w:tcW w:type="dxa" w:w="1587"/>
            <w:shd w:val="clear" w:color="auto" w:fill="DCE6F1"/>
          </w:tcPr>
          <w:p>
            <w:pPr>
              <w:jc w:val="center"/>
            </w:pPr>
            <w:r/>
            <w:r>
              <w:rPr>
                <w:rFonts w:ascii="游ゴシック" w:hAnsi="游ゴシック" w:eastAsia="游ゴシック"/>
                <w:b/>
                <w:sz w:val="17"/>
              </w:rPr>
              <w:t>管内順位</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line="269" w:lineRule="auto"/>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625"/>
            <w:shd w:val="clear" w:color="auto" w:fill="DCE6F1"/>
          </w:tcPr>
          <w:p>
            <w:pPr>
              <w:spacing w:before="0"/>
              <w:jc w:val="center"/>
            </w:pPr>
            <w:r/>
            <w:r>
              <w:rPr>
                <w:rFonts w:ascii="游ゴシック" w:hAnsi="游ゴシック" w:eastAsia="游ゴシック"/>
                <w:b/>
                <w:sz w:val="17"/>
              </w:rPr>
              <w:t>第10期平均</w:t>
            </w:r>
          </w:p>
        </w:tc>
        <w:tc>
          <w:tcPr>
            <w:tcW w:type="dxa" w:w="1625"/>
            <w:shd w:val="clear" w:color="auto" w:fill="DCE6F1"/>
          </w:tcPr>
          <w:p>
            <w:pPr>
              <w:jc w:val="center"/>
            </w:pPr>
            <w:r/>
            <w:r>
              <w:rPr>
                <w:rFonts w:ascii="游ゴシック" w:hAnsi="游ゴシック" w:eastAsia="游ゴシック"/>
                <w:b/>
                <w:sz w:val="17"/>
              </w:rPr>
              <w:t>R12</w:t>
            </w:r>
          </w:p>
        </w:tc>
        <w:tc>
          <w:tcPr>
            <w:tcW w:type="dxa" w:w="1625"/>
            <w:shd w:val="clear" w:color="auto" w:fill="DCE6F1"/>
          </w:tcPr>
          <w:p>
            <w:pPr>
              <w:jc w:val="center"/>
            </w:pPr>
            <w:r/>
            <w:r>
              <w:rPr>
                <w:rFonts w:ascii="游ゴシック" w:hAnsi="游ゴシック" w:eastAsia="游ゴシック"/>
                <w:b/>
                <w:sz w:val="17"/>
              </w:rPr>
              <w:t>R17</w:t>
            </w:r>
          </w:p>
        </w:tc>
        <w:tc>
          <w:tcPr>
            <w:tcW w:type="dxa" w:w="1625"/>
            <w:shd w:val="clear" w:color="auto" w:fill="DCE6F1"/>
          </w:tcPr>
          <w:p>
            <w:pPr>
              <w:jc w:val="center"/>
            </w:pPr>
            <w:r/>
            <w:r>
              <w:rPr>
                <w:rFonts w:ascii="游ゴシック" w:hAnsi="游ゴシック" w:eastAsia="游ゴシック"/>
                <w:b/>
                <w:sz w:val="17"/>
              </w:rPr>
              <w:t>R22</w:t>
            </w:r>
          </w:p>
        </w:tc>
        <w:tc>
          <w:tcPr>
            <w:tcW w:type="dxa" w:w="1625"/>
            <w:shd w:val="clear" w:color="auto" w:fill="DCE6F1"/>
          </w:tcPr>
          <w:p>
            <w:pPr>
              <w:jc w:val="center"/>
            </w:pPr>
            <w:r/>
            <w:r>
              <w:rPr>
                <w:rFonts w:ascii="游ゴシック" w:hAnsi="游ゴシック" w:eastAsia="游ゴシック"/>
                <w:b/>
                <w:sz w:val="17"/>
              </w:rPr>
              <w:t>R27</w:t>
            </w:r>
          </w:p>
        </w:tc>
        <w:tc>
          <w:tcPr>
            <w:tcW w:type="dxa" w:w="1625"/>
            <w:shd w:val="clear" w:color="auto" w:fill="DCE6F1"/>
          </w:tcPr>
          <w:p>
            <w:pPr>
              <w:jc w:val="center"/>
            </w:pPr>
            <w:r/>
            <w:r>
              <w:rPr>
                <w:rFonts w:ascii="游ゴシック" w:hAnsi="游ゴシック" w:eastAsia="游ゴシック"/>
                <w:b/>
                <w:sz w:val="17"/>
              </w:rPr>
              <w:t>R32</w:t>
            </w:r>
          </w:p>
        </w:tc>
      </w:tr>
      <w:tr>
        <w:trPr>
          <w:cantSplit/>
        </w:trP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line="269" w:lineRule="auto"/>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【暫定算定】</w:t>
      </w:r>
    </w:p>
    <w:p>
      <w:pPr>
        <w:spacing w:after="80" w:line="269" w:lineRule="auto"/>
      </w:pPr>
      <w:r>
        <w:rPr>
          <w:rFonts w:ascii="游ゴシック" w:hAnsi="游ゴシック" w:eastAsia="游ゴシック"/>
          <w:b w:val="0"/>
          <w:sz w:val="21"/>
        </w:rPr>
        <w:t>第9期の算定を再現したうえで、第10期の前提を入れた暫定の算定を行っています。第9期の前提をそのまま入れると算定上の月額基準額は6,428円となり、第9期計画の公表値と一致します。この式に、第3節により算定した給付費を入れた基本ケースは月額6,438円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80"/>
            <w:shd w:val="clear" w:color="auto" w:fill="DCE6F1"/>
          </w:tcPr>
          <w:p>
            <w:pPr>
              <w:spacing w:before="0"/>
              <w:jc w:val="center"/>
            </w:pPr>
            <w:r/>
            <w:r>
              <w:rPr>
                <w:rFonts w:ascii="游ゴシック" w:hAnsi="游ゴシック" w:eastAsia="游ゴシック"/>
                <w:b/>
                <w:sz w:val="17"/>
              </w:rPr>
              <w:t>記号</w:t>
            </w:r>
          </w:p>
        </w:tc>
        <w:tc>
          <w:tcPr>
            <w:tcW w:type="dxa" w:w="2608"/>
            <w:shd w:val="clear" w:color="auto" w:fill="DCE6F1"/>
          </w:tcPr>
          <w:p>
            <w:pPr>
              <w:jc w:val="center"/>
            </w:pPr>
            <w:r/>
            <w:r>
              <w:rPr>
                <w:rFonts w:ascii="游ゴシック" w:hAnsi="游ゴシック" w:eastAsia="游ゴシック"/>
                <w:b/>
                <w:sz w:val="17"/>
              </w:rPr>
              <w:t>項目</w:t>
            </w:r>
          </w:p>
        </w:tc>
        <w:tc>
          <w:tcPr>
            <w:tcW w:type="dxa" w:w="1587"/>
            <w:shd w:val="clear" w:color="auto" w:fill="DCE6F1"/>
          </w:tcPr>
          <w:p>
            <w:pPr>
              <w:jc w:val="center"/>
            </w:pPr>
            <w:r/>
            <w:r>
              <w:rPr>
                <w:rFonts w:ascii="游ゴシック" w:hAnsi="游ゴシック" w:eastAsia="游ゴシック"/>
                <w:b/>
                <w:sz w:val="17"/>
              </w:rPr>
              <w:t>第9期</w:t>
            </w:r>
          </w:p>
        </w:tc>
        <w:tc>
          <w:tcPr>
            <w:tcW w:type="dxa" w:w="1587"/>
            <w:shd w:val="clear" w:color="auto" w:fill="DCE6F1"/>
          </w:tcPr>
          <w:p>
            <w:pPr>
              <w:jc w:val="center"/>
            </w:pPr>
            <w:r/>
            <w:r>
              <w:rPr>
                <w:rFonts w:ascii="游ゴシック" w:hAnsi="游ゴシック" w:eastAsia="游ゴシック"/>
                <w:b/>
                <w:sz w:val="17"/>
              </w:rPr>
              <w:t>第10期（暫定）</w:t>
            </w:r>
          </w:p>
        </w:tc>
        <w:tc>
          <w:tcPr>
            <w:tcW w:type="dxa" w:w="794"/>
            <w:shd w:val="clear" w:color="auto" w:fill="DCE6F1"/>
          </w:tcPr>
          <w:p>
            <w:pPr>
              <w:jc w:val="center"/>
            </w:pPr>
            <w:r/>
            <w:r>
              <w:rPr>
                <w:rFonts w:ascii="游ゴシック" w:hAnsi="游ゴシック" w:eastAsia="游ゴシック"/>
                <w:b/>
                <w:sz w:val="17"/>
              </w:rPr>
              <w:t>比</w:t>
            </w:r>
          </w:p>
        </w:tc>
        <w:tc>
          <w:tcPr>
            <w:tcW w:type="dxa" w:w="2494"/>
            <w:shd w:val="clear" w:color="auto" w:fill="DCE6F1"/>
          </w:tcPr>
          <w:p>
            <w:pPr>
              <w:jc w:val="center"/>
            </w:pPr>
            <w:r/>
            <w:r>
              <w:rPr>
                <w:rFonts w:ascii="游ゴシック" w:hAnsi="游ゴシック" w:eastAsia="游ゴシック"/>
                <w:b/>
                <w:sz w:val="17"/>
              </w:rPr>
              <w:t>置き方</w:t>
            </w:r>
          </w:p>
        </w:tc>
      </w:tr>
      <w:tr>
        <w:trPr>
          <w:cantSplit/>
        </w:trP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9,569,019,924</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rPr>
          <w:cantSplit/>
        </w:trP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rPr>
          <w:cantSplit/>
        </w:trP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2,323,115,851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①×23％。第10期の割合は政令による</w:t>
            </w:r>
          </w:p>
        </w:tc>
      </w:tr>
      <w:tr>
        <w:trPr>
          <w:cantSplit/>
        </w:trP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494,520,394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rPr>
          <w:cantSplit/>
        </w:trP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729,464,444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rPr>
          <w:cantSplit/>
        </w:trP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rPr>
          <w:cantSplit/>
        </w:trP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2,088,171,801</w:t>
            </w:r>
          </w:p>
        </w:tc>
        <w:tc>
          <w:tcPr>
            <w:tcW w:type="dxa" w:w="794"/>
          </w:tcPr>
          <w:p>
            <w:r/>
            <w:r>
              <w:rPr>
                <w:rFonts w:ascii="游ゴシック" w:hAnsi="游ゴシック" w:eastAsia="游ゴシック"/>
                <w:sz w:val="17"/>
              </w:rPr>
              <w:t>101.8％</w:t>
            </w:r>
          </w:p>
        </w:tc>
        <w:tc>
          <w:tcPr>
            <w:tcW w:type="dxa" w:w="2494"/>
          </w:tcPr>
          <w:p>
            <w:r/>
            <w:r>
              <w:rPr>
                <w:rFonts w:ascii="游ゴシック" w:hAnsi="游ゴシック" w:eastAsia="游ゴシック"/>
                <w:sz w:val="17"/>
              </w:rPr>
              <w:t>C＋D－E＋F＋G±H－I</w:t>
            </w:r>
          </w:p>
        </w:tc>
      </w:tr>
      <w:tr>
        <w:trPr>
          <w:cantSplit/>
        </w:trP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10,100,503,701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w:t>
            </w:r>
          </w:p>
        </w:tc>
      </w:tr>
      <w:tr>
        <w:trPr>
          <w:cantSplit/>
        </w:trP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rPr>
          <w:cantSplit/>
        </w:trP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rPr>
          <w:cantSplit/>
        </w:trP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6,438円</w:t>
            </w:r>
          </w:p>
        </w:tc>
        <w:tc>
          <w:tcPr>
            <w:tcW w:type="dxa" w:w="794"/>
          </w:tcPr>
          <w:p>
            <w:r/>
            <w:r>
              <w:rPr>
                <w:rFonts w:ascii="游ゴシック" w:hAnsi="游ゴシック" w:eastAsia="游ゴシック"/>
                <w:sz w:val="17"/>
              </w:rPr>
              <w:t>100.2％</w:t>
            </w:r>
          </w:p>
        </w:tc>
        <w:tc>
          <w:tcPr>
            <w:tcW w:type="dxa" w:w="2494"/>
          </w:tcPr>
          <w:p>
            <w:r/>
            <w:r>
              <w:rPr>
                <w:rFonts w:ascii="游ゴシック" w:hAnsi="游ゴシック" w:eastAsia="游ゴシック"/>
                <w:sz w:val="17"/>
              </w:rPr>
              <w:t>J÷収納率99.0％÷③÷12</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line="269" w:lineRule="auto"/>
        <w:jc w:val="right"/>
      </w:pPr>
      <w:r>
        <w:rPr>
          <w:rFonts w:ascii="游ゴシック" w:hAnsi="游ゴシック" w:eastAsia="游ゴシック"/>
          <w:b w:val="0"/>
          <w:sz w:val="16"/>
        </w:rPr>
        <w:t>資料：将来推計 第3段階（給付費と保険料）05シート</w:t>
      </w:r>
    </w:p>
    <w:p>
      <w:pPr>
        <w:spacing w:after="80" w:line="269" w:lineRule="auto"/>
      </w:pPr>
      <w:r>
        <w:rPr>
          <w:rFonts w:ascii="游ゴシック" w:hAnsi="游ゴシック" w:eastAsia="游ゴシック"/>
          <w:b w:val="0"/>
          <w:sz w:val="20"/>
        </w:rPr>
        <w:t>第9期の条例基準額6,400円に対し、暫定の算定値は38円高くなります。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【給付費の置き方によるちがい】</w:t>
      </w:r>
    </w:p>
    <w:p>
      <w:pPr>
        <w:spacing w:after="80" w:line="269" w:lineRule="auto"/>
      </w:pPr>
      <w:r>
        <w:rPr>
          <w:rFonts w:ascii="游ゴシック" w:hAnsi="游ゴシック" w:eastAsia="游ゴシック"/>
          <w:b w:val="0"/>
          <w:sz w:val="20"/>
        </w:rPr>
        <w:t>給付費の置き方について、次の3つを算定しました。上表は①によっています。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14"/>
            <w:shd w:val="clear" w:color="auto" w:fill="DCE6F1"/>
          </w:tcPr>
          <w:p>
            <w:pPr>
              <w:spacing w:before="0"/>
              <w:jc w:val="center"/>
            </w:pPr>
            <w:r/>
            <w:r>
              <w:rPr>
                <w:rFonts w:ascii="游ゴシック" w:hAnsi="游ゴシック" w:eastAsia="游ゴシック"/>
                <w:b/>
                <w:sz w:val="17"/>
              </w:rPr>
              <w:t>置き方</w:t>
            </w:r>
          </w:p>
        </w:tc>
        <w:tc>
          <w:tcPr>
            <w:tcW w:type="dxa" w:w="3402"/>
            <w:shd w:val="clear" w:color="auto" w:fill="DCE6F1"/>
          </w:tcPr>
          <w:p>
            <w:pPr>
              <w:jc w:val="center"/>
            </w:pPr>
            <w:r/>
            <w:r>
              <w:rPr>
                <w:rFonts w:ascii="游ゴシック" w:hAnsi="游ゴシック" w:eastAsia="游ゴシック"/>
                <w:b/>
                <w:sz w:val="17"/>
              </w:rPr>
              <w:t>内容</w:t>
            </w:r>
          </w:p>
        </w:tc>
        <w:tc>
          <w:tcPr>
            <w:tcW w:type="dxa" w:w="2041"/>
            <w:shd w:val="clear" w:color="auto" w:fill="DCE6F1"/>
          </w:tcPr>
          <w:p>
            <w:pPr>
              <w:jc w:val="center"/>
            </w:pPr>
            <w:r/>
            <w:r>
              <w:rPr>
                <w:rFonts w:ascii="游ゴシック" w:hAnsi="游ゴシック" w:eastAsia="游ゴシック"/>
                <w:b/>
                <w:sz w:val="17"/>
              </w:rPr>
              <w:t>総給付費（3か年計）</w:t>
            </w:r>
          </w:p>
        </w:tc>
        <w:tc>
          <w:tcPr>
            <w:tcW w:type="dxa" w:w="1474"/>
            <w:shd w:val="clear" w:color="auto" w:fill="DCE6F1"/>
          </w:tcPr>
          <w:p>
            <w:pPr>
              <w:jc w:val="center"/>
            </w:pPr>
            <w:r/>
            <w:r>
              <w:rPr>
                <w:rFonts w:ascii="游ゴシック" w:hAnsi="游ゴシック" w:eastAsia="游ゴシック"/>
                <w:b/>
                <w:sz w:val="17"/>
              </w:rPr>
              <w:t>算定上の月額</w:t>
            </w:r>
          </w:p>
        </w:tc>
      </w:tr>
      <w:tr>
        <w:trPr>
          <w:cantSplit/>
        </w:trPr>
        <w:tc>
          <w:tcPr>
            <w:tcW w:type="dxa" w:w="1814"/>
          </w:tcPr>
          <w:p>
            <w:r/>
            <w:r>
              <w:rPr>
                <w:rFonts w:ascii="游ゴシック" w:hAnsi="游ゴシック" w:eastAsia="游ゴシック"/>
                <w:sz w:val="17"/>
              </w:rPr>
              <w:t>① 要介護度別（採用）</w:t>
            </w:r>
          </w:p>
        </w:tc>
        <w:tc>
          <w:tcPr>
            <w:tcW w:type="dxa" w:w="3402"/>
          </w:tcPr>
          <w:p>
            <w:r/>
            <w:r>
              <w:rPr>
                <w:rFonts w:ascii="游ゴシック" w:hAnsi="游ゴシック" w:eastAsia="游ゴシック"/>
                <w:sz w:val="17"/>
              </w:rPr>
              <w:t>令和7年度の実績に要介護度別の認定者数の伸びを乗じる</w:t>
            </w:r>
          </w:p>
        </w:tc>
        <w:tc>
          <w:tcPr>
            <w:tcW w:type="dxa" w:w="2041"/>
          </w:tcPr>
          <w:p>
            <w:r/>
            <w:r>
              <w:rPr>
                <w:rFonts w:ascii="游ゴシック" w:hAnsi="游ゴシック" w:eastAsia="游ゴシック"/>
                <w:sz w:val="17"/>
              </w:rPr>
              <w:t>9,035,114,142</w:t>
            </w:r>
          </w:p>
        </w:tc>
        <w:tc>
          <w:tcPr>
            <w:tcW w:type="dxa" w:w="1474"/>
          </w:tcPr>
          <w:p>
            <w:r/>
            <w:r>
              <w:rPr>
                <w:rFonts w:ascii="游ゴシック" w:hAnsi="游ゴシック" w:eastAsia="游ゴシック"/>
                <w:sz w:val="17"/>
              </w:rPr>
              <w:t>6,438円</w:t>
            </w:r>
          </w:p>
        </w:tc>
      </w:tr>
      <w:tr>
        <w:trPr>
          <w:cantSplit/>
        </w:trPr>
        <w:tc>
          <w:tcPr>
            <w:tcW w:type="dxa" w:w="1814"/>
          </w:tcPr>
          <w:p>
            <w:r/>
            <w:r>
              <w:rPr>
                <w:rFonts w:ascii="游ゴシック" w:hAnsi="游ゴシック" w:eastAsia="游ゴシック"/>
                <w:sz w:val="17"/>
              </w:rPr>
              <w:t>② 一律の伸び</w:t>
            </w:r>
          </w:p>
        </w:tc>
        <w:tc>
          <w:tcPr>
            <w:tcW w:type="dxa" w:w="3402"/>
          </w:tcPr>
          <w:p>
            <w:r/>
            <w:r>
              <w:rPr>
                <w:rFonts w:ascii="游ゴシック" w:hAnsi="游ゴシック" w:eastAsia="游ゴシック"/>
                <w:sz w:val="17"/>
              </w:rPr>
              <w:t>令和7年度の実績に認定者数の総数の伸びを乗じる</w:t>
            </w:r>
          </w:p>
        </w:tc>
        <w:tc>
          <w:tcPr>
            <w:tcW w:type="dxa" w:w="2041"/>
          </w:tcPr>
          <w:p>
            <w:r/>
            <w:r>
              <w:rPr>
                <w:rFonts w:ascii="游ゴシック" w:hAnsi="游ゴシック" w:eastAsia="游ゴシック"/>
                <w:sz w:val="17"/>
              </w:rPr>
              <w:t>9,020,228,881</w:t>
            </w:r>
          </w:p>
        </w:tc>
        <w:tc>
          <w:tcPr>
            <w:tcW w:type="dxa" w:w="1474"/>
          </w:tcPr>
          <w:p>
            <w:r/>
            <w:r>
              <w:rPr>
                <w:rFonts w:ascii="游ゴシック" w:hAnsi="游ゴシック" w:eastAsia="游ゴシック"/>
                <w:sz w:val="17"/>
              </w:rPr>
              <w:t>6,428円</w:t>
            </w:r>
          </w:p>
        </w:tc>
      </w:tr>
      <w:tr>
        <w:trPr>
          <w:cantSplit/>
        </w:trPr>
        <w:tc>
          <w:tcPr>
            <w:tcW w:type="dxa" w:w="1814"/>
          </w:tcPr>
          <w:p>
            <w:r/>
            <w:r>
              <w:rPr>
                <w:rFonts w:ascii="游ゴシック" w:hAnsi="游ゴシック" w:eastAsia="游ゴシック"/>
                <w:sz w:val="17"/>
              </w:rPr>
              <w:t>③ 見える化システムの自然体推計</w:t>
            </w:r>
          </w:p>
        </w:tc>
        <w:tc>
          <w:tcPr>
            <w:tcW w:type="dxa" w:w="3402"/>
          </w:tcPr>
          <w:p>
            <w:r/>
            <w:r>
              <w:rPr>
                <w:rFonts w:ascii="游ゴシック" w:hAnsi="游ゴシック" w:eastAsia="游ゴシック"/>
                <w:sz w:val="17"/>
              </w:rPr>
              <w:t>自然体推計に人口の基礎の置換え（認定者数の比）を行う</w:t>
            </w:r>
          </w:p>
        </w:tc>
        <w:tc>
          <w:tcPr>
            <w:tcW w:type="dxa" w:w="2041"/>
          </w:tcPr>
          <w:p>
            <w:r/>
            <w:r>
              <w:rPr>
                <w:rFonts w:ascii="游ゴシック" w:hAnsi="游ゴシック" w:eastAsia="游ゴシック"/>
                <w:sz w:val="17"/>
              </w:rPr>
              <w:t>9,483,393,155</w:t>
            </w:r>
          </w:p>
        </w:tc>
        <w:tc>
          <w:tcPr>
            <w:tcW w:type="dxa" w:w="1474"/>
          </w:tcPr>
          <w:p>
            <w:r/>
            <w:r>
              <w:rPr>
                <w:rFonts w:ascii="游ゴシック" w:hAnsi="游ゴシック" w:eastAsia="游ゴシック"/>
                <w:sz w:val="17"/>
              </w:rPr>
              <w:t>6,740円</w:t>
            </w:r>
          </w:p>
        </w:tc>
      </w:tr>
    </w:tbl>
    <w:p>
      <w:pPr>
        <w:spacing w:after="80" w:line="269" w:lineRule="auto"/>
      </w:pPr>
      <w:r>
        <w:rPr>
          <w:rFonts w:ascii="游ゴシック" w:hAnsi="游ゴシック" w:eastAsia="游ゴシック"/>
          <w:b w:val="0"/>
          <w:sz w:val="20"/>
        </w:rPr>
        <w:t>①と②の差は10円です。人口の高齢化により要介護度の構成が重度側へ動くため、要介護度別に置くと給付費はわずかに大きくなります。①と③の差302円は、③が社人研の推計人口を基礎とする見える化システムの出力を人口の比で置き直したものであるのに対し、①が令和7年度の実績（年報・広域連合を単位とするもの）から組み上げたものであることによ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【サービス別の趨勢を反映した場合】</w:t>
      </w:r>
    </w:p>
    <w:p>
      <w:pPr>
        <w:spacing w:after="80" w:line="269" w:lineRule="auto"/>
      </w:pPr>
      <w:r>
        <w:rPr>
          <w:rFonts w:ascii="游ゴシック" w:hAnsi="游ゴシック" w:eastAsia="游ゴシック"/>
          <w:b w:val="0"/>
          <w:sz w:val="20"/>
        </w:rPr>
        <w:t>上表の②一律の伸びは、サービスごとに伸びが異なるにもかかわらず認定者数の伸びを一律に当てるものです。第9期までの対計画比はサービス別に大きく開いており（第3章第3節1）、この開きを補正する置き方も試算しました。②を基礎として、サービス別の伸びと全体の伸びとの差を上限±3％で切り詰めたうえで50％だけ反映する方法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5443"/>
            <w:shd w:val="clear" w:color="auto" w:fill="DCE6F1"/>
          </w:tcPr>
          <w:p>
            <w:pPr>
              <w:spacing w:before="0"/>
              <w:jc w:val="center"/>
            </w:pPr>
            <w:r/>
            <w:r>
              <w:rPr>
                <w:rFonts w:ascii="游ゴシック" w:hAnsi="游ゴシック" w:eastAsia="游ゴシック"/>
                <w:b/>
                <w:sz w:val="17"/>
              </w:rPr>
              <w:t>置き方</w:t>
            </w:r>
          </w:p>
        </w:tc>
        <w:tc>
          <w:tcPr>
            <w:tcW w:type="dxa" w:w="1814"/>
            <w:shd w:val="clear" w:color="auto" w:fill="DCE6F1"/>
          </w:tcPr>
          <w:p>
            <w:pPr>
              <w:jc w:val="center"/>
            </w:pPr>
            <w:r/>
            <w:r>
              <w:rPr>
                <w:rFonts w:ascii="游ゴシック" w:hAnsi="游ゴシック" w:eastAsia="游ゴシック"/>
                <w:b/>
                <w:sz w:val="17"/>
              </w:rPr>
              <w:t>算定上の月額</w:t>
            </w:r>
          </w:p>
        </w:tc>
        <w:tc>
          <w:tcPr>
            <w:tcW w:type="dxa" w:w="1814"/>
            <w:shd w:val="clear" w:color="auto" w:fill="DCE6F1"/>
          </w:tcPr>
          <w:p>
            <w:pPr>
              <w:jc w:val="center"/>
            </w:pPr>
            <w:r/>
            <w:r>
              <w:rPr>
                <w:rFonts w:ascii="游ゴシック" w:hAnsi="游ゴシック" w:eastAsia="游ゴシック"/>
                <w:b/>
                <w:sz w:val="17"/>
              </w:rPr>
              <w:t>②との差</w:t>
            </w:r>
          </w:p>
        </w:tc>
      </w:tr>
      <w:tr>
        <w:trPr>
          <w:cantSplit/>
        </w:trPr>
        <w:tc>
          <w:tcPr>
            <w:tcW w:type="dxa" w:w="5443"/>
          </w:tcPr>
          <w:p>
            <w:r/>
            <w:r>
              <w:rPr>
                <w:rFonts w:ascii="游ゴシック" w:hAnsi="游ゴシック" w:eastAsia="游ゴシック"/>
                <w:sz w:val="17"/>
              </w:rPr>
              <w:t>補正を行わない（②一律の伸び）</w:t>
            </w:r>
          </w:p>
        </w:tc>
        <w:tc>
          <w:tcPr>
            <w:tcW w:type="dxa" w:w="1814"/>
          </w:tcPr>
          <w:p>
            <w:r/>
            <w:r>
              <w:rPr>
                <w:rFonts w:ascii="游ゴシック" w:hAnsi="游ゴシック" w:eastAsia="游ゴシック"/>
                <w:sz w:val="17"/>
              </w:rPr>
              <w:t>6,428円</w:t>
            </w:r>
          </w:p>
        </w:tc>
        <w:tc>
          <w:tcPr>
            <w:tcW w:type="dxa" w:w="1814"/>
          </w:tcPr>
          <w:p>
            <w:r/>
            <w:r>
              <w:rPr>
                <w:rFonts w:ascii="游ゴシック" w:hAnsi="游ゴシック" w:eastAsia="游ゴシック"/>
                <w:sz w:val="17"/>
              </w:rPr>
              <w:t>＋0円</w:t>
            </w:r>
          </w:p>
        </w:tc>
      </w:tr>
      <w:tr>
        <w:trPr>
          <w:cantSplit/>
        </w:trPr>
        <w:tc>
          <w:tcPr>
            <w:tcW w:type="dxa" w:w="5443"/>
          </w:tcPr>
          <w:p>
            <w:r/>
            <w:r>
              <w:rPr>
                <w:rFonts w:ascii="游ゴシック" w:hAnsi="游ゴシック" w:eastAsia="游ゴシック"/>
                <w:sz w:val="17"/>
              </w:rPr>
              <w:t>サービス別の趨勢を50％反映する</w:t>
            </w:r>
          </w:p>
        </w:tc>
        <w:tc>
          <w:tcPr>
            <w:tcW w:type="dxa" w:w="1814"/>
          </w:tcPr>
          <w:p>
            <w:r/>
            <w:r>
              <w:rPr>
                <w:rFonts w:ascii="游ゴシック" w:hAnsi="游ゴシック" w:eastAsia="游ゴシック"/>
                <w:sz w:val="17"/>
              </w:rPr>
              <w:t>6,371円</w:t>
            </w:r>
          </w:p>
        </w:tc>
        <w:tc>
          <w:tcPr>
            <w:tcW w:type="dxa" w:w="1814"/>
          </w:tcPr>
          <w:p>
            <w:r/>
            <w:r>
              <w:rPr>
                <w:rFonts w:ascii="游ゴシック" w:hAnsi="游ゴシック" w:eastAsia="游ゴシック"/>
                <w:sz w:val="17"/>
              </w:rPr>
              <w:t>▲58円</w:t>
            </w:r>
          </w:p>
        </w:tc>
      </w:tr>
      <w:tr>
        <w:trPr>
          <w:cantSplit/>
        </w:trPr>
        <w:tc>
          <w:tcPr>
            <w:tcW w:type="dxa" w:w="5443"/>
          </w:tcPr>
          <w:p>
            <w:r/>
            <w:r>
              <w:rPr>
                <w:rFonts w:ascii="游ゴシック" w:hAnsi="游ゴシック" w:eastAsia="游ゴシック"/>
                <w:sz w:val="17"/>
              </w:rPr>
              <w:t>同・施設及び居住系は減らさない</w:t>
            </w:r>
          </w:p>
        </w:tc>
        <w:tc>
          <w:tcPr>
            <w:tcW w:type="dxa" w:w="1814"/>
          </w:tcPr>
          <w:p>
            <w:r/>
            <w:r>
              <w:rPr>
                <w:rFonts w:ascii="游ゴシック" w:hAnsi="游ゴシック" w:eastAsia="游ゴシック"/>
                <w:sz w:val="17"/>
              </w:rPr>
              <w:t>6,476円</w:t>
            </w:r>
          </w:p>
        </w:tc>
        <w:tc>
          <w:tcPr>
            <w:tcW w:type="dxa" w:w="1814"/>
          </w:tcPr>
          <w:p>
            <w:r/>
            <w:r>
              <w:rPr>
                <w:rFonts w:ascii="游ゴシック" w:hAnsi="游ゴシック" w:eastAsia="游ゴシック"/>
                <w:sz w:val="17"/>
              </w:rPr>
              <w:t>＋48円</w:t>
            </w:r>
          </w:p>
        </w:tc>
      </w:tr>
    </w:tbl>
    <w:p>
      <w:pPr>
        <w:spacing w:after="160" w:line="269" w:lineRule="auto"/>
        <w:jc w:val="right"/>
      </w:pPr>
      <w:r>
        <w:rPr>
          <w:rFonts w:ascii="游ゴシック" w:hAnsi="游ゴシック" w:eastAsia="游ゴシック"/>
          <w:b w:val="0"/>
          <w:sz w:val="17"/>
        </w:rPr>
        <w:t>資料：対計画比の偏りの補正試算</w:t>
      </w:r>
    </w:p>
    <w:p>
      <w:pPr>
        <w:spacing w:after="80" w:line="269" w:lineRule="auto"/>
      </w:pPr>
      <w:r>
        <w:rPr>
          <w:rFonts w:ascii="游ゴシック" w:hAnsi="游ゴシック" w:eastAsia="游ゴシック"/>
          <w:b w:val="0"/>
          <w:sz w:val="20"/>
        </w:rPr>
        <w:t>符号は施設・居住系の扱いで反転します。施設・居住系の実績の減少には定員の縮小が含まれており（第4節2）、趨勢をそのまま延長すると「さらに定員が縮小する」ことを前提にしてしまいます。本計画の見込量は補正を行っていません［要協議］。</w:t>
      </w:r>
    </w:p>
    <w:p>
      <w:pPr>
        <w:spacing w:after="80" w:line="269" w:lineRule="auto"/>
      </w:pPr>
      <w:r>
        <w:rPr>
          <w:rFonts w:ascii="游ゴシック" w:hAnsi="游ゴシック" w:eastAsia="游ゴシック"/>
          <w:b w:val="0"/>
          <w:sz w:val="20"/>
        </w:rPr>
        <w:t>特に認知症対応型共同生活介護は、区域全体の定員が平成28年から令和2年の115人から令和4年以降99人に減っており、令和4年度の落ち込みは1事業所の定員縮小によるものです（令和6年度から令和7年度は増に転じています）。介護老人福祉施設も平成29年度の234人から令和2年度以降160人へ縮小しています。この2つのサービスは、実績の減少が定員の縮小によるものであるため、補正を行う場合でも対象から外す扱いとします［要協議］。</w:t>
      </w:r>
    </w:p>
    <w:p>
      <w:pPr>
        <w:spacing w:after="160" w:line="269" w:lineRule="auto"/>
      </w:pPr>
      <w:r>
        <w:rPr>
          <w:rFonts w:ascii="游ゴシック" w:hAnsi="游ゴシック" w:eastAsia="游ゴシック"/>
          <w:b w:val="0"/>
          <w:sz w:val="17"/>
        </w:rPr>
        <w:t>注）上表の基礎は②一律の伸びであり、本計画が採用している①要介護度別とは基礎が異なります。総給付費の予測誤差は、過去の実績による検証で一律1.68％に対し補正1.13％です。</w:t>
        <w:br/>
        <w:t>注）補正を行っても計画値と実績値の開きが残るサービスが6種別あります（居宅療養管理指導、地域密着型通所介護、短期入所生活介護、短期入所療養介護、訪問看護、訪問リハビリテーション）。いずれも趨勢の置き方によるものではなく、区域内の供給の状況又は制度の区分によるものと考えられます。趨勢の補正では解消しないため、第4節の整備方針及び確保方策において扱います［要確認］。</w:t>
        <w:br/>
        <w:t>注）認知症施策、高齢者向け住まい（介護保険の指定を受けない住まいを含む）その他の趨勢に現れない要因については、給付費を増やす向きか減らす向きかを本計画の該当箇所に記すにとどめ、数値には織り込んでいません。大きさを測ることができないためです［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地域支援事業費（B）からは、保険者機能強化推進事業費及び保険者努力支援事業費を除いています。いずれも交付金を財源とする事業であり、第1号被保険者負担分の算定基礎には含まれないためです。国の様式には保険料収納必要額から交付金の交付見込額を控除する欄がありますが、本計画はBから当該2事業を除く方法によっているため、収納必要額からの控除は行っていません。両方を行うと同じ額を二重に控除することになります［要確認］。また調整交付金の算定基礎に加える総合事業費は、介護保険事業計画作成支援ツールの「介護予防・日常生活支援総合事業費」（3町計107,129,318円）によります。第3節2の表に掲げた令和6年度決算の「介護予防・生活支援サービス事業費」101,274,621円とは基礎が異なり、5,854,697円の差があります。決算は広域連合の歳出の款項によるもの、計画作成支援ツールは構成3町がそれぞれ入力した額の合計であり、区分の立て方が異なるためです。差の内訳は事業別の実績の受領後に整理します［要確認］。算定方法と国の様式との対照は「算定方法の整合確認（国と見える化）」によります。</w:t>
      </w:r>
    </w:p>
    <w:p>
      <w:pPr>
        <w:spacing w:after="160" w:line="269" w:lineRule="auto"/>
      </w:pPr>
      <w:r>
        <w:rPr>
          <w:rFonts w:ascii="游ゴシック" w:hAnsi="游ゴシック" w:eastAsia="游ゴシック"/>
          <w:b w:val="0"/>
          <w:sz w:val="17"/>
        </w:rPr>
        <w:t>暫定の算定です。第10期の第1号被保険者負担割合、介護報酬改定率、令和7年度末の基金残高、所得段階の政令改正、サービス見込量の採用値が確定するまでは、条例で採用する基準額の算定には用いられ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【前提を動かした場合の幅】</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レバー</w:t>
            </w:r>
          </w:p>
        </w:tc>
        <w:tc>
          <w:tcPr>
            <w:tcW w:type="dxa" w:w="2268"/>
            <w:shd w:val="clear" w:color="auto" w:fill="DCE6F1"/>
          </w:tcPr>
          <w:p>
            <w:pPr>
              <w:jc w:val="center"/>
            </w:pPr>
            <w:r/>
            <w:r>
              <w:rPr>
                <w:rFonts w:ascii="游ゴシック" w:hAnsi="游ゴシック" w:eastAsia="游ゴシック"/>
                <w:b/>
                <w:sz w:val="17"/>
              </w:rPr>
              <w:t>基本ケース</w:t>
            </w:r>
          </w:p>
        </w:tc>
        <w:tc>
          <w:tcPr>
            <w:tcW w:type="dxa" w:w="2721"/>
            <w:shd w:val="clear" w:color="auto" w:fill="DCE6F1"/>
          </w:tcPr>
          <w:p>
            <w:pPr>
              <w:jc w:val="center"/>
            </w:pPr>
            <w:r/>
            <w:r>
              <w:rPr>
                <w:rFonts w:ascii="游ゴシック" w:hAnsi="游ゴシック" w:eastAsia="游ゴシック"/>
                <w:b/>
                <w:sz w:val="17"/>
              </w:rPr>
              <w:t>動かした場合</w:t>
            </w:r>
          </w:p>
        </w:tc>
        <w:tc>
          <w:tcPr>
            <w:tcW w:type="dxa" w:w="1134"/>
            <w:shd w:val="clear" w:color="auto" w:fill="DCE6F1"/>
          </w:tcPr>
          <w:p>
            <w:pPr>
              <w:jc w:val="center"/>
            </w:pPr>
            <w:r/>
            <w:r>
              <w:rPr>
                <w:rFonts w:ascii="游ゴシック" w:hAnsi="游ゴシック" w:eastAsia="游ゴシック"/>
                <w:b/>
                <w:sz w:val="17"/>
              </w:rPr>
              <w:t>月額</w:t>
            </w:r>
          </w:p>
        </w:tc>
        <w:tc>
          <w:tcPr>
            <w:tcW w:type="dxa" w:w="1134"/>
            <w:shd w:val="clear" w:color="auto" w:fill="DCE6F1"/>
          </w:tcPr>
          <w:p>
            <w:pPr>
              <w:jc w:val="center"/>
            </w:pPr>
            <w:r/>
            <w:r>
              <w:rPr>
                <w:rFonts w:ascii="游ゴシック" w:hAnsi="游ゴシック" w:eastAsia="游ゴシック"/>
                <w:b/>
                <w:sz w:val="17"/>
              </w:rPr>
              <w:t>差</w:t>
            </w:r>
          </w:p>
        </w:tc>
      </w:tr>
      <w:tr>
        <w:trPr>
          <w:cantSplit/>
        </w:trP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6,499円</w:t>
            </w:r>
          </w:p>
        </w:tc>
        <w:tc>
          <w:tcPr>
            <w:tcW w:type="dxa" w:w="1134"/>
          </w:tcPr>
          <w:p>
            <w:r/>
            <w:r>
              <w:rPr>
                <w:rFonts w:ascii="游ゴシック" w:hAnsi="游ゴシック" w:eastAsia="游ゴシック"/>
                <w:sz w:val="17"/>
              </w:rPr>
              <w:t>＋61円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6,621円</w:t>
            </w:r>
          </w:p>
        </w:tc>
        <w:tc>
          <w:tcPr>
            <w:tcW w:type="dxa" w:w="1134"/>
          </w:tcPr>
          <w:p>
            <w:r/>
            <w:r>
              <w:rPr>
                <w:rFonts w:ascii="游ゴシック" w:hAnsi="游ゴシック" w:eastAsia="游ゴシック"/>
                <w:sz w:val="17"/>
              </w:rPr>
              <w:t>＋183円</w:t>
            </w:r>
          </w:p>
        </w:tc>
      </w:tr>
      <w:tr>
        <w:trPr>
          <w:cantSplit/>
        </w:trPr>
        <w:tc>
          <w:tcPr>
            <w:tcW w:type="dxa" w:w="2494"/>
          </w:tcPr>
          <w:p>
            <w:r/>
            <w:r>
              <w:rPr>
                <w:rFonts w:ascii="游ゴシック" w:hAnsi="游ゴシック" w:eastAsia="游ゴシック"/>
                <w:sz w:val="17"/>
              </w:rPr>
              <w:t>単価の実績の趨勢</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年率1.32％（過去7年の中央値）</w:t>
            </w:r>
          </w:p>
        </w:tc>
        <w:tc>
          <w:tcPr>
            <w:tcW w:type="dxa" w:w="1134"/>
          </w:tcPr>
          <w:p>
            <w:r/>
            <w:r>
              <w:rPr>
                <w:rFonts w:ascii="游ゴシック" w:hAnsi="游ゴシック" w:eastAsia="游ゴシック"/>
                <w:sz w:val="17"/>
              </w:rPr>
              <w:t>6,683円</w:t>
            </w:r>
          </w:p>
        </w:tc>
        <w:tc>
          <w:tcPr>
            <w:tcW w:type="dxa" w:w="1134"/>
          </w:tcPr>
          <w:p>
            <w:r/>
            <w:r>
              <w:rPr>
                <w:rFonts w:ascii="游ゴシック" w:hAnsi="游ゴシック" w:eastAsia="游ゴシック"/>
                <w:sz w:val="17"/>
              </w:rPr>
              <w:t>＋245円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年率1.75％（過去7年の平均）</w:t>
            </w:r>
          </w:p>
        </w:tc>
        <w:tc>
          <w:tcPr>
            <w:tcW w:type="dxa" w:w="1134"/>
          </w:tcPr>
          <w:p>
            <w:r/>
            <w:r>
              <w:rPr>
                <w:rFonts w:ascii="游ゴシック" w:hAnsi="游ゴシック" w:eastAsia="游ゴシック"/>
                <w:sz w:val="17"/>
              </w:rPr>
              <w:t>6,766円</w:t>
            </w:r>
          </w:p>
        </w:tc>
        <w:tc>
          <w:tcPr>
            <w:tcW w:type="dxa" w:w="1134"/>
          </w:tcPr>
          <w:p>
            <w:r/>
            <w:r>
              <w:rPr>
                <w:rFonts w:ascii="游ゴシック" w:hAnsi="游ゴシック" w:eastAsia="游ゴシック"/>
                <w:sz w:val="17"/>
              </w:rPr>
              <w:t>＋327円</w:t>
            </w:r>
          </w:p>
        </w:tc>
      </w:tr>
      <w:tr>
        <w:trPr>
          <w:cantSplit/>
        </w:trPr>
        <w:tc>
          <w:tcPr>
            <w:tcW w:type="dxa" w:w="2494"/>
          </w:tcPr>
          <w:p>
            <w:r/>
            <w:r>
              <w:rPr>
                <w:rFonts w:ascii="游ゴシック" w:hAnsi="游ゴシック" w:eastAsia="游ゴシック"/>
                <w:sz w:val="17"/>
              </w:rPr>
              <w:t>給付の適正化による抑制</w:t>
            </w:r>
          </w:p>
        </w:tc>
        <w:tc>
          <w:tcPr>
            <w:tcW w:type="dxa" w:w="2268"/>
          </w:tcPr>
          <w:p>
            <w:r/>
            <w:r>
              <w:rPr>
                <w:rFonts w:ascii="游ゴシック" w:hAnsi="游ゴシック" w:eastAsia="游ゴシック"/>
                <w:sz w:val="17"/>
              </w:rPr>
              <w:t>0％（抑制を織り込まない）</w:t>
            </w:r>
          </w:p>
        </w:tc>
        <w:tc>
          <w:tcPr>
            <w:tcW w:type="dxa" w:w="2721"/>
          </w:tcPr>
          <w:p>
            <w:r/>
            <w:r>
              <w:rPr>
                <w:rFonts w:ascii="游ゴシック" w:hAnsi="游ゴシック" w:eastAsia="游ゴシック"/>
                <w:sz w:val="17"/>
              </w:rPr>
              <w:t>対象サービス（総給付費の7.70％）を10％抑制</w:t>
            </w:r>
          </w:p>
        </w:tc>
        <w:tc>
          <w:tcPr>
            <w:tcW w:type="dxa" w:w="1134"/>
          </w:tcPr>
          <w:p>
            <w:r/>
            <w:r>
              <w:rPr>
                <w:rFonts w:ascii="游ゴシック" w:hAnsi="游ゴシック" w:eastAsia="游ゴシック"/>
                <w:sz w:val="17"/>
              </w:rPr>
              <w:t>6,391円</w:t>
            </w:r>
          </w:p>
        </w:tc>
        <w:tc>
          <w:tcPr>
            <w:tcW w:type="dxa" w:w="1134"/>
          </w:tcPr>
          <w:p>
            <w:r/>
            <w:r>
              <w:rPr>
                <w:rFonts w:ascii="游ゴシック" w:hAnsi="游ゴシック" w:eastAsia="游ゴシック"/>
                <w:sz w:val="17"/>
              </w:rPr>
              <w:t>▲47円</w:t>
            </w:r>
          </w:p>
        </w:tc>
      </w:tr>
      <w:tr>
        <w:trPr>
          <w:cantSplit/>
        </w:trP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6,750円</w:t>
            </w:r>
          </w:p>
        </w:tc>
        <w:tc>
          <w:tcPr>
            <w:tcW w:type="dxa" w:w="1134"/>
          </w:tcPr>
          <w:p>
            <w:r/>
            <w:r>
              <w:rPr>
                <w:rFonts w:ascii="游ゴシック" w:hAnsi="游ゴシック" w:eastAsia="游ゴシック"/>
                <w:sz w:val="17"/>
              </w:rPr>
              <w:t>＋311円</w:t>
            </w:r>
          </w:p>
        </w:tc>
      </w:tr>
      <w:tr>
        <w:trPr>
          <w:cantSplit/>
        </w:trP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6,708円</w:t>
            </w:r>
          </w:p>
        </w:tc>
        <w:tc>
          <w:tcPr>
            <w:tcW w:type="dxa" w:w="1134"/>
          </w:tcPr>
          <w:p>
            <w:r/>
            <w:r>
              <w:rPr>
                <w:rFonts w:ascii="游ゴシック" w:hAnsi="游ゴシック" w:eastAsia="游ゴシック"/>
                <w:sz w:val="17"/>
              </w:rPr>
              <w:t>＋270円</w:t>
            </w:r>
          </w:p>
        </w:tc>
      </w:tr>
      <w:tr>
        <w:trPr>
          <w:cantSplit/>
        </w:trPr>
        <w:tc>
          <w:tcPr>
            <w:tcW w:type="dxa" w:w="2494"/>
          </w:tcPr>
          <w:p>
            <w:r/>
            <w:r>
              <w:rPr>
                <w:rFonts w:ascii="游ゴシック" w:hAnsi="游ゴシック" w:eastAsia="游ゴシック"/>
                <w:sz w:val="17"/>
              </w:rPr>
              <w:t>調整交付金の一定の取組による減額</w:t>
            </w:r>
          </w:p>
        </w:tc>
        <w:tc>
          <w:tcPr>
            <w:tcW w:type="dxa" w:w="2268"/>
          </w:tcPr>
          <w:p>
            <w:r/>
            <w:r>
              <w:rPr>
                <w:rFonts w:ascii="游ゴシック" w:hAnsi="游ゴシック" w:eastAsia="游ゴシック"/>
                <w:sz w:val="17"/>
              </w:rPr>
              <w:t>減額なし</w:t>
            </w:r>
          </w:p>
        </w:tc>
        <w:tc>
          <w:tcPr>
            <w:tcW w:type="dxa" w:w="2721"/>
          </w:tcPr>
          <w:p>
            <w:r/>
            <w:r>
              <w:rPr>
                <w:rFonts w:ascii="游ゴシック" w:hAnsi="游ゴシック" w:eastAsia="游ゴシック"/>
                <w:sz w:val="17"/>
              </w:rPr>
              <w:t>調整交付金見込額が5％減少した場合</w:t>
            </w:r>
          </w:p>
        </w:tc>
        <w:tc>
          <w:tcPr>
            <w:tcW w:type="dxa" w:w="1134"/>
          </w:tcPr>
          <w:p>
            <w:r/>
            <w:r>
              <w:rPr>
                <w:rFonts w:ascii="游ゴシック" w:hAnsi="游ゴシック" w:eastAsia="游ゴシック"/>
                <w:sz w:val="17"/>
              </w:rPr>
              <w:t>6,551円</w:t>
            </w:r>
          </w:p>
        </w:tc>
        <w:tc>
          <w:tcPr>
            <w:tcW w:type="dxa" w:w="1134"/>
          </w:tcPr>
          <w:p>
            <w:r/>
            <w:r>
              <w:rPr>
                <w:rFonts w:ascii="游ゴシック" w:hAnsi="游ゴシック" w:eastAsia="游ゴシック"/>
                <w:sz w:val="17"/>
              </w:rPr>
              <w:t>＋112円</w:t>
            </w:r>
          </w:p>
        </w:tc>
      </w:tr>
      <w:tr>
        <w:trPr>
          <w:cantSplit/>
        </w:trP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6,283円</w:t>
            </w:r>
          </w:p>
        </w:tc>
        <w:tc>
          <w:tcPr>
            <w:tcW w:type="dxa" w:w="1134"/>
          </w:tcPr>
          <w:p>
            <w:r/>
            <w:r>
              <w:rPr>
                <w:rFonts w:ascii="游ゴシック" w:hAnsi="游ゴシック" w:eastAsia="游ゴシック"/>
                <w:sz w:val="17"/>
              </w:rPr>
              <w:t>▲156円</w:t>
            </w:r>
          </w:p>
        </w:tc>
      </w:tr>
      <w:tr>
        <w:trPr>
          <w:cantSplit/>
        </w:trP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6,382円</w:t>
            </w:r>
          </w:p>
        </w:tc>
        <w:tc>
          <w:tcPr>
            <w:tcW w:type="dxa" w:w="1134"/>
          </w:tcPr>
          <w:p>
            <w:r/>
            <w:r>
              <w:rPr>
                <w:rFonts w:ascii="游ゴシック" w:hAnsi="游ゴシック" w:eastAsia="游ゴシック"/>
                <w:sz w:val="17"/>
              </w:rPr>
              <w:t>▲56円</w:t>
            </w:r>
          </w:p>
        </w:tc>
      </w:tr>
      <w:tr>
        <w:trPr>
          <w:cantSplit/>
        </w:trP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5,724円</w:t>
            </w:r>
          </w:p>
        </w:tc>
        <w:tc>
          <w:tcPr>
            <w:tcW w:type="dxa" w:w="1134"/>
          </w:tcPr>
          <w:p>
            <w:r/>
            <w:r>
              <w:rPr>
                <w:rFonts w:ascii="游ゴシック" w:hAnsi="游ゴシック" w:eastAsia="游ゴシック"/>
                <w:sz w:val="17"/>
              </w:rPr>
              <w:t>▲714円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6,315円</w:t>
            </w:r>
          </w:p>
        </w:tc>
        <w:tc>
          <w:tcPr>
            <w:tcW w:type="dxa" w:w="1134"/>
          </w:tcPr>
          <w:p>
            <w:r/>
            <w:r>
              <w:rPr>
                <w:rFonts w:ascii="游ゴシック" w:hAnsi="游ゴシック" w:eastAsia="游ゴシック"/>
                <w:sz w:val="17"/>
              </w:rPr>
              <w:t>▲123円</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80" w:line="269" w:lineRule="auto"/>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本計画の算定は、基金を取り崩さないものとしています（不足する側に誤らない置き方です）。取り崩す場合は、1億円当たり月額▲308円に相当します。介護報酬改定率は1％当たり月額61円です。介護報酬は、令和9年度改定を待たず令和8年度にも改定が行われることとされており（第1章第9節4）、基準年度である令和7年度の単価には令和8年度改定が反映されていません。改定率は令和8年度分及び令和9年度分の告示を待って反映します。令和9年度改定については、改定の考え方及び運営基準に関する整理が令和8年12月頃、諮問及び答申が令和9年1月頃とされており（第1章第9節6）、いずれも本節の算定の後になります。本計画は令和7年度の実績単価により算定し、確定した内容が示された時点で給付費及び保険料を再算定します［要確認］。</w:t>
      </w:r>
    </w:p>
    <w:p>
      <w:pPr>
        <w:spacing w:after="80" w:line="269" w:lineRule="auto"/>
      </w:pPr>
      <w:r>
        <w:rPr>
          <w:rFonts w:ascii="游ゴシック" w:hAnsi="游ゴシック" w:eastAsia="游ゴシック"/>
          <w:b w:val="0"/>
          <w:sz w:val="20"/>
        </w:rPr>
        <w:t>当区域の単価は、構成を固定した指数でみると過去7年間で年率1.32％から1.75％の幅で伸びており、改定のあった年となかった年で差が見られません。本計画は単価を令和7年度で固定しているため、この趨勢を織り込んでいません［要協議］。改定率を乗じることと趨勢を延ばすことを重ねると二重になるため、いずれか一方によります。</w:t>
      </w:r>
    </w:p>
    <w:p>
      <w:pPr>
        <w:spacing w:after="80" w:line="269" w:lineRule="auto"/>
      </w:pPr>
      <w:r>
        <w:rPr>
          <w:rFonts w:ascii="游ゴシック" w:hAnsi="游ゴシック" w:eastAsia="游ゴシック"/>
          <w:b w:val="0"/>
          <w:sz w:val="20"/>
        </w:rPr>
        <w:t>なお、令和9年度介護報酬改定に向けた基本的な視点には、中山間地域の加算のあり方の見直しが掲げられています（第1章第9節6）。交通の便が悪い地域における経営の安定等を目的とする加算には特別地域加算、中山間地域等における小規模事業所加算及び中山間地域等に居住する者へのサービス提供加算の3種類があり、当広域連合が対象となる場合は単価を上げる向きに働きます。いずれの加算も対象地域が告示によるものであり、本計画は告示を確認できていないため見込んでいません（第1章第9節1）［要確認］。</w:t>
      </w:r>
    </w:p>
    <w:p>
      <w:pPr>
        <w:spacing w:after="80" w:line="269" w:lineRule="auto"/>
      </w:pPr>
      <w:r>
        <w:rPr>
          <w:rFonts w:ascii="游ゴシック" w:hAnsi="游ゴシック" w:eastAsia="游ゴシック"/>
          <w:b w:val="0"/>
          <w:sz w:val="20"/>
        </w:rPr>
        <w:t>給付の適正化は、第7期介護給付適正化計画（第5章 基本目標5）として施策に位置づけています。適正化の主要事業が対象とするサービス（4種別）は総給付費の7.70％であり、本計画の見込量には抑制を織り込んでいません。見込量は自然体の推計とし、適正化は施策として別に置く整理です。織り込むと施策の達成を前提に給付費を下げることになり、保険料が不足する側に誤るためです。</w:t>
      </w:r>
    </w:p>
    <w:p>
      <w:pPr>
        <w:spacing w:after="80" w:line="269" w:lineRule="auto"/>
      </w:pPr>
      <w:r>
        <w:rPr>
          <w:rFonts w:ascii="游ゴシック" w:hAnsi="游ゴシック" w:eastAsia="游ゴシック"/>
          <w:b w:val="0"/>
          <w:sz w:val="20"/>
        </w:rPr>
        <w:t>調整交付金については、年齢区分の精緻化により交付額が増加する保険者が介護給付適正化の主要3事業のいずれかを実施していない場合、又は1人当たり給付費が外れ値に該当した保険者が帳票を活用した点検の実施率等を前年度の水準以上に保てなかった場合に、増加した額の5％を減額することとされています（第1章第9節5）。当広域連合はケアプラン等の点検を実施していないため、交付額が増加する場合は減額の対象となります（第5章 基本目標5）。減額の額は年齢区分の精緻化による増加額によって決まるため、当広域連合に係る交付割合が示されるまでは算定できません。本表の「調整交付金の一定の取組による減額」の欄は、減額が保険料に及ぶ大きさを見るために調整交付金見込額が5％減少した場合の値を示したものであり、減額の見込額ではありません。</w:t>
      </w:r>
    </w:p>
    <w:p>
      <w:pPr>
        <w:spacing w:after="160" w:line="269" w:lineRule="auto"/>
      </w:pPr>
      <w:r>
        <w:rPr>
          <w:rFonts w:ascii="游ゴシック" w:hAnsi="游ゴシック" w:eastAsia="游ゴシック"/>
          <w:b w:val="0"/>
          <w:sz w:val="17"/>
        </w:rPr>
        <w:t>注1）各欄は、基本ケースから当該の前提のみを動かした場合の値です。複数を同時に動かした場合の値ではありません。</w:t>
        <w:br/>
        <w:t>注2）介護報酬改定率と単価の実績の趨勢は、いずれも単価を動かすものであり重ねて適用しません。</w:t>
        <w:br/>
        <w:t>注3）「調整交付金の一定の取組による減額」は、調整交付金見込額が5％減少した場合の値です。実際の減額は年齢区分の精緻化による増加額の5％であり、増加額が示された時点で算定します［要確認］。</w:t>
      </w:r>
    </w:p>
    <w:p>
      <w:pPr>
        <w:spacing w:after="80" w:line="269" w:lineRule="auto"/>
      </w:pPr>
      <w:r>
        <w:rPr>
          <w:rFonts w:ascii="游ゴシック" w:hAnsi="游ゴシック" w:eastAsia="游ゴシック"/>
          <w:b w:val="0"/>
          <w:sz w:val="20"/>
        </w:rPr>
        <w:t>本計画の暫定算定は、単価を令和7年度で固定し、施策による効果を見込まず、給付の適正化による抑制を織り込まず、財政調整基金を取り崩さない置き方によっています。いずれも保険料が不足する側に誤らないための置き方であり、上表の前提を動かすと月額は上がる側に動くものが多くなります。このため、算定上の月額基準額は、現在置いている前提の下では低い側の水準にあります。条例で定める基準額は、政令の公布及び介護報酬改定率の告示を待って再算定したうえで決定します［要協議］。</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試算</w:t>
            </w:r>
          </w:p>
        </w:tc>
        <w:tc>
          <w:tcPr>
            <w:tcW w:type="dxa" w:w="4602"/>
            <w:shd w:val="clear" w:color="auto" w:fill="DCE6F1"/>
          </w:tcPr>
          <w:p>
            <w:pPr>
              <w:jc w:val="center"/>
            </w:pPr>
            <w:r/>
            <w:r>
              <w:rPr>
                <w:rFonts w:ascii="游ゴシック" w:hAnsi="游ゴシック" w:eastAsia="游ゴシック"/>
                <w:b/>
                <w:sz w:val="17"/>
              </w:rPr>
              <w:t>前提</w:t>
            </w:r>
          </w:p>
        </w:tc>
        <w:tc>
          <w:tcPr>
            <w:tcW w:type="dxa" w:w="3725"/>
            <w:shd w:val="clear" w:color="auto" w:fill="DCE6F1"/>
          </w:tcPr>
          <w:p>
            <w:pPr>
              <w:jc w:val="center"/>
            </w:pPr>
            <w:r/>
            <w:r>
              <w:rPr>
                <w:rFonts w:ascii="游ゴシック" w:hAnsi="游ゴシック" w:eastAsia="游ゴシック"/>
                <w:b/>
                <w:sz w:val="17"/>
              </w:rPr>
              <w:t>用途</w:t>
            </w:r>
          </w:p>
        </w:tc>
      </w:tr>
      <w:tr>
        <w:trPr>
          <w:cantSplit/>
        </w:trP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rPr>
          <w:cantSplit/>
        </w:trP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rPr>
          <w:cantSplit/>
        </w:trP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rPr>
          <w:cantSplit/>
        </w:trP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r>
        <w:trPr>
          <w:cantSplit/>
        </w:trPr>
        <w:tc>
          <w:tcPr>
            <w:tcW w:type="dxa" w:w="1424"/>
          </w:tcPr>
          <w:p>
            <w:r/>
            <w:r>
              <w:rPr>
                <w:rFonts w:ascii="游ゴシック" w:hAnsi="游ゴシック" w:eastAsia="游ゴシック"/>
                <w:sz w:val="17"/>
              </w:rPr>
              <w:t>利用者負担の見直し</w:t>
            </w:r>
          </w:p>
        </w:tc>
        <w:tc>
          <w:tcPr>
            <w:tcW w:type="dxa" w:w="4602"/>
          </w:tcPr>
          <w:p>
            <w:r/>
            <w:r>
              <w:rPr>
                <w:rFonts w:ascii="游ゴシック" w:hAnsi="游ゴシック" w:eastAsia="游ゴシック"/>
                <w:sz w:val="17"/>
              </w:rPr>
              <w:t>一定以上所得の判断基準が見直され、利用者負担2割の対象が広がった場合。給付費が減る一方、負担を理由とする利用控えが生じた場合の将来の重度化も併せて見る</w:t>
            </w:r>
          </w:p>
        </w:tc>
        <w:tc>
          <w:tcPr>
            <w:tcW w:type="dxa" w:w="3725"/>
          </w:tcPr>
          <w:p>
            <w:r/>
            <w:r>
              <w:rPr>
                <w:rFonts w:ascii="游ゴシック" w:hAnsi="游ゴシック" w:eastAsia="游ゴシック"/>
                <w:sz w:val="17"/>
              </w:rPr>
              <w:t>保険料必要額への影響と利用控えの確認</w:t>
            </w:r>
          </w:p>
        </w:tc>
      </w:tr>
      <w:tr>
        <w:trPr>
          <w:cantSplit/>
        </w:trPr>
        <w:tc>
          <w:tcPr>
            <w:tcW w:type="dxa" w:w="1424"/>
          </w:tcPr>
          <w:p>
            <w:r/>
            <w:r>
              <w:rPr>
                <w:rFonts w:ascii="游ゴシック" w:hAnsi="游ゴシック" w:eastAsia="游ゴシック"/>
                <w:sz w:val="17"/>
              </w:rPr>
              <w:t>所得段階の見直し</w:t>
            </w:r>
          </w:p>
        </w:tc>
        <w:tc>
          <w:tcPr>
            <w:tcW w:type="dxa" w:w="4602"/>
          </w:tcPr>
          <w:p>
            <w:r/>
            <w:r>
              <w:rPr>
                <w:rFonts w:ascii="游ゴシック" w:hAnsi="游ゴシック" w:eastAsia="游ゴシック"/>
                <w:sz w:val="17"/>
              </w:rPr>
              <w:t>国の標準段階及び乗率が改められた場合（第5項の3案）</w:t>
            </w:r>
          </w:p>
        </w:tc>
        <w:tc>
          <w:tcPr>
            <w:tcW w:type="dxa" w:w="3725"/>
          </w:tcPr>
          <w:p>
            <w:r/>
            <w:r>
              <w:rPr>
                <w:rFonts w:ascii="游ゴシック" w:hAnsi="游ゴシック" w:eastAsia="游ゴシック"/>
                <w:sz w:val="17"/>
              </w:rPr>
              <w:t>段階別の負担の配分と基準額の確認</w:t>
            </w:r>
          </w:p>
        </w:tc>
      </w:tr>
    </w:tbl>
    <w:p>
      <w:pPr>
        <w:spacing w:after="80" w:line="269" w:lineRule="auto"/>
      </w:pPr>
      <w:r>
        <w:rPr>
          <w:rFonts w:ascii="游ゴシック" w:hAnsi="游ゴシック" w:eastAsia="游ゴシック"/>
          <w:b w:val="0"/>
          <w:sz w:val="20"/>
        </w:rPr>
        <w:t>利用者負担の一定以上所得の判断基準は、第10期計画期間の開始前までに結論を得ることとされており、見直しの内容及び施行の時期は定まっていません（第1章第9節4）。基準が示された時点で、対象となる方の数を確認し、第3節の給付費に加えて本節の保険料収納必要額まで再算定します。負担を理由とする利用の控えは、給付費を一時的に下げる一方で重度化を通じて将来の給付費を上げる方向に働くため、見込量に織り込むのではなく上記のシナリオとして別に確認します［要確認］。</w:t>
      </w:r>
    </w:p>
    <w:p>
      <w:pPr>
        <w:pStyle w:val="Heading3"/>
        <w:spacing w:before="180" w:after="100"/>
      </w:pPr>
      <w:r>
        <w:rPr>
          <w:rFonts w:ascii="游ゴシック" w:hAnsi="游ゴシック" w:eastAsia="游ゴシック"/>
          <w:sz w:val="22"/>
        </w:rPr>
        <w:t>4 第10期保険料算定表</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1863"/>
            <w:shd w:val="clear" w:color="auto" w:fill="DCE6F1"/>
          </w:tcPr>
          <w:p>
            <w:pPr>
              <w:jc w:val="center"/>
            </w:pPr>
            <w:r/>
            <w:r>
              <w:rPr>
                <w:rFonts w:ascii="游ゴシック" w:hAnsi="游ゴシック" w:eastAsia="游ゴシック"/>
                <w:b/>
                <w:sz w:val="17"/>
              </w:rPr>
              <w:t>記号・算式</w:t>
            </w:r>
          </w:p>
        </w:tc>
        <w:tc>
          <w:tcPr>
            <w:tcW w:type="dxa" w:w="1205"/>
            <w:shd w:val="clear" w:color="auto" w:fill="DCE6F1"/>
          </w:tcPr>
          <w:p>
            <w:pPr>
              <w:jc w:val="center"/>
            </w:pPr>
            <w:r/>
            <w:r>
              <w:rPr>
                <w:rFonts w:ascii="游ゴシック" w:hAnsi="游ゴシック" w:eastAsia="游ゴシック"/>
                <w:b/>
                <w:sz w:val="17"/>
              </w:rPr>
              <w:t>第10期計</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1863"/>
            <w:shd w:val="clear" w:color="auto" w:fill="DCE6F1"/>
          </w:tcPr>
          <w:p>
            <w:pPr>
              <w:jc w:val="center"/>
            </w:pPr>
            <w:r/>
            <w:r>
              <w:rPr>
                <w:rFonts w:ascii="游ゴシック" w:hAnsi="游ゴシック" w:eastAsia="游ゴシック"/>
                <w:b/>
                <w:sz w:val="17"/>
              </w:rPr>
              <w:t>確定資料</w:t>
            </w:r>
          </w:p>
        </w:tc>
      </w:tr>
      <w:tr>
        <w:trPr>
          <w:cantSplit/>
        </w:trP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9,569,019,924</w:t>
            </w:r>
          </w:p>
        </w:tc>
        <w:tc>
          <w:tcPr>
            <w:tcW w:type="dxa" w:w="877"/>
          </w:tcPr>
          <w:p>
            <w:r/>
            <w:r>
              <w:rPr>
                <w:rFonts w:ascii="游ゴシック" w:hAnsi="游ゴシック" w:eastAsia="游ゴシック"/>
                <w:sz w:val="17"/>
              </w:rPr>
              <w:t>3,155,009,562</w:t>
            </w:r>
          </w:p>
        </w:tc>
        <w:tc>
          <w:tcPr>
            <w:tcW w:type="dxa" w:w="877"/>
          </w:tcPr>
          <w:p>
            <w:r/>
            <w:r>
              <w:rPr>
                <w:rFonts w:ascii="游ゴシック" w:hAnsi="游ゴシック" w:eastAsia="游ゴシック"/>
                <w:sz w:val="17"/>
              </w:rPr>
              <w:t>3,189,499,035</w:t>
            </w:r>
          </w:p>
        </w:tc>
        <w:tc>
          <w:tcPr>
            <w:tcW w:type="dxa" w:w="877"/>
          </w:tcPr>
          <w:p>
            <w:r/>
            <w:r>
              <w:rPr>
                <w:rFonts w:ascii="游ゴシック" w:hAnsi="游ゴシック" w:eastAsia="游ゴシック"/>
                <w:sz w:val="17"/>
              </w:rPr>
              <w:t>3,224,511,327</w:t>
            </w:r>
          </w:p>
        </w:tc>
        <w:tc>
          <w:tcPr>
            <w:tcW w:type="dxa" w:w="1863"/>
          </w:tcPr>
          <w:p>
            <w:r/>
            <w:r>
              <w:rPr>
                <w:rFonts w:ascii="游ゴシック" w:hAnsi="游ゴシック" w:eastAsia="游ゴシック"/>
                <w:sz w:val="17"/>
              </w:rPr>
              <w:t>給付費の積上げ（第3節）</w:t>
            </w:r>
          </w:p>
        </w:tc>
      </w:tr>
      <w:tr>
        <w:trPr>
          <w:cantSplit/>
        </w:trP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rPr>
          <w:cantSplit/>
        </w:trP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2,323,115,851</w:t>
            </w:r>
          </w:p>
        </w:tc>
        <w:tc>
          <w:tcPr>
            <w:tcW w:type="dxa" w:w="877"/>
          </w:tcPr>
          <w:p>
            <w:r/>
            <w:r>
              <w:rPr>
                <w:rFonts w:ascii="游ゴシック" w:hAnsi="游ゴシック" w:eastAsia="游ゴシック"/>
                <w:sz w:val="17"/>
              </w:rPr>
              <w:t>766,399,289</w:t>
            </w:r>
          </w:p>
        </w:tc>
        <w:tc>
          <w:tcPr>
            <w:tcW w:type="dxa" w:w="877"/>
          </w:tcPr>
          <w:p>
            <w:r/>
            <w:r>
              <w:rPr>
                <w:rFonts w:ascii="游ゴシック" w:hAnsi="游ゴシック" w:eastAsia="游ゴシック"/>
                <w:sz w:val="17"/>
              </w:rPr>
              <w:t>774,331,868</w:t>
            </w:r>
          </w:p>
        </w:tc>
        <w:tc>
          <w:tcPr>
            <w:tcW w:type="dxa" w:w="877"/>
          </w:tcPr>
          <w:p>
            <w:r/>
            <w:r>
              <w:rPr>
                <w:rFonts w:ascii="游ゴシック" w:hAnsi="游ゴシック" w:eastAsia="游ゴシック"/>
                <w:sz w:val="17"/>
              </w:rPr>
              <w:t>782,384,695</w:t>
            </w:r>
          </w:p>
        </w:tc>
        <w:tc>
          <w:tcPr>
            <w:tcW w:type="dxa" w:w="1863"/>
          </w:tcPr>
          <w:p>
            <w:r/>
            <w:r>
              <w:rPr>
                <w:rFonts w:ascii="游ゴシック" w:hAnsi="游ゴシック" w:eastAsia="游ゴシック"/>
                <w:sz w:val="17"/>
              </w:rPr>
              <w:t>国の負担割合</w:t>
            </w:r>
          </w:p>
        </w:tc>
      </w:tr>
      <w:tr>
        <w:trPr>
          <w:cantSplit/>
        </w:trP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494,520,394</w:t>
            </w:r>
          </w:p>
        </w:tc>
        <w:tc>
          <w:tcPr>
            <w:tcW w:type="dxa" w:w="877"/>
          </w:tcPr>
          <w:p>
            <w:r/>
            <w:r>
              <w:rPr>
                <w:rFonts w:ascii="游ゴシック" w:hAnsi="游ゴシック" w:eastAsia="游ゴシック"/>
                <w:sz w:val="17"/>
              </w:rPr>
              <w:t>163,106,944</w:t>
            </w:r>
          </w:p>
        </w:tc>
        <w:tc>
          <w:tcPr>
            <w:tcW w:type="dxa" w:w="877"/>
          </w:tcPr>
          <w:p>
            <w:r/>
            <w:r>
              <w:rPr>
                <w:rFonts w:ascii="游ゴシック" w:hAnsi="游ゴシック" w:eastAsia="游ゴシック"/>
                <w:sz w:val="17"/>
              </w:rPr>
              <w:t>164,831,418</w:t>
            </w:r>
          </w:p>
        </w:tc>
        <w:tc>
          <w:tcPr>
            <w:tcW w:type="dxa" w:w="877"/>
          </w:tcPr>
          <w:p>
            <w:r/>
            <w:r>
              <w:rPr>
                <w:rFonts w:ascii="游ゴシック" w:hAnsi="游ゴシック" w:eastAsia="游ゴシック"/>
                <w:sz w:val="17"/>
              </w:rPr>
              <w:t>166,582,032</w:t>
            </w:r>
          </w:p>
        </w:tc>
        <w:tc>
          <w:tcPr>
            <w:tcW w:type="dxa" w:w="1863"/>
          </w:tcPr>
          <w:p>
            <w:r/>
            <w:r>
              <w:rPr>
                <w:rFonts w:ascii="游ゴシック" w:hAnsi="游ゴシック" w:eastAsia="游ゴシック"/>
                <w:sz w:val="17"/>
              </w:rPr>
              <w:t>制度条件</w:t>
            </w:r>
          </w:p>
        </w:tc>
      </w:tr>
      <w:tr>
        <w:trPr>
          <w:cantSplit/>
        </w:trP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729,464,444</w:t>
            </w:r>
          </w:p>
        </w:tc>
        <w:tc>
          <w:tcPr>
            <w:tcW w:type="dxa" w:w="877"/>
          </w:tcPr>
          <w:p>
            <w:r/>
            <w:r>
              <w:rPr>
                <w:rFonts w:ascii="游ゴシック" w:hAnsi="游ゴシック" w:eastAsia="游ゴシック"/>
                <w:sz w:val="17"/>
              </w:rPr>
              <w:t>240,598,199</w:t>
            </w:r>
          </w:p>
        </w:tc>
        <w:tc>
          <w:tcPr>
            <w:tcW w:type="dxa" w:w="877"/>
          </w:tcPr>
          <w:p>
            <w:r/>
            <w:r>
              <w:rPr>
                <w:rFonts w:ascii="游ゴシック" w:hAnsi="游ゴシック" w:eastAsia="游ゴシック"/>
                <w:sz w:val="17"/>
              </w:rPr>
              <w:t>243,141,961</w:t>
            </w:r>
          </w:p>
        </w:tc>
        <w:tc>
          <w:tcPr>
            <w:tcW w:type="dxa" w:w="877"/>
          </w:tcPr>
          <w:p>
            <w:r/>
            <w:r>
              <w:rPr>
                <w:rFonts w:ascii="游ゴシック" w:hAnsi="游ゴシック" w:eastAsia="游ゴシック"/>
                <w:sz w:val="17"/>
              </w:rPr>
              <w:t>245,724,284</w:t>
            </w:r>
          </w:p>
        </w:tc>
        <w:tc>
          <w:tcPr>
            <w:tcW w:type="dxa" w:w="1863"/>
          </w:tcPr>
          <w:p>
            <w:r/>
            <w:r>
              <w:rPr>
                <w:rFonts w:ascii="游ゴシック" w:hAnsi="游ゴシック" w:eastAsia="游ゴシック"/>
                <w:sz w:val="17"/>
              </w:rPr>
              <w:t>国・北海道情報</w:t>
            </w:r>
          </w:p>
        </w:tc>
      </w:tr>
      <w:tr>
        <w:trPr>
          <w:cantSplit/>
        </w:trP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rPr>
          <w:cantSplit/>
        </w:trP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rPr>
          <w:cantSplit/>
        </w:trP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2,088,171,801</w:t>
            </w:r>
          </w:p>
        </w:tc>
        <w:tc>
          <w:tcPr>
            <w:tcW w:type="dxa" w:w="877"/>
          </w:tcPr>
          <w:p>
            <w:r/>
            <w:r>
              <w:rPr>
                <w:rFonts w:ascii="游ゴシック" w:hAnsi="游ゴシック" w:eastAsia="游ゴシック"/>
                <w:sz w:val="17"/>
              </w:rPr>
              <w:t>688,908,034</w:t>
            </w:r>
          </w:p>
        </w:tc>
        <w:tc>
          <w:tcPr>
            <w:tcW w:type="dxa" w:w="877"/>
          </w:tcPr>
          <w:p>
            <w:r/>
            <w:r>
              <w:rPr>
                <w:rFonts w:ascii="游ゴシック" w:hAnsi="游ゴシック" w:eastAsia="游ゴシック"/>
                <w:sz w:val="17"/>
              </w:rPr>
              <w:t>696,021,324</w:t>
            </w:r>
          </w:p>
        </w:tc>
        <w:tc>
          <w:tcPr>
            <w:tcW w:type="dxa" w:w="877"/>
          </w:tcPr>
          <w:p>
            <w:r/>
            <w:r>
              <w:rPr>
                <w:rFonts w:ascii="游ゴシック" w:hAnsi="游ゴシック" w:eastAsia="游ゴシック"/>
                <w:sz w:val="17"/>
              </w:rPr>
              <w:t>703,242,443</w:t>
            </w:r>
          </w:p>
        </w:tc>
        <w:tc>
          <w:tcPr>
            <w:tcW w:type="dxa" w:w="1863"/>
          </w:tcPr>
          <w:p>
            <w:r/>
            <w:r>
              <w:rPr>
                <w:rFonts w:ascii="游ゴシック" w:hAnsi="游ゴシック" w:eastAsia="游ゴシック"/>
                <w:sz w:val="17"/>
              </w:rPr>
              <w:t>算定ワークブック</w:t>
            </w:r>
          </w:p>
        </w:tc>
      </w:tr>
      <w:tr>
        <w:trPr>
          <w:cantSplit/>
        </w:trP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rPr>
          <w:cantSplit/>
        </w:trP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rPr>
          <w:cantSplit/>
        </w:trP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6,395円</w:t>
            </w:r>
          </w:p>
        </w:tc>
        <w:tc>
          <w:tcPr>
            <w:tcW w:type="dxa" w:w="877"/>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6,481円</w:t>
            </w:r>
          </w:p>
        </w:tc>
        <w:tc>
          <w:tcPr>
            <w:tcW w:type="dxa" w:w="1863"/>
          </w:tcPr>
          <w:p>
            <w:r/>
            <w:r>
              <w:rPr>
                <w:rFonts w:ascii="游ゴシック" w:hAnsi="游ゴシック" w:eastAsia="游ゴシック"/>
                <w:sz w:val="17"/>
              </w:rPr>
              <w:t>算定結果</w:t>
            </w:r>
          </w:p>
        </w:tc>
      </w:tr>
      <w:tr>
        <w:trPr>
          <w:cantSplit/>
        </w:trP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あり、②に包括的支援事業費及び任意事業費は含みません。この扱いにより第9期計画の算定を再現し、公表されている月額基準額と一致することを確かめています［要確認］。本表の①②は本項の記号であり、第2項の給付費の置き方及び第5項の所得段階の置き方の①②③とは別のものです。Eの調整交付金見込額は第9期計画と同水準の交付割合によっています。普通調整交付金の算定に用いる年齢区分は、令和10年度から3区分が7区分に改められ、激変緩和措置として3区分による計算と7区分による計算を2分の1ずつ組み合わせることが予定されています（第1章第9節4）。当広域連合に係る交付割合が国から示された時点で再算定します。また、年齢区分の精緻化により交付額が増加する保険者が介護給付適正化の主要3事業のいずれかを実施していない場合は、増加した額の5％が減額されることとされています（第1章第9節5）。当広域連合はケアプラン等の点検を実施していないためこの減額の対象となりますが、増加額が示されていないため本表は減額を織り込んでいません（第5章 基本目標5）［要確認］。</w:t>
      </w:r>
    </w:p>
    <w:p>
      <w:pPr>
        <w:pStyle w:val="Heading3"/>
        <w:spacing w:before="180" w:after="100"/>
      </w:pPr>
      <w:r>
        <w:rPr>
          <w:rFonts w:ascii="游ゴシック" w:hAnsi="游ゴシック" w:eastAsia="游ゴシック"/>
          <w:sz w:val="22"/>
        </w:rPr>
        <w:t>5 所得段階別保険料</w:t>
      </w:r>
    </w:p>
    <w:p>
      <w:pPr>
        <w:spacing w:after="80" w:line="269" w:lineRule="auto"/>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【所得段階の置き方による保険料の違い】</w:t>
      </w:r>
    </w:p>
    <w:p>
      <w:pPr>
        <w:spacing w:after="80" w:line="269" w:lineRule="auto"/>
      </w:pPr>
      <w:r>
        <w:rPr>
          <w:rFonts w:ascii="游ゴシック" w:hAnsi="游ゴシック" w:eastAsia="游ゴシック"/>
          <w:b w:val="0"/>
          <w:sz w:val="20"/>
        </w:rPr>
        <w:t>当広域連合の所得段階は、第9期の条例により、国の標準13段階のうち第13段階を多段階化した16段階となっています。標準と割合が異なる段階が9、標準にない段階が3あります。国の標準段階が見直された場合の選択肢として、次の3つの置き方による保険料を比較します。</w:t>
      </w:r>
    </w:p>
    <w:p>
      <w:pPr>
        <w:spacing w:after="20" w:line="269" w:lineRule="auto"/>
        <w:jc w:val="right"/>
      </w:pPr>
      <w:r>
        <w:rPr>
          <w:rFonts w:ascii="游ゴシック" w:hAnsi="游ゴシック" w:eastAsia="游ゴシック"/>
          <w:b w:val="0"/>
          <w:sz w:val="17"/>
        </w:rPr>
        <w:t>所得段階の置き方による保険料の比較（令和9〜11年度）</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629"/>
            <w:shd w:val="clear" w:color="auto" w:fill="DCE6F1"/>
          </w:tcPr>
          <w:p>
            <w:pPr>
              <w:spacing w:before="0"/>
              <w:jc w:val="center"/>
            </w:pPr>
            <w:r/>
            <w:r>
              <w:rPr>
                <w:rFonts w:ascii="游ゴシック" w:hAnsi="游ゴシック" w:eastAsia="游ゴシック"/>
                <w:b/>
                <w:sz w:val="17"/>
              </w:rPr>
              <w:t>案</w:t>
            </w:r>
          </w:p>
        </w:tc>
        <w:tc>
          <w:tcPr>
            <w:tcW w:type="dxa" w:w="3250"/>
            <w:shd w:val="clear" w:color="auto" w:fill="DCE6F1"/>
          </w:tcPr>
          <w:p>
            <w:pPr>
              <w:jc w:val="center"/>
            </w:pPr>
            <w:r/>
            <w:r>
              <w:rPr>
                <w:rFonts w:ascii="游ゴシック" w:hAnsi="游ゴシック" w:eastAsia="游ゴシック"/>
                <w:b/>
                <w:sz w:val="17"/>
              </w:rPr>
              <w:t>置き方</w:t>
            </w:r>
          </w:p>
        </w:tc>
        <w:tc>
          <w:tcPr>
            <w:tcW w:type="dxa" w:w="944"/>
            <w:shd w:val="clear" w:color="auto" w:fill="DCE6F1"/>
          </w:tcPr>
          <w:p>
            <w:pPr>
              <w:jc w:val="center"/>
            </w:pPr>
            <w:r/>
            <w:r>
              <w:rPr>
                <w:rFonts w:ascii="游ゴシック" w:hAnsi="游ゴシック" w:eastAsia="游ゴシック"/>
                <w:b/>
                <w:sz w:val="17"/>
              </w:rPr>
              <w:t>段階数</w:t>
            </w:r>
          </w:p>
        </w:tc>
        <w:tc>
          <w:tcPr>
            <w:tcW w:type="dxa" w:w="1468"/>
            <w:shd w:val="clear" w:color="auto" w:fill="DCE6F1"/>
          </w:tcPr>
          <w:p>
            <w:pPr>
              <w:jc w:val="center"/>
            </w:pPr>
            <w:r/>
            <w:r>
              <w:rPr>
                <w:rFonts w:ascii="游ゴシック" w:hAnsi="游ゴシック" w:eastAsia="游ゴシック"/>
                <w:b/>
                <w:sz w:val="17"/>
              </w:rPr>
              <w:t>補正後被保険者数（3か年）</w:t>
            </w:r>
          </w:p>
        </w:tc>
        <w:tc>
          <w:tcPr>
            <w:tcW w:type="dxa" w:w="1363"/>
            <w:shd w:val="clear" w:color="auto" w:fill="DCE6F1"/>
          </w:tcPr>
          <w:p>
            <w:pPr>
              <w:jc w:val="center"/>
            </w:pPr>
            <w:r/>
            <w:r>
              <w:rPr>
                <w:rFonts w:ascii="游ゴシック" w:hAnsi="游ゴシック" w:eastAsia="游ゴシック"/>
                <w:b/>
                <w:sz w:val="17"/>
              </w:rPr>
              <w:t>割合が変わる被保険者数（R9）</w:t>
            </w:r>
          </w:p>
        </w:tc>
        <w:tc>
          <w:tcPr>
            <w:tcW w:type="dxa" w:w="1258"/>
            <w:shd w:val="clear" w:color="auto" w:fill="DCE6F1"/>
          </w:tcPr>
          <w:p>
            <w:pPr>
              <w:jc w:val="center"/>
            </w:pPr>
            <w:r/>
            <w:r>
              <w:rPr>
                <w:rFonts w:ascii="游ゴシック" w:hAnsi="游ゴシック" w:eastAsia="游ゴシック"/>
                <w:b/>
                <w:sz w:val="17"/>
              </w:rPr>
              <w:t>算定上の月額基準額</w:t>
            </w:r>
          </w:p>
        </w:tc>
        <w:tc>
          <w:tcPr>
            <w:tcW w:type="dxa" w:w="839"/>
            <w:shd w:val="clear" w:color="auto" w:fill="DCE6F1"/>
          </w:tcPr>
          <w:p>
            <w:pPr>
              <w:jc w:val="center"/>
            </w:pPr>
            <w:r/>
            <w:r>
              <w:rPr>
                <w:rFonts w:ascii="游ゴシック" w:hAnsi="游ゴシック" w:eastAsia="游ゴシック"/>
                <w:b/>
                <w:sz w:val="17"/>
              </w:rPr>
              <w:t>差</w:t>
            </w:r>
          </w:p>
        </w:tc>
      </w:tr>
      <w:tr>
        <w:trPr>
          <w:cantSplit/>
        </w:trPr>
        <w:tc>
          <w:tcPr>
            <w:tcW w:type="dxa" w:w="629"/>
          </w:tcPr>
          <w:p>
            <w:r/>
            <w:r>
              <w:rPr>
                <w:rFonts w:ascii="游ゴシック" w:hAnsi="游ゴシック" w:eastAsia="游ゴシック"/>
                <w:sz w:val="17"/>
              </w:rPr>
              <w:t>①</w:t>
            </w:r>
          </w:p>
        </w:tc>
        <w:tc>
          <w:tcPr>
            <w:tcW w:type="dxa" w:w="3250"/>
          </w:tcPr>
          <w:p>
            <w:r/>
            <w:r>
              <w:rPr>
                <w:rFonts w:ascii="游ゴシック" w:hAnsi="游ゴシック" w:eastAsia="游ゴシック"/>
                <w:sz w:val="17"/>
              </w:rPr>
              <w:t>第9期の条例による段階及び割合を据え置く（本計画の算定）</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27,301.2人</w:t>
            </w:r>
          </w:p>
        </w:tc>
        <w:tc>
          <w:tcPr>
            <w:tcW w:type="dxa" w:w="1363"/>
          </w:tcPr>
          <w:p>
            <w:r/>
            <w:r>
              <w:rPr>
                <w:rFonts w:ascii="游ゴシック" w:hAnsi="游ゴシック" w:eastAsia="游ゴシック"/>
                <w:sz w:val="17"/>
              </w:rPr>
              <w:t>―</w:t>
            </w:r>
          </w:p>
        </w:tc>
        <w:tc>
          <w:tcPr>
            <w:tcW w:type="dxa" w:w="1258"/>
          </w:tcPr>
          <w:p>
            <w:r/>
            <w:r>
              <w:rPr>
                <w:rFonts w:ascii="游ゴシック" w:hAnsi="游ゴシック" w:eastAsia="游ゴシック"/>
                <w:sz w:val="17"/>
              </w:rPr>
              <w:t>6,438円</w:t>
            </w:r>
          </w:p>
        </w:tc>
        <w:tc>
          <w:tcPr>
            <w:tcW w:type="dxa" w:w="839"/>
          </w:tcPr>
          <w:p>
            <w:r/>
            <w:r>
              <w:rPr>
                <w:rFonts w:ascii="游ゴシック" w:hAnsi="游ゴシック" w:eastAsia="游ゴシック"/>
                <w:sz w:val="17"/>
              </w:rPr>
              <w:t>―</w:t>
            </w:r>
          </w:p>
        </w:tc>
      </w:tr>
      <w:tr>
        <w:trPr>
          <w:cantSplit/>
        </w:trPr>
        <w:tc>
          <w:tcPr>
            <w:tcW w:type="dxa" w:w="629"/>
          </w:tcPr>
          <w:p>
            <w:r/>
            <w:r>
              <w:rPr>
                <w:rFonts w:ascii="游ゴシック" w:hAnsi="游ゴシック" w:eastAsia="游ゴシック"/>
                <w:sz w:val="17"/>
              </w:rPr>
              <w:t>②</w:t>
            </w:r>
          </w:p>
        </w:tc>
        <w:tc>
          <w:tcPr>
            <w:tcW w:type="dxa" w:w="3250"/>
          </w:tcPr>
          <w:p>
            <w:r/>
            <w:r>
              <w:rPr>
                <w:rFonts w:ascii="游ゴシック" w:hAnsi="游ゴシック" w:eastAsia="游ゴシック"/>
                <w:sz w:val="17"/>
              </w:rPr>
              <w:t>国の標準の段階及び割合に合わせ、多段階化した第14段階から第16段階を第13段階に束ねる</w:t>
            </w:r>
          </w:p>
        </w:tc>
        <w:tc>
          <w:tcPr>
            <w:tcW w:type="dxa" w:w="944"/>
          </w:tcPr>
          <w:p>
            <w:r/>
            <w:r>
              <w:rPr>
                <w:rFonts w:ascii="游ゴシック" w:hAnsi="游ゴシック" w:eastAsia="游ゴシック"/>
                <w:sz w:val="17"/>
              </w:rPr>
              <w:t>13段階</w:t>
            </w:r>
          </w:p>
        </w:tc>
        <w:tc>
          <w:tcPr>
            <w:tcW w:type="dxa" w:w="1468"/>
          </w:tcPr>
          <w:p>
            <w:r/>
            <w:r>
              <w:rPr>
                <w:rFonts w:ascii="游ゴシック" w:hAnsi="游ゴシック" w:eastAsia="游ゴシック"/>
                <w:sz w:val="17"/>
              </w:rPr>
              <w:t>27,093.2人</w:t>
            </w:r>
          </w:p>
        </w:tc>
        <w:tc>
          <w:tcPr>
            <w:tcW w:type="dxa" w:w="1363"/>
          </w:tcPr>
          <w:p>
            <w:r/>
            <w:r>
              <w:rPr>
                <w:rFonts w:ascii="游ゴシック" w:hAnsi="游ゴシック" w:eastAsia="游ゴシック"/>
                <w:sz w:val="17"/>
              </w:rPr>
              <w:t>5,463人</w:t>
            </w:r>
          </w:p>
        </w:tc>
        <w:tc>
          <w:tcPr>
            <w:tcW w:type="dxa" w:w="1258"/>
          </w:tcPr>
          <w:p>
            <w:r/>
            <w:r>
              <w:rPr>
                <w:rFonts w:ascii="游ゴシック" w:hAnsi="游ゴシック" w:eastAsia="游ゴシック"/>
                <w:sz w:val="17"/>
              </w:rPr>
              <w:t>6,488円</w:t>
            </w:r>
          </w:p>
        </w:tc>
        <w:tc>
          <w:tcPr>
            <w:tcW w:type="dxa" w:w="839"/>
          </w:tcPr>
          <w:p>
            <w:r/>
            <w:r>
              <w:rPr>
                <w:rFonts w:ascii="游ゴシック" w:hAnsi="游ゴシック" w:eastAsia="游ゴシック"/>
                <w:sz w:val="17"/>
              </w:rPr>
              <w:t>＋49円</w:t>
            </w:r>
          </w:p>
        </w:tc>
      </w:tr>
      <w:tr>
        <w:trPr>
          <w:cantSplit/>
        </w:trPr>
        <w:tc>
          <w:tcPr>
            <w:tcW w:type="dxa" w:w="629"/>
          </w:tcPr>
          <w:p>
            <w:r/>
            <w:r>
              <w:rPr>
                <w:rFonts w:ascii="游ゴシック" w:hAnsi="游ゴシック" w:eastAsia="游ゴシック"/>
                <w:sz w:val="17"/>
              </w:rPr>
              <w:t>③</w:t>
            </w:r>
          </w:p>
        </w:tc>
        <w:tc>
          <w:tcPr>
            <w:tcW w:type="dxa" w:w="3250"/>
          </w:tcPr>
          <w:p>
            <w:r/>
            <w:r>
              <w:rPr>
                <w:rFonts w:ascii="游ゴシック" w:hAnsi="游ゴシック" w:eastAsia="游ゴシック"/>
                <w:sz w:val="17"/>
              </w:rPr>
              <w:t>標準の段階（第1段階から第13段階）は標準の割合によりつつ、多段階化した第14段階から第16段階は条例の割合を維持する</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27,142.5人</w:t>
            </w:r>
          </w:p>
        </w:tc>
        <w:tc>
          <w:tcPr>
            <w:tcW w:type="dxa" w:w="1363"/>
          </w:tcPr>
          <w:p>
            <w:r/>
            <w:r>
              <w:rPr>
                <w:rFonts w:ascii="游ゴシック" w:hAnsi="游ゴシック" w:eastAsia="游ゴシック"/>
                <w:sz w:val="17"/>
              </w:rPr>
              <w:t>5,375人</w:t>
            </w:r>
          </w:p>
        </w:tc>
        <w:tc>
          <w:tcPr>
            <w:tcW w:type="dxa" w:w="1258"/>
          </w:tcPr>
          <w:p>
            <w:r/>
            <w:r>
              <w:rPr>
                <w:rFonts w:ascii="游ゴシック" w:hAnsi="游ゴシック" w:eastAsia="游ゴシック"/>
                <w:sz w:val="17"/>
              </w:rPr>
              <w:t>6,476円</w:t>
            </w:r>
          </w:p>
        </w:tc>
        <w:tc>
          <w:tcPr>
            <w:tcW w:type="dxa" w:w="839"/>
          </w:tcPr>
          <w:p>
            <w:r/>
            <w:r>
              <w:rPr>
                <w:rFonts w:ascii="游ゴシック" w:hAnsi="游ゴシック" w:eastAsia="游ゴシック"/>
                <w:sz w:val="17"/>
              </w:rPr>
              <w:t>＋38円</w:t>
            </w:r>
          </w:p>
        </w:tc>
      </w:tr>
    </w:tbl>
    <w:p>
      <w:pPr>
        <w:spacing w:after="160" w:line="269" w:lineRule="auto"/>
        <w:jc w:val="right"/>
      </w:pPr>
      <w:r>
        <w:rPr>
          <w:rFonts w:ascii="游ゴシック" w:hAnsi="游ゴシック" w:eastAsia="游ゴシック"/>
          <w:b w:val="0"/>
          <w:sz w:val="17"/>
        </w:rPr>
        <w:t>資料：所得段階別第1号被保険者数の将来推計、将来推計 第3段階（給付費と保険料）</w:t>
      </w:r>
    </w:p>
    <w:p>
      <w:pPr>
        <w:spacing w:after="80" w:line="269" w:lineRule="auto"/>
      </w:pPr>
      <w:r>
        <w:rPr>
          <w:rFonts w:ascii="游ゴシック" w:hAnsi="游ゴシック" w:eastAsia="游ゴシック"/>
          <w:b w:val="0"/>
          <w:sz w:val="20"/>
        </w:rPr>
        <w:t>②国の標準に合わせる場合は、多段階化により高い割合を負担していただいている方の割合が標準の最高乗率まで下がるため、補正後被保険者数が減り、基準額は上がります。③標準の段階のみを標準の割合に改める場合も同じ向きに働きます。いずれも保険料収納必要額は変わらず、段階別の負担の配分が変わることにより基準額が動くものです。</w:t>
      </w:r>
    </w:p>
    <w:p>
      <w:pPr>
        <w:spacing w:after="160" w:line="269" w:lineRule="auto"/>
      </w:pPr>
      <w:r>
        <w:rPr>
          <w:rFonts w:ascii="游ゴシック" w:hAnsi="游ゴシック" w:eastAsia="游ゴシック"/>
          <w:b w:val="0"/>
          <w:sz w:val="17"/>
        </w:rPr>
        <w:t>注1）いずれの案も公費による軽減前の割合によっています。保険料収納必要額、予定収納率99.0％及び段階別の第1号被保険者数は3案で同じものを用い、割合のみを置き換えています。補正後被保険者数及び月額は、第4項の値に段階別の人数に割合を乗じた和の比を乗じて求めたものです。</w:t>
        <w:br/>
        <w:t>注2）「割合が変わる被保険者数」は、現行の条例の割合と異なる割合となる段階に属する方の数です（令和9年度の推計値）。</w:t>
        <w:br/>
        <w:t>注3）国の標準段階の見直しの内容は示されていないため、②及び③は現行の標準による試算です。高所得者の標準乗率が引き上げられた場合は、いずれの案も基準額を下げる向きに働きます。政令が改められた時点で算定し直します［要確認］。</w:t>
      </w:r>
    </w:p>
    <w:p>
      <w:pPr>
        <w:pStyle w:val="Heading2"/>
        <w:spacing w:before="180" w:after="100"/>
      </w:pPr>
      <w:bookmarkStart w:id="142" w:name="_Toc10_042"/>
      <w:r>
        <w:rPr>
          <w:rFonts w:ascii="游ゴシック" w:hAnsi="游ゴシック" w:eastAsia="游ゴシック"/>
          <w:sz w:val="25"/>
        </w:rPr>
        <w:t>第7節 低所得者支援</w:t>
      </w:r>
      <w:bookmarkEnd w:id="142"/>
    </w:p>
    <w:p>
      <w:pPr>
        <w:spacing w:after="80" w:line="269" w:lineRule="auto"/>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制度・取組</w:t>
            </w:r>
          </w:p>
        </w:tc>
        <w:tc>
          <w:tcPr>
            <w:tcW w:type="dxa" w:w="3287"/>
            <w:shd w:val="clear" w:color="auto" w:fill="DCE6F1"/>
          </w:tcPr>
          <w:p>
            <w:pPr>
              <w:jc w:val="center"/>
            </w:pPr>
            <w:r/>
            <w:r>
              <w:rPr>
                <w:rFonts w:ascii="游ゴシック" w:hAnsi="游ゴシック" w:eastAsia="游ゴシック"/>
                <w:b/>
                <w:sz w:val="17"/>
              </w:rPr>
              <w:t>内容</w:t>
            </w:r>
          </w:p>
        </w:tc>
        <w:tc>
          <w:tcPr>
            <w:tcW w:type="dxa" w:w="2849"/>
            <w:shd w:val="clear" w:color="auto" w:fill="DCE6F1"/>
          </w:tcPr>
          <w:p>
            <w:pPr>
              <w:jc w:val="center"/>
            </w:pPr>
            <w:r/>
            <w:r>
              <w:rPr>
                <w:rFonts w:ascii="游ゴシック" w:hAnsi="游ゴシック" w:eastAsia="游ゴシック"/>
                <w:b/>
                <w:sz w:val="17"/>
              </w:rPr>
              <w:t>確認指標</w:t>
            </w:r>
          </w:p>
        </w:tc>
        <w:tc>
          <w:tcPr>
            <w:tcW w:type="dxa" w:w="1643"/>
            <w:shd w:val="clear" w:color="auto" w:fill="DCE6F1"/>
          </w:tcPr>
          <w:p>
            <w:pPr>
              <w:jc w:val="center"/>
            </w:pPr>
            <w:r/>
            <w:r>
              <w:rPr>
                <w:rFonts w:ascii="游ゴシック" w:hAnsi="游ゴシック" w:eastAsia="游ゴシック"/>
                <w:b/>
                <w:sz w:val="17"/>
              </w:rPr>
              <w:t>担当</w:t>
            </w:r>
          </w:p>
        </w:tc>
      </w:tr>
      <w:tr>
        <w:trPr>
          <w:cantSplit/>
        </w:trP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rPr>
          <w:cantSplit/>
        </w:trP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rPr>
          <w:cantSplit/>
        </w:trP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【低所得者に係る負担軽減の見直し】</w:t>
      </w:r>
    </w:p>
    <w:p>
      <w:pPr>
        <w:spacing w:after="80" w:line="269" w:lineRule="auto"/>
      </w:pPr>
      <w:r>
        <w:rPr>
          <w:rFonts w:ascii="游ゴシック" w:hAnsi="游ゴシック" w:eastAsia="游ゴシック"/>
          <w:b w:val="0"/>
          <w:sz w:val="21"/>
        </w:rPr>
        <w:t>低所得者に係る負担軽減の仕組みについて、第10期の計画期間の前後に次の見直しが行われ、又は検討されています。いずれも政令・省令又は告示により定められるものであり、対象者数及び影響額は、内容が示された時点で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72"/>
            <w:shd w:val="clear" w:color="auto" w:fill="DCE6F1"/>
          </w:tcPr>
          <w:p>
            <w:pPr>
              <w:spacing w:before="0"/>
              <w:jc w:val="center"/>
            </w:pPr>
            <w:r/>
            <w:r>
              <w:rPr>
                <w:rFonts w:ascii="游ゴシック" w:hAnsi="游ゴシック" w:eastAsia="游ゴシック"/>
                <w:b/>
                <w:sz w:val="17"/>
              </w:rPr>
              <w:t>区分</w:t>
            </w:r>
          </w:p>
        </w:tc>
        <w:tc>
          <w:tcPr>
            <w:tcW w:type="dxa" w:w="5040"/>
            <w:shd w:val="clear" w:color="auto" w:fill="DCE6F1"/>
          </w:tcPr>
          <w:p>
            <w:pPr>
              <w:jc w:val="center"/>
            </w:pPr>
            <w:r/>
            <w:r>
              <w:rPr>
                <w:rFonts w:ascii="游ゴシック" w:hAnsi="游ゴシック" w:eastAsia="游ゴシック"/>
                <w:b/>
                <w:sz w:val="17"/>
              </w:rPr>
              <w:t>見直しの内容</w:t>
            </w:r>
          </w:p>
        </w:tc>
        <w:tc>
          <w:tcPr>
            <w:tcW w:type="dxa" w:w="2739"/>
            <w:shd w:val="clear" w:color="auto" w:fill="DCE6F1"/>
          </w:tcPr>
          <w:p>
            <w:pPr>
              <w:jc w:val="center"/>
            </w:pPr>
            <w:r/>
            <w:r>
              <w:rPr>
                <w:rFonts w:ascii="游ゴシック" w:hAnsi="游ゴシック" w:eastAsia="游ゴシック"/>
                <w:b/>
                <w:sz w:val="17"/>
              </w:rPr>
              <w:t>時期</w:t>
            </w:r>
          </w:p>
        </w:tc>
      </w:tr>
      <w:tr>
        <w:trPr>
          <w:cantSplit/>
        </w:trPr>
        <w:tc>
          <w:tcPr>
            <w:tcW w:type="dxa" w:w="1972"/>
          </w:tcPr>
          <w:p>
            <w:r/>
            <w:r>
              <w:rPr>
                <w:rFonts w:ascii="游ゴシック" w:hAnsi="游ゴシック" w:eastAsia="游ゴシック"/>
                <w:sz w:val="17"/>
              </w:rPr>
              <w:t>保険料段階の基準額</w:t>
            </w:r>
          </w:p>
        </w:tc>
        <w:tc>
          <w:tcPr>
            <w:tcW w:type="dxa" w:w="5040"/>
          </w:tcPr>
          <w:p>
            <w:r/>
            <w:r>
              <w:rPr>
                <w:rFonts w:ascii="游ゴシック" w:hAnsi="游ゴシック" w:eastAsia="游ゴシック"/>
                <w:sz w:val="17"/>
              </w:rPr>
              <w:t>保険料段階のうち第1、第2、第4、第5段階の設定に用いる年金収入等の基準額を、80.9万円から82.65万円に改める。基準額は、今後、基本的には毎年見直したうえで、必要に応じ改正することが想定されている。</w:t>
            </w:r>
          </w:p>
        </w:tc>
        <w:tc>
          <w:tcPr>
            <w:tcW w:type="dxa" w:w="2739"/>
          </w:tcPr>
          <w:p>
            <w:r/>
            <w:r>
              <w:rPr>
                <w:rFonts w:ascii="游ゴシック" w:hAnsi="游ゴシック" w:eastAsia="游ゴシック"/>
                <w:sz w:val="17"/>
              </w:rPr>
              <w:t>政令改正済み（令和7年11月28日厚生労働省老健局長通知）。条例改正の手続を要する</w:t>
            </w:r>
          </w:p>
        </w:tc>
      </w:tr>
      <w:tr>
        <w:trPr>
          <w:cantSplit/>
        </w:trPr>
        <w:tc>
          <w:tcPr>
            <w:tcW w:type="dxa" w:w="1972"/>
          </w:tcPr>
          <w:p>
            <w:r/>
            <w:r>
              <w:rPr>
                <w:rFonts w:ascii="游ゴシック" w:hAnsi="游ゴシック" w:eastAsia="游ゴシック"/>
                <w:sz w:val="17"/>
              </w:rPr>
              <w:t>高額介護（予防）サービス費</w:t>
            </w:r>
          </w:p>
        </w:tc>
        <w:tc>
          <w:tcPr>
            <w:tcW w:type="dxa" w:w="5040"/>
          </w:tcPr>
          <w:p>
            <w:r/>
            <w:r>
              <w:rPr>
                <w:rFonts w:ascii="游ゴシック" w:hAnsi="游ゴシック" w:eastAsia="游ゴシック"/>
                <w:sz w:val="17"/>
              </w:rPr>
              <w:t>年金収入等80.9万円を基準としている区分について、保険料段階と同様の見直しを行う。</w:t>
            </w:r>
          </w:p>
        </w:tc>
        <w:tc>
          <w:tcPr>
            <w:tcW w:type="dxa" w:w="2739"/>
          </w:tcPr>
          <w:p>
            <w:r/>
            <w:r>
              <w:rPr>
                <w:rFonts w:ascii="游ゴシック" w:hAnsi="游ゴシック" w:eastAsia="游ゴシック"/>
                <w:sz w:val="17"/>
              </w:rPr>
              <w:t>令和8年8月施行の予定</w:t>
            </w:r>
          </w:p>
        </w:tc>
      </w:tr>
      <w:tr>
        <w:trPr>
          <w:cantSplit/>
        </w:trPr>
        <w:tc>
          <w:tcPr>
            <w:tcW w:type="dxa" w:w="1972"/>
          </w:tcPr>
          <w:p>
            <w:r/>
            <w:r>
              <w:rPr>
                <w:rFonts w:ascii="游ゴシック" w:hAnsi="游ゴシック" w:eastAsia="游ゴシック"/>
                <w:sz w:val="17"/>
              </w:rPr>
              <w:t>補足給付（食費）</w:t>
            </w:r>
          </w:p>
        </w:tc>
        <w:tc>
          <w:tcPr>
            <w:tcW w:type="dxa" w:w="5040"/>
          </w:tcPr>
          <w:p>
            <w:r/>
            <w:r>
              <w:rPr>
                <w:rFonts w:ascii="游ゴシック" w:hAnsi="游ゴシック" w:eastAsia="游ゴシック"/>
                <w:sz w:val="17"/>
              </w:rPr>
              <w:t>食事の基準費用額を1日当たり100円引き上げるとともに、食費の負担限度額を第3段階①は1日当たり30円、第3段階②は1日当たり60円引き上げる。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補足給付（居住費）</w:t>
            </w:r>
          </w:p>
        </w:tc>
        <w:tc>
          <w:tcPr>
            <w:tcW w:type="dxa" w:w="5040"/>
          </w:tcPr>
          <w:p>
            <w:r/>
            <w:r>
              <w:rPr>
                <w:rFonts w:ascii="游ゴシック" w:hAnsi="游ゴシック" w:eastAsia="游ゴシック"/>
                <w:sz w:val="17"/>
              </w:rPr>
              <w:t>室料を徴収しない介護老人保健施設・介護医療院等を除き、第3段階②（年金収入等120万円超）の居住費の負担限度額を1日当たり100円引き上げる。負担限度額認定証の様式も改正される。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補足給付（所得区分の細分化）</w:t>
            </w:r>
          </w:p>
        </w:tc>
        <w:tc>
          <w:tcPr>
            <w:tcW w:type="dxa" w:w="5040"/>
          </w:tcPr>
          <w:p>
            <w:r/>
            <w:r>
              <w:rPr>
                <w:rFonts w:ascii="游ゴシック" w:hAnsi="游ゴシック" w:eastAsia="游ゴシック"/>
                <w:sz w:val="17"/>
              </w:rPr>
              <w:t>所得段階の設定を精緻化し、所得段階間の均衡を図る観点から、第3段階①及び第3段階②をそれぞれ2つに分け、第3段階①ア及びイ並びに第3段階②ア及びイとしたうえで、第3段階①イ（年金収入等100万円超120万円以下）及び第3段階②イ（年金収入等140万円超）の負担限度額を引き上げる。</w:t>
            </w:r>
          </w:p>
        </w:tc>
        <w:tc>
          <w:tcPr>
            <w:tcW w:type="dxa" w:w="2739"/>
          </w:tcPr>
          <w:p>
            <w:r/>
            <w:r>
              <w:rPr>
                <w:rFonts w:ascii="游ゴシック" w:hAnsi="游ゴシック" w:eastAsia="游ゴシック"/>
                <w:sz w:val="17"/>
              </w:rPr>
              <w:t>令和9年度から。第10期計画期間（令和9年度から）からの実施を基本とすることとされている</w:t>
            </w:r>
          </w:p>
        </w:tc>
      </w:tr>
      <w:tr>
        <w:trPr>
          <w:cantSplit/>
        </w:trPr>
        <w:tc>
          <w:tcPr>
            <w:tcW w:type="dxa" w:w="1972"/>
          </w:tcPr>
          <w:p>
            <w:r/>
            <w:r>
              <w:rPr>
                <w:rFonts w:ascii="游ゴシック" w:hAnsi="游ゴシック" w:eastAsia="游ゴシック"/>
                <w:sz w:val="17"/>
              </w:rPr>
              <w:t>一定以上所得基準</w:t>
            </w:r>
          </w:p>
        </w:tc>
        <w:tc>
          <w:tcPr>
            <w:tcW w:type="dxa" w:w="5040"/>
          </w:tcPr>
          <w:p>
            <w:r/>
            <w:r>
              <w:rPr>
                <w:rFonts w:ascii="游ゴシック" w:hAnsi="游ゴシック" w:eastAsia="游ゴシック"/>
                <w:sz w:val="17"/>
              </w:rPr>
              <w:t>利用者負担の一定以上所得の判断基準の在り方について、社会保障審議会介護保険部会で継続して検討する。見直しの内容及び施行の時期は定まっていない。</w:t>
            </w:r>
          </w:p>
        </w:tc>
        <w:tc>
          <w:tcPr>
            <w:tcW w:type="dxa" w:w="2739"/>
          </w:tcPr>
          <w:p>
            <w:r/>
            <w:r>
              <w:rPr>
                <w:rFonts w:ascii="游ゴシック" w:hAnsi="游ゴシック" w:eastAsia="游ゴシック"/>
                <w:sz w:val="17"/>
              </w:rPr>
              <w:t>第10期計画期間の開始（令和9年度）の前までに結論。施行の時期は未定</w:t>
            </w:r>
          </w:p>
        </w:tc>
      </w:tr>
    </w:tbl>
    <w:p>
      <w:pPr>
        <w:spacing w:after="80" w:line="269" w:lineRule="auto"/>
      </w:pPr>
      <w:r>
        <w:rPr>
          <w:rFonts w:ascii="游ゴシック" w:hAnsi="游ゴシック" w:eastAsia="游ゴシック"/>
          <w:b w:val="0"/>
          <w:sz w:val="20"/>
        </w:rPr>
        <w:t>補足給付の所得区分の細分化は、令和9年度から行われます。対象となる方に必要な負担軽減が確実に届くよう、認定証の更新の時期に合わせた個別の案内を行うとともに、未申請の把握と申請の勧奨を構成3町と連携して行います。負担限度額、対象者数及び影響額は［要確認］として残し、省令・告示等が示された時点で補います。</w:t>
      </w:r>
    </w:p>
    <w:p>
      <w:pPr>
        <w:spacing w:after="80" w:line="269" w:lineRule="auto"/>
      </w:pPr>
      <w:r>
        <w:rPr>
          <w:rFonts w:ascii="游ゴシック" w:hAnsi="游ゴシック" w:eastAsia="游ゴシック"/>
          <w:b w:val="0"/>
          <w:sz w:val="20"/>
        </w:rPr>
        <w:t>一定以上所得基準の見直しについては、第10期計画期間の開始前までに結論を得ることとされているにとどまり、見直しの内容及び施行の時期は示されていません。本計画は現行の基準により給付費及び保険料を算定しており、見直しを織り込んでいません。基準及び施行の時期が示された時点で、対象となる方の数を確認したうえで第3節の給付費及び第6節の保険料収納必要額を再算定します［要確認］。多床室の室料負担、高額介護サービス費の在り方及び金融所得・金融資産の反映の在り方も引き続き検討することとされており（第1章第9節5）、いずれも結論が示された時点で影響を確認します。多床室の室料負担については、社会保障審議会介護給付費分科会においても、施設の機能及び利用の実態と負担の公平性の観点から検討されています（第1章第9節6）。令和7年8月から、その他型及び療養型の介護老人保健施設並びにⅡ型の介護医療院について室料負担を求めることとされており、令和6年度介護報酬改定において導入が見送られた類型についても見直しを行うことが考えられるとの指摘がされています。区域内には介護老人保健施設3施設（定員240人）及び介護医療院があり、類型ごとの対象は確認できていません［要確認］。室料負担は利用者負担であり、給付費とは別のものとして扱います。</w:t>
      </w:r>
    </w:p>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spacing w:before="240" w:after="100"/>
      </w:pPr>
      <w:bookmarkStart w:id="143" w:name="_Toc10_043"/>
      <w:r>
        <w:rPr>
          <w:rFonts w:ascii="游ゴシック" w:hAnsi="游ゴシック" w:eastAsia="游ゴシック"/>
          <w:sz w:val="30"/>
        </w:rPr>
        <w:t>資料編</w:t>
      </w:r>
      <w:bookmarkEnd w:id="143"/>
    </w:p>
    <w:p>
      <w:pPr>
        <w:pStyle w:val="Heading2"/>
        <w:spacing w:before="180" w:after="100"/>
      </w:pPr>
      <w:bookmarkStart w:id="144" w:name="_Toc10_044"/>
      <w:r>
        <w:rPr>
          <w:rFonts w:ascii="游ゴシック" w:hAnsi="游ゴシック" w:eastAsia="游ゴシック"/>
          <w:sz w:val="25"/>
        </w:rPr>
        <w:t>資料1 代表KPI16項目の定義</w:t>
      </w:r>
      <w:bookmarkEnd w:id="144"/>
    </w:p>
    <w:p>
      <w:pPr>
        <w:spacing w:after="80" w:line="269" w:lineRule="auto"/>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line="269" w:lineRule="auto"/>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57"/>
            <w:shd w:val="clear" w:color="auto" w:fill="DCE6F1"/>
          </w:tcPr>
          <w:p>
            <w:pPr>
              <w:spacing w:before="0"/>
              <w:jc w:val="center"/>
            </w:pPr>
            <w:r/>
            <w:r>
              <w:rPr>
                <w:rFonts w:ascii="游ゴシック" w:hAnsi="游ゴシック" w:eastAsia="游ゴシック"/>
                <w:b/>
                <w:sz w:val="17"/>
              </w:rPr>
              <w:t>ID</w:t>
            </w:r>
          </w:p>
        </w:tc>
        <w:tc>
          <w:tcPr>
            <w:tcW w:type="dxa" w:w="1863"/>
            <w:shd w:val="clear" w:color="auto" w:fill="DCE6F1"/>
          </w:tcPr>
          <w:p>
            <w:pPr>
              <w:jc w:val="center"/>
            </w:pPr>
            <w:r/>
            <w:r>
              <w:rPr>
                <w:rFonts w:ascii="游ゴシック" w:hAnsi="游ゴシック" w:eastAsia="游ゴシック"/>
                <w:b/>
                <w:sz w:val="17"/>
              </w:rPr>
              <w:t>指標</w:t>
            </w:r>
          </w:p>
        </w:tc>
        <w:tc>
          <w:tcPr>
            <w:tcW w:type="dxa" w:w="1753"/>
            <w:shd w:val="clear" w:color="auto" w:fill="DCE6F1"/>
          </w:tcPr>
          <w:p>
            <w:pPr>
              <w:jc w:val="center"/>
            </w:pPr>
            <w:r/>
            <w:r>
              <w:rPr>
                <w:rFonts w:ascii="游ゴシック" w:hAnsi="游ゴシック" w:eastAsia="游ゴシック"/>
                <w:b/>
                <w:sz w:val="17"/>
              </w:rPr>
              <w:t>定義</w:t>
            </w:r>
          </w:p>
        </w:tc>
        <w:tc>
          <w:tcPr>
            <w:tcW w:type="dxa" w:w="2520"/>
            <w:shd w:val="clear" w:color="auto" w:fill="DCE6F1"/>
          </w:tcPr>
          <w:p>
            <w:pPr>
              <w:jc w:val="center"/>
            </w:pPr>
            <w:r/>
            <w:r>
              <w:rPr>
                <w:rFonts w:ascii="游ゴシック" w:hAnsi="游ゴシック" w:eastAsia="游ゴシック"/>
                <w:b/>
                <w:sz w:val="17"/>
              </w:rPr>
              <w:t>算式・データ源</w:t>
            </w:r>
          </w:p>
        </w:tc>
        <w:tc>
          <w:tcPr>
            <w:tcW w:type="dxa" w:w="1424"/>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計画への接続</w:t>
            </w:r>
          </w:p>
        </w:tc>
      </w:tr>
      <w:tr>
        <w:trPr>
          <w:cantSplit/>
        </w:trP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し、全国・北海道と直接比較できる。見える化B5-aの調整済み認定率は【注目する地域のみ】と【他地域と比較】の2系列があり他地域と比較できないため採らない</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rPr>
          <w:cantSplit/>
        </w:trP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rPr>
          <w:cantSplit/>
        </w:trP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19.1％（R7・n=4,719）</w:t>
            </w:r>
          </w:p>
        </w:tc>
        <w:tc>
          <w:tcPr>
            <w:tcW w:type="dxa" w:w="1534"/>
          </w:tcPr>
          <w:p>
            <w:r/>
            <w:r>
              <w:rPr>
                <w:rFonts w:ascii="游ゴシック" w:hAnsi="游ゴシック" w:eastAsia="游ゴシック"/>
                <w:sz w:val="17"/>
              </w:rPr>
              <w:t>介護予防、地区差改善</w:t>
            </w:r>
          </w:p>
        </w:tc>
      </w:tr>
      <w:tr>
        <w:trPr>
          <w:cantSplit/>
        </w:trP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36.0％（R7・6区分合成）／通いの場はニーズ調査8.8％・総合事業ベース3.53％（R6）</w:t>
            </w:r>
          </w:p>
        </w:tc>
        <w:tc>
          <w:tcPr>
            <w:tcW w:type="dxa" w:w="1534"/>
          </w:tcPr>
          <w:p>
            <w:r/>
            <w:r>
              <w:rPr>
                <w:rFonts w:ascii="游ゴシック" w:hAnsi="游ゴシック" w:eastAsia="游ゴシック"/>
                <w:sz w:val="17"/>
              </w:rPr>
              <w:t>社会参加、移動・生活支援</w:t>
            </w:r>
          </w:p>
        </w:tc>
      </w:tr>
      <w:tr>
        <w:trPr>
          <w:cantSplit/>
        </w:trP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現状の支援では在宅生活の維持が困難とされた者の割合</w:t>
            </w:r>
          </w:p>
        </w:tc>
        <w:tc>
          <w:tcPr>
            <w:tcW w:type="dxa" w:w="2520"/>
          </w:tcPr>
          <w:p>
            <w:r/>
            <w:r>
              <w:rPr>
                <w:rFonts w:ascii="游ゴシック" w:hAnsi="游ゴシック" w:eastAsia="游ゴシック"/>
                <w:sz w:val="17"/>
              </w:rPr>
              <w:t>困難とされた票÷当該設問の有効回答票×100／在宅生活改善調査（在宅生活の維持の見通し）</w:t>
            </w:r>
          </w:p>
        </w:tc>
        <w:tc>
          <w:tcPr>
            <w:tcW w:type="dxa" w:w="1424"/>
          </w:tcPr>
          <w:p>
            <w:r/>
            <w:r>
              <w:rPr>
                <w:rFonts w:ascii="游ゴシック" w:hAnsi="游ゴシック" w:eastAsia="游ゴシック"/>
                <w:sz w:val="17"/>
              </w:rPr>
              <w:t>73.5％（R7・有効回答98票中72票）</w:t>
            </w:r>
          </w:p>
        </w:tc>
        <w:tc>
          <w:tcPr>
            <w:tcW w:type="dxa" w:w="1534"/>
          </w:tcPr>
          <w:p>
            <w:r/>
            <w:r>
              <w:rPr>
                <w:rFonts w:ascii="游ゴシック" w:hAnsi="游ゴシック" w:eastAsia="游ゴシック"/>
                <w:sz w:val="17"/>
              </w:rPr>
              <w:t>在宅生活、未充足・住まい</w:t>
            </w:r>
          </w:p>
        </w:tc>
      </w:tr>
      <w:tr>
        <w:trPr>
          <w:cantSplit/>
        </w:trP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主に介護をしている者の割合（改称）</w:t>
            </w:r>
          </w:p>
        </w:tc>
        <w:tc>
          <w:tcPr>
            <w:tcW w:type="dxa" w:w="1753"/>
          </w:tcPr>
          <w:p>
            <w:r/>
            <w:r>
              <w:rPr>
                <w:rFonts w:ascii="游ゴシック" w:hAnsi="游ゴシック" w:eastAsia="游ゴシック"/>
                <w:sz w:val="17"/>
              </w:rPr>
              <w:t>家族等の介護をしている者のうち主な介護者である者の割合</w:t>
            </w:r>
          </w:p>
        </w:tc>
        <w:tc>
          <w:tcPr>
            <w:tcW w:type="dxa" w:w="2520"/>
          </w:tcPr>
          <w:p>
            <w:r/>
            <w:r>
              <w:rPr>
                <w:rFonts w:ascii="游ゴシック" w:hAnsi="游ゴシック" w:eastAsia="游ゴシック"/>
                <w:sz w:val="17"/>
              </w:rPr>
              <w:t>該当者÷当該設問の有効回答者×100／健康とくらしの調査 サブコア1【問17】4）</w:t>
            </w:r>
          </w:p>
        </w:tc>
        <w:tc>
          <w:tcPr>
            <w:tcW w:type="dxa" w:w="1424"/>
          </w:tcPr>
          <w:p>
            <w:r/>
            <w:r>
              <w:rPr>
                <w:rFonts w:ascii="游ゴシック" w:hAnsi="游ゴシック" w:eastAsia="游ゴシック"/>
                <w:sz w:val="17"/>
              </w:rPr>
              <w:t>3.4％（R7・n=2,217）</w:t>
            </w:r>
          </w:p>
        </w:tc>
        <w:tc>
          <w:tcPr>
            <w:tcW w:type="dxa" w:w="1534"/>
          </w:tcPr>
          <w:p>
            <w:r/>
            <w:r>
              <w:rPr>
                <w:rFonts w:ascii="游ゴシック" w:hAnsi="游ゴシック" w:eastAsia="游ゴシック"/>
                <w:sz w:val="17"/>
              </w:rPr>
              <w:t>家族介護、レスパイト</w:t>
            </w:r>
          </w:p>
        </w:tc>
      </w:tr>
      <w:tr>
        <w:trPr>
          <w:cantSplit/>
        </w:trP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医療・介護連携</w:t>
            </w:r>
          </w:p>
        </w:tc>
      </w:tr>
      <w:tr>
        <w:trPr>
          <w:cantSplit/>
        </w:trP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認知症、相談支援</w:t>
            </w:r>
          </w:p>
        </w:tc>
      </w:tr>
      <w:tr>
        <w:trPr>
          <w:cantSplit/>
        </w:trP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区域内で提供できないサービスが必要と判断された利用者の割合（改称）</w:t>
            </w:r>
          </w:p>
        </w:tc>
        <w:tc>
          <w:tcPr>
            <w:tcW w:type="dxa" w:w="1753"/>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2520"/>
          </w:tcPr>
          <w:p>
            <w:r/>
            <w:r>
              <w:rPr>
                <w:rFonts w:ascii="游ゴシック" w:hAnsi="游ゴシック" w:eastAsia="游ゴシック"/>
                <w:sz w:val="17"/>
              </w:rPr>
              <w:t>該当票÷当該設問の有効回答票×100／在宅生活改善調査（より適切と思われるサービス）</w:t>
            </w:r>
          </w:p>
        </w:tc>
        <w:tc>
          <w:tcPr>
            <w:tcW w:type="dxa" w:w="1424"/>
          </w:tcPr>
          <w:p>
            <w:r/>
            <w:r>
              <w:rPr>
                <w:rFonts w:ascii="游ゴシック" w:hAnsi="游ゴシック" w:eastAsia="游ゴシック"/>
                <w:sz w:val="17"/>
              </w:rPr>
              <w:t>20.2％（R7・99票中20票）</w:t>
            </w:r>
          </w:p>
        </w:tc>
        <w:tc>
          <w:tcPr>
            <w:tcW w:type="dxa" w:w="1534"/>
          </w:tcPr>
          <w:p>
            <w:r/>
            <w:r>
              <w:rPr>
                <w:rFonts w:ascii="游ゴシック" w:hAnsi="游ゴシック" w:eastAsia="游ゴシック"/>
                <w:sz w:val="17"/>
              </w:rPr>
              <w:t>サービス供給・代替提供</w:t>
            </w:r>
          </w:p>
        </w:tc>
      </w:tr>
      <w:tr>
        <w:trPr>
          <w:cantSplit/>
        </w:trP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職種別従事者数の推移（認定者1万対）</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rPr>
          <w:cantSplit/>
        </w:trP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計画の標準給付費見込額に対する実績の保険給付費の差</w:t>
            </w:r>
          </w:p>
        </w:tc>
        <w:tc>
          <w:tcPr>
            <w:tcW w:type="dxa" w:w="2520"/>
          </w:tcPr>
          <w:p>
            <w:r/>
            <w:r>
              <w:rPr>
                <w:rFonts w:ascii="游ゴシック" w:hAnsi="游ゴシック" w:eastAsia="游ゴシック"/>
                <w:sz w:val="17"/>
              </w:rPr>
              <w:t>（実績の保険給付費－計画の標準給付費見込額）÷計画の標準給付費見込額×100／介護保険特別会計決算（款2 保険給付費）・各期計画の標準給付費見込額</w:t>
            </w:r>
          </w:p>
        </w:tc>
        <w:tc>
          <w:tcPr>
            <w:tcW w:type="dxa" w:w="1424"/>
          </w:tcPr>
          <w:p>
            <w:r/>
            <w:r>
              <w:rPr>
                <w:rFonts w:ascii="游ゴシック" w:hAnsi="游ゴシック" w:eastAsia="游ゴシック"/>
                <w:sz w:val="17"/>
              </w:rPr>
              <w:t>R6 ▲4.61％（標準給付費見込額ベース）／R7は決算の確定後に算定</w:t>
            </w:r>
          </w:p>
        </w:tc>
        <w:tc>
          <w:tcPr>
            <w:tcW w:type="dxa" w:w="1534"/>
          </w:tcPr>
          <w:p>
            <w:r/>
            <w:r>
              <w:rPr>
                <w:rFonts w:ascii="游ゴシック" w:hAnsi="游ゴシック" w:eastAsia="游ゴシック"/>
                <w:sz w:val="17"/>
              </w:rPr>
              <w:t>給付・保険料・財政</w:t>
            </w:r>
          </w:p>
        </w:tc>
      </w:tr>
      <w:tr>
        <w:trPr>
          <w:cantSplit/>
        </w:trP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業務継続計画の策定を確認した地域密着型サービス事業所の割合（改称）</w:t>
            </w:r>
          </w:p>
        </w:tc>
        <w:tc>
          <w:tcPr>
            <w:tcW w:type="dxa" w:w="1753"/>
          </w:tcPr>
          <w:p>
            <w:r/>
            <w:r>
              <w:rPr>
                <w:rFonts w:ascii="游ゴシック" w:hAnsi="游ゴシック" w:eastAsia="游ゴシック"/>
                <w:sz w:val="17"/>
              </w:rPr>
              <w:t>指定、指定の更新又は運営指導の際に、感染症又は災害の発生時に必要なサービスを継続するための業務継続計画の策定を確認した地域密着型サービス事業所の割合</w:t>
            </w:r>
          </w:p>
        </w:tc>
        <w:tc>
          <w:tcPr>
            <w:tcW w:type="dxa" w:w="2520"/>
          </w:tcPr>
          <w:p>
            <w:r/>
            <w:r>
              <w:rPr>
                <w:rFonts w:ascii="游ゴシック" w:hAnsi="游ゴシック" w:eastAsia="游ゴシック"/>
                <w:sz w:val="17"/>
              </w:rPr>
              <w:t>策定を確認した事業所÷区域内の地域密着型サービス事業所（17事業所）×100／広域連合の指定・運営指導の記録</w:t>
            </w:r>
          </w:p>
        </w:tc>
        <w:tc>
          <w:tcPr>
            <w:tcW w:type="dxa" w:w="1424"/>
          </w:tcPr>
          <w:p>
            <w:r/>
            <w:r>
              <w:rPr>
                <w:rFonts w:ascii="游ゴシック" w:hAnsi="游ゴシック" w:eastAsia="游ゴシック"/>
                <w:sz w:val="17"/>
              </w:rPr>
              <w:t>第10期に算定</w:t>
            </w:r>
          </w:p>
        </w:tc>
        <w:tc>
          <w:tcPr>
            <w:tcW w:type="dxa" w:w="1534"/>
          </w:tcPr>
          <w:p>
            <w:r/>
            <w:r>
              <w:rPr>
                <w:rFonts w:ascii="游ゴシック" w:hAnsi="游ゴシック" w:eastAsia="游ゴシック"/>
                <w:sz w:val="17"/>
              </w:rPr>
              <w:t>BCP、相互応援</w:t>
            </w:r>
          </w:p>
        </w:tc>
      </w:tr>
    </w:tbl>
    <w:p>
      <w:pPr>
        <w:spacing w:after="160" w:line="269" w:lineRule="auto"/>
      </w:pPr>
      <w:r>
        <w:rPr>
          <w:rFonts w:ascii="游ゴシック" w:hAnsi="游ゴシック" w:eastAsia="游ゴシック"/>
          <w:b w:val="0"/>
          <w:sz w:val="17"/>
        </w:rPr>
        <w:t>本表の名称・定義・算式・基準値は、第4章第3節の一覧及び各基本目標の達成目標と同一のものです。H07・H08・H12・H16の4項目は、当初の定義では算定できなかったため実施済みの調査及び給付実績による代理指標に振り替えています（第4章第3節）。改称の前後で系列は接続しません。</w:t>
      </w:r>
    </w:p>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43"/>
            <w:shd w:val="clear" w:color="auto" w:fill="DCE6F1"/>
          </w:tcPr>
          <w:p>
            <w:pPr>
              <w:spacing w:before="0"/>
              <w:jc w:val="center"/>
            </w:pPr>
            <w:r/>
            <w:r>
              <w:rPr>
                <w:rFonts w:ascii="游ゴシック" w:hAnsi="游ゴシック" w:eastAsia="游ゴシック"/>
                <w:b/>
                <w:sz w:val="17"/>
              </w:rPr>
              <w:t>ID</w:t>
            </w:r>
          </w:p>
        </w:tc>
        <w:tc>
          <w:tcPr>
            <w:tcW w:type="dxa" w:w="1822"/>
            <w:shd w:val="clear" w:color="auto" w:fill="DCE6F1"/>
          </w:tcPr>
          <w:p>
            <w:pPr>
              <w:jc w:val="center"/>
            </w:pPr>
            <w:r/>
            <w:r>
              <w:rPr>
                <w:rFonts w:ascii="游ゴシック" w:hAnsi="游ゴシック" w:eastAsia="游ゴシック"/>
                <w:b/>
                <w:sz w:val="17"/>
              </w:rPr>
              <w:t>指標</w:t>
            </w:r>
          </w:p>
        </w:tc>
        <w:tc>
          <w:tcPr>
            <w:tcW w:type="dxa" w:w="1929"/>
            <w:shd w:val="clear" w:color="auto" w:fill="DCE6F1"/>
          </w:tcPr>
          <w:p>
            <w:pPr>
              <w:jc w:val="center"/>
            </w:pPr>
            <w:r/>
            <w:r>
              <w:rPr>
                <w:rFonts w:ascii="游ゴシック" w:hAnsi="游ゴシック" w:eastAsia="游ゴシック"/>
                <w:b/>
                <w:sz w:val="17"/>
              </w:rPr>
              <w:t>定義</w:t>
            </w:r>
          </w:p>
        </w:tc>
        <w:tc>
          <w:tcPr>
            <w:tcW w:type="dxa" w:w="2679"/>
            <w:shd w:val="clear" w:color="auto" w:fill="DCE6F1"/>
          </w:tcPr>
          <w:p>
            <w:pPr>
              <w:jc w:val="center"/>
            </w:pPr>
            <w:r/>
            <w:r>
              <w:rPr>
                <w:rFonts w:ascii="游ゴシック" w:hAnsi="游ゴシック" w:eastAsia="游ゴシック"/>
                <w:b/>
                <w:sz w:val="17"/>
              </w:rPr>
              <w:t>算式・データ源</w:t>
            </w:r>
          </w:p>
        </w:tc>
        <w:tc>
          <w:tcPr>
            <w:tcW w:type="dxa" w:w="1286"/>
            <w:shd w:val="clear" w:color="auto" w:fill="DCE6F1"/>
          </w:tcPr>
          <w:p>
            <w:pPr>
              <w:jc w:val="center"/>
            </w:pPr>
            <w:r/>
            <w:r>
              <w:rPr>
                <w:rFonts w:ascii="游ゴシック" w:hAnsi="游ゴシック" w:eastAsia="游ゴシック"/>
                <w:b/>
                <w:sz w:val="17"/>
              </w:rPr>
              <w:t>基準値</w:t>
            </w:r>
          </w:p>
        </w:tc>
        <w:tc>
          <w:tcPr>
            <w:tcW w:type="dxa" w:w="1393"/>
            <w:shd w:val="clear" w:color="auto" w:fill="DCE6F1"/>
          </w:tcPr>
          <w:p>
            <w:pPr>
              <w:jc w:val="center"/>
            </w:pPr>
            <w:r/>
            <w:r>
              <w:rPr>
                <w:rFonts w:ascii="游ゴシック" w:hAnsi="游ゴシック" w:eastAsia="游ゴシック"/>
                <w:b/>
                <w:sz w:val="17"/>
              </w:rPr>
              <w:t>計画への接続</w:t>
            </w:r>
          </w:p>
        </w:tc>
      </w:tr>
      <w:tr>
        <w:trPr>
          <w:cantSplit/>
        </w:trP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75歳以上新規認定率（補完）</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新規認定者÷前年度末75歳以上未認定者×100／介護リームス（認定台帳）</w:t>
            </w:r>
          </w:p>
        </w:tc>
        <w:tc>
          <w:tcPr>
            <w:tcW w:type="dxa" w:w="1286"/>
          </w:tcPr>
          <w:p>
            <w:r/>
            <w:r>
              <w:rPr>
                <w:rFonts w:ascii="游ゴシック" w:hAnsi="游ゴシック" w:eastAsia="游ゴシック"/>
                <w:sz w:val="17"/>
              </w:rPr>
              <w:t>未算定（年齢階級別及び過年度分の抽出が可能となった時点で算定）</w:t>
            </w:r>
          </w:p>
        </w:tc>
        <w:tc>
          <w:tcPr>
            <w:tcW w:type="dxa" w:w="1393"/>
          </w:tcPr>
          <w:p>
            <w:r/>
            <w:r>
              <w:rPr>
                <w:rFonts w:ascii="游ゴシック" w:hAnsi="游ゴシック" w:eastAsia="游ゴシック"/>
                <w:sz w:val="17"/>
              </w:rPr>
              <w:t>H01・H02の要因分析</w:t>
            </w:r>
          </w:p>
        </w:tc>
      </w:tr>
      <w:tr>
        <w:trPr>
          <w:cantSplit/>
        </w:trP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世話をしてくれる人がいない者の割合（補完・改称）</w:t>
            </w:r>
          </w:p>
        </w:tc>
        <w:tc>
          <w:tcPr>
            <w:tcW w:type="dxa" w:w="1929"/>
          </w:tcPr>
          <w:p>
            <w:r/>
            <w:r>
              <w:rPr>
                <w:rFonts w:ascii="游ゴシック" w:hAnsi="游ゴシック" w:eastAsia="游ゴシック"/>
                <w:sz w:val="17"/>
              </w:rPr>
              <w:t>日常生活の世話をしてくれる人がいないと回答した者の割合</w:t>
            </w:r>
          </w:p>
        </w:tc>
        <w:tc>
          <w:tcPr>
            <w:tcW w:type="dxa" w:w="2679"/>
          </w:tcPr>
          <w:p>
            <w:r/>
            <w:r>
              <w:rPr>
                <w:rFonts w:ascii="游ゴシック" w:hAnsi="游ゴシック" w:eastAsia="游ゴシック"/>
                <w:sz w:val="17"/>
              </w:rPr>
              <w:t>該当者÷当該設問の有効回答者×100／健康とくらしの調査【大雪－問4】1）</w:t>
            </w:r>
          </w:p>
        </w:tc>
        <w:tc>
          <w:tcPr>
            <w:tcW w:type="dxa" w:w="1286"/>
          </w:tcPr>
          <w:p>
            <w:r/>
            <w:r>
              <w:rPr>
                <w:rFonts w:ascii="游ゴシック" w:hAnsi="游ゴシック" w:eastAsia="游ゴシック"/>
                <w:sz w:val="17"/>
              </w:rPr>
              <w:t>8.7％（R7・n=4,599）</w:t>
            </w:r>
          </w:p>
        </w:tc>
        <w:tc>
          <w:tcPr>
            <w:tcW w:type="dxa" w:w="1393"/>
          </w:tcPr>
          <w:p>
            <w:r/>
            <w:r>
              <w:rPr>
                <w:rFonts w:ascii="游ゴシック" w:hAnsi="游ゴシック" w:eastAsia="游ゴシック"/>
                <w:sz w:val="17"/>
              </w:rPr>
              <w:t>H07の要因分析</w:t>
            </w:r>
          </w:p>
        </w:tc>
      </w:tr>
      <w:tr>
        <w:trPr>
          <w:cantSplit/>
        </w:trP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供給不足を理由とする住替え割合（補完）</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rPr>
          <w:cantSplit/>
        </w:trP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採用率と離職率の差（補完）</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未算定（各年9月30日現在の在籍者数を確認後に算定）</w:t>
            </w:r>
          </w:p>
        </w:tc>
        <w:tc>
          <w:tcPr>
            <w:tcW w:type="dxa" w:w="1393"/>
          </w:tcPr>
          <w:p>
            <w:r/>
            <w:r>
              <w:rPr>
                <w:rFonts w:ascii="游ゴシック" w:hAnsi="游ゴシック" w:eastAsia="游ゴシック"/>
                <w:sz w:val="17"/>
              </w:rPr>
              <w:t>H13の人材定着分析</w:t>
            </w:r>
          </w:p>
        </w:tc>
      </w:tr>
    </w:tbl>
    <w:p>
      <w:pPr>
        <w:pStyle w:val="Heading2"/>
        <w:spacing w:before="180" w:after="100"/>
      </w:pPr>
      <w:bookmarkStart w:id="145" w:name="_Toc10_045"/>
      <w:r>
        <w:rPr>
          <w:rFonts w:ascii="游ゴシック" w:hAnsi="游ゴシック" w:eastAsia="游ゴシック"/>
          <w:sz w:val="25"/>
        </w:rPr>
        <w:t>資料2 構成3町との役割分担・共通指標</w:t>
      </w:r>
      <w:bookmarkEnd w:id="145"/>
    </w:p>
    <w:p>
      <w:pPr>
        <w:spacing w:after="80" w:line="269" w:lineRule="auto"/>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領域</w:t>
            </w:r>
          </w:p>
        </w:tc>
        <w:tc>
          <w:tcPr>
            <w:tcW w:type="dxa" w:w="3287"/>
            <w:shd w:val="clear" w:color="auto" w:fill="DCE6F1"/>
          </w:tcPr>
          <w:p>
            <w:pPr>
              <w:jc w:val="center"/>
            </w:pPr>
            <w:r/>
            <w:r>
              <w:rPr>
                <w:rFonts w:ascii="游ゴシック" w:hAnsi="游ゴシック" w:eastAsia="游ゴシック"/>
                <w:b/>
                <w:sz w:val="17"/>
              </w:rPr>
              <w:t>大雪地区広域連合</w:t>
            </w:r>
          </w:p>
        </w:tc>
        <w:tc>
          <w:tcPr>
            <w:tcW w:type="dxa" w:w="3068"/>
            <w:shd w:val="clear" w:color="auto" w:fill="DCE6F1"/>
          </w:tcPr>
          <w:p>
            <w:pPr>
              <w:jc w:val="center"/>
            </w:pPr>
            <w:r/>
            <w:r>
              <w:rPr>
                <w:rFonts w:ascii="游ゴシック" w:hAnsi="游ゴシック" w:eastAsia="游ゴシック"/>
                <w:b/>
                <w:sz w:val="17"/>
              </w:rPr>
              <w:t>構成3町</w:t>
            </w:r>
          </w:p>
        </w:tc>
        <w:tc>
          <w:tcPr>
            <w:tcW w:type="dxa" w:w="1534"/>
            <w:shd w:val="clear" w:color="auto" w:fill="DCE6F1"/>
          </w:tcPr>
          <w:p>
            <w:pPr>
              <w:jc w:val="center"/>
            </w:pPr>
            <w:r/>
            <w:r>
              <w:rPr>
                <w:rFonts w:ascii="游ゴシック" w:hAnsi="游ゴシック" w:eastAsia="游ゴシック"/>
                <w:b/>
                <w:sz w:val="17"/>
              </w:rPr>
              <w:t>共通KPI</w:t>
            </w:r>
          </w:p>
        </w:tc>
      </w:tr>
      <w:tr>
        <w:trPr>
          <w:cantSplit/>
        </w:trP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rPr>
          <w:cantSplit/>
        </w:trP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rPr>
          <w:cantSplit/>
        </w:trP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rPr>
          <w:cantSplit/>
        </w:trP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rPr>
          <w:cantSplit/>
        </w:trP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rPr>
          <w:cantSplit/>
        </w:trP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rPr>
          <w:cantSplit/>
        </w:trP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本計画への位置づけ（第5章 基本目標2）、認知症総合支援事業、介護サービス・人材との接続、共通成果の集約</w:t>
            </w:r>
          </w:p>
        </w:tc>
        <w:tc>
          <w:tcPr>
            <w:tcW w:type="dxa" w:w="3068"/>
          </w:tcPr>
          <w:p>
            <w:r/>
            <w:r>
              <w:rPr>
                <w:rFonts w:ascii="游ゴシック" w:hAnsi="游ゴシック" w:eastAsia="游ゴシック"/>
                <w:sz w:val="17"/>
              </w:rPr>
              <w:t>市町村認知症施策推進計画の策定、相談、初期集中、本人参画、家族支援、見守り、サポーター養成等を実施</w:t>
            </w:r>
          </w:p>
        </w:tc>
        <w:tc>
          <w:tcPr>
            <w:tcW w:type="dxa" w:w="1534"/>
          </w:tcPr>
          <w:p>
            <w:r/>
            <w:r>
              <w:rPr>
                <w:rFonts w:ascii="游ゴシック" w:hAnsi="游ゴシック" w:eastAsia="游ゴシック"/>
                <w:sz w:val="17"/>
              </w:rPr>
              <w:t>H10</w:t>
            </w:r>
          </w:p>
        </w:tc>
      </w:tr>
      <w:tr>
        <w:trPr>
          <w:cantSplit/>
        </w:trP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rPr>
          <w:cantSplit/>
        </w:trP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rPr>
          <w:cantSplit/>
        </w:trP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rPr>
          <w:cantSplit/>
        </w:trP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rPr>
          <w:cantSplit/>
        </w:trP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rPr>
          <w:cantSplit/>
        </w:trP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205"/>
            <w:shd w:val="clear" w:color="auto" w:fill="DCE6F1"/>
          </w:tcPr>
          <w:p>
            <w:pPr>
              <w:spacing w:before="0"/>
              <w:jc w:val="center"/>
            </w:pPr>
            <w:r/>
            <w:r>
              <w:rPr>
                <w:rFonts w:ascii="游ゴシック" w:hAnsi="游ゴシック" w:eastAsia="游ゴシック"/>
                <w:b/>
                <w:sz w:val="17"/>
              </w:rPr>
              <w:t>町</w:t>
            </w:r>
          </w:p>
        </w:tc>
        <w:tc>
          <w:tcPr>
            <w:tcW w:type="dxa" w:w="3177"/>
            <w:shd w:val="clear" w:color="auto" w:fill="DCE6F1"/>
          </w:tcPr>
          <w:p>
            <w:pPr>
              <w:jc w:val="center"/>
            </w:pPr>
            <w:r/>
            <w:r>
              <w:rPr>
                <w:rFonts w:ascii="游ゴシック" w:hAnsi="游ゴシック" w:eastAsia="游ゴシック"/>
                <w:b/>
                <w:sz w:val="17"/>
              </w:rPr>
              <w:t>前回計画の重点</w:t>
            </w:r>
          </w:p>
        </w:tc>
        <w:tc>
          <w:tcPr>
            <w:tcW w:type="dxa" w:w="3616"/>
            <w:shd w:val="clear" w:color="auto" w:fill="DCE6F1"/>
          </w:tcPr>
          <w:p>
            <w:pPr>
              <w:jc w:val="center"/>
            </w:pPr>
            <w:r/>
            <w:r>
              <w:rPr>
                <w:rFonts w:ascii="游ゴシック" w:hAnsi="游ゴシック" w:eastAsia="游ゴシック"/>
                <w:b/>
                <w:sz w:val="17"/>
              </w:rPr>
              <w:t>特徴的な取組・資源</w:t>
            </w:r>
          </w:p>
        </w:tc>
        <w:tc>
          <w:tcPr>
            <w:tcW w:type="dxa" w:w="1753"/>
            <w:shd w:val="clear" w:color="auto" w:fill="DCE6F1"/>
          </w:tcPr>
          <w:p>
            <w:pPr>
              <w:jc w:val="center"/>
            </w:pPr>
            <w:r/>
            <w:r>
              <w:rPr>
                <w:rFonts w:ascii="游ゴシック" w:hAnsi="游ゴシック" w:eastAsia="游ゴシック"/>
                <w:b/>
                <w:sz w:val="17"/>
              </w:rPr>
              <w:t>主な接続KPI</w:t>
            </w:r>
          </w:p>
        </w:tc>
      </w:tr>
      <w:tr>
        <w:trPr>
          <w:cantSplit/>
        </w:trP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rPr>
          <w:cantSplit/>
        </w:trP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rPr>
          <w:cantSplit/>
        </w:trP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時期</w:t>
            </w:r>
          </w:p>
        </w:tc>
        <w:tc>
          <w:tcPr>
            <w:tcW w:type="dxa" w:w="1643"/>
            <w:shd w:val="clear" w:color="auto" w:fill="DCE6F1"/>
          </w:tcPr>
          <w:p>
            <w:pPr>
              <w:jc w:val="center"/>
            </w:pPr>
            <w:r/>
            <w:r>
              <w:rPr>
                <w:rFonts w:ascii="游ゴシック" w:hAnsi="游ゴシック" w:eastAsia="游ゴシック"/>
                <w:b/>
                <w:sz w:val="17"/>
              </w:rPr>
              <w:t>提出主体</w:t>
            </w:r>
          </w:p>
        </w:tc>
        <w:tc>
          <w:tcPr>
            <w:tcW w:type="dxa" w:w="2958"/>
            <w:shd w:val="clear" w:color="auto" w:fill="DCE6F1"/>
          </w:tcPr>
          <w:p>
            <w:pPr>
              <w:jc w:val="center"/>
            </w:pPr>
            <w:r/>
            <w:r>
              <w:rPr>
                <w:rFonts w:ascii="游ゴシック" w:hAnsi="游ゴシック" w:eastAsia="游ゴシック"/>
                <w:b/>
                <w:sz w:val="17"/>
              </w:rPr>
              <w:t>主な提出物</w:t>
            </w:r>
          </w:p>
        </w:tc>
        <w:tc>
          <w:tcPr>
            <w:tcW w:type="dxa" w:w="3506"/>
            <w:shd w:val="clear" w:color="auto" w:fill="DCE6F1"/>
          </w:tcPr>
          <w:p>
            <w:pPr>
              <w:jc w:val="center"/>
            </w:pPr>
            <w:r/>
            <w:r>
              <w:rPr>
                <w:rFonts w:ascii="游ゴシック" w:hAnsi="游ゴシック" w:eastAsia="游ゴシック"/>
                <w:b/>
                <w:sz w:val="17"/>
              </w:rPr>
              <w:t>広域連合の処理・成果</w:t>
            </w:r>
          </w:p>
        </w:tc>
      </w:tr>
      <w:tr>
        <w:trPr>
          <w:cantSplit/>
        </w:trP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rPr>
          <w:cantSplit/>
        </w:trP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rPr>
          <w:cantSplit/>
        </w:trP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rPr>
          <w:cantSplit/>
        </w:trP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rPr>
          <w:cantSplit/>
        </w:trP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rPr>
          <w:cantSplit/>
        </w:trP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rPr>
          <w:cantSplit/>
        </w:trP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7560"/>
            <w:shd w:val="clear" w:color="auto" w:fill="DCE6F1"/>
          </w:tcPr>
          <w:p>
            <w:pPr>
              <w:jc w:val="center"/>
            </w:pPr>
            <w:r/>
            <w:r>
              <w:rPr>
                <w:rFonts w:ascii="游ゴシック" w:hAnsi="游ゴシック" w:eastAsia="游ゴシック"/>
                <w:b/>
                <w:sz w:val="17"/>
              </w:rPr>
              <w:t>記載内容</w:t>
            </w:r>
          </w:p>
        </w:tc>
      </w:tr>
      <w:tr>
        <w:trPr>
          <w:cantSplit/>
        </w:trP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rPr>
          <w:cantSplit/>
        </w:trP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rPr>
          <w:cantSplit/>
        </w:trP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rPr>
          <w:cantSplit/>
        </w:trP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rPr>
          <w:cantSplit/>
        </w:trP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rPr>
          <w:cantSplit/>
        </w:trP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rPr>
          <w:cantSplit/>
        </w:trP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4602"/>
            <w:shd w:val="clear" w:color="auto" w:fill="DCE6F1"/>
          </w:tcPr>
          <w:p>
            <w:pPr>
              <w:jc w:val="center"/>
            </w:pPr>
            <w:r/>
            <w:r>
              <w:rPr>
                <w:rFonts w:ascii="游ゴシック" w:hAnsi="游ゴシック" w:eastAsia="游ゴシック"/>
                <w:b/>
                <w:sz w:val="17"/>
              </w:rPr>
              <w:t>判断基準</w:t>
            </w:r>
          </w:p>
        </w:tc>
        <w:tc>
          <w:tcPr>
            <w:tcW w:type="dxa" w:w="3725"/>
            <w:shd w:val="clear" w:color="auto" w:fill="DCE6F1"/>
          </w:tcPr>
          <w:p>
            <w:pPr>
              <w:jc w:val="center"/>
            </w:pPr>
            <w:r/>
            <w:r>
              <w:rPr>
                <w:rFonts w:ascii="游ゴシック" w:hAnsi="游ゴシック" w:eastAsia="游ゴシック"/>
                <w:b/>
                <w:sz w:val="17"/>
              </w:rPr>
              <w:t>対応</w:t>
            </w:r>
          </w:p>
        </w:tc>
      </w:tr>
      <w:tr>
        <w:trPr>
          <w:cantSplit/>
        </w:trP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rPr>
          <w:cantSplit/>
        </w:trP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rPr>
          <w:cantSplit/>
        </w:trP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rPr>
          <w:cantSplit/>
        </w:trP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180" w:after="10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系列</w:t>
            </w:r>
          </w:p>
        </w:tc>
        <w:tc>
          <w:tcPr>
            <w:tcW w:type="dxa" w:w="4602"/>
            <w:shd w:val="clear" w:color="auto" w:fill="DCE6F1"/>
          </w:tcPr>
          <w:p>
            <w:pPr>
              <w:jc w:val="center"/>
            </w:pPr>
            <w:r/>
            <w:r>
              <w:rPr>
                <w:rFonts w:ascii="游ゴシック" w:hAnsi="游ゴシック" w:eastAsia="游ゴシック"/>
                <w:b/>
                <w:sz w:val="17"/>
              </w:rPr>
              <w:t>内容</w:t>
            </w:r>
          </w:p>
        </w:tc>
        <w:tc>
          <w:tcPr>
            <w:tcW w:type="dxa" w:w="2520"/>
            <w:shd w:val="clear" w:color="auto" w:fill="DCE6F1"/>
          </w:tcPr>
          <w:p>
            <w:pPr>
              <w:jc w:val="center"/>
            </w:pPr>
            <w:r/>
            <w:r>
              <w:rPr>
                <w:rFonts w:ascii="游ゴシック" w:hAnsi="游ゴシック" w:eastAsia="游ゴシック"/>
                <w:b/>
                <w:sz w:val="17"/>
              </w:rPr>
              <w:t>収録年度</w:t>
            </w:r>
          </w:p>
        </w:tc>
        <w:tc>
          <w:tcPr>
            <w:tcW w:type="dxa" w:w="1753"/>
            <w:shd w:val="clear" w:color="auto" w:fill="DCE6F1"/>
          </w:tcPr>
          <w:p>
            <w:pPr>
              <w:jc w:val="center"/>
            </w:pPr>
            <w:r/>
            <w:r>
              <w:rPr>
                <w:rFonts w:ascii="游ゴシック" w:hAnsi="游ゴシック" w:eastAsia="游ゴシック"/>
                <w:b/>
                <w:sz w:val="17"/>
              </w:rPr>
              <w:t>取得日</w:t>
            </w:r>
          </w:p>
        </w:tc>
      </w:tr>
      <w:tr>
        <w:trPr>
          <w:cantSplit/>
        </w:trP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rPr>
          <w:cantSplit/>
        </w:trP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line="269" w:lineRule="auto"/>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180" w:after="100"/>
      </w:pPr>
      <w:bookmarkStart w:id="149" w:name="_Toc10_049"/>
      <w:r>
        <w:rPr>
          <w:rFonts w:ascii="游ゴシック" w:hAnsi="游ゴシック" w:eastAsia="游ゴシック"/>
          <w:sz w:val="25"/>
        </w:rPr>
        <w:t>資料6 基本指針の新別表「確認すべき指標・状況」への対応</w:t>
      </w:r>
      <w:bookmarkEnd w:id="149"/>
    </w:p>
    <w:p>
      <w:pPr>
        <w:spacing w:after="80" w:line="269" w:lineRule="auto"/>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48"/>
            <w:shd w:val="clear" w:color="auto" w:fill="DCE6F1"/>
          </w:tcPr>
          <w:p>
            <w:pPr>
              <w:spacing w:before="0"/>
              <w:jc w:val="center"/>
            </w:pPr>
            <w:r/>
            <w:r>
              <w:rPr>
                <w:rFonts w:ascii="游ゴシック" w:hAnsi="游ゴシック" w:eastAsia="游ゴシック"/>
                <w:b/>
                <w:sz w:val="17"/>
              </w:rPr>
              <w:t>事項</w:t>
            </w:r>
          </w:p>
        </w:tc>
        <w:tc>
          <w:tcPr>
            <w:tcW w:type="dxa" w:w="2520"/>
            <w:shd w:val="clear" w:color="auto" w:fill="DCE6F1"/>
          </w:tcPr>
          <w:p>
            <w:pPr>
              <w:jc w:val="center"/>
            </w:pPr>
            <w:r/>
            <w:r>
              <w:rPr>
                <w:rFonts w:ascii="游ゴシック" w:hAnsi="游ゴシック" w:eastAsia="游ゴシック"/>
                <w:b/>
                <w:sz w:val="17"/>
              </w:rPr>
              <w:t>確認すべき指標・状況</w:t>
            </w:r>
          </w:p>
        </w:tc>
        <w:tc>
          <w:tcPr>
            <w:tcW w:type="dxa" w:w="877"/>
            <w:shd w:val="clear" w:color="auto" w:fill="DCE6F1"/>
          </w:tcPr>
          <w:p>
            <w:pPr>
              <w:jc w:val="center"/>
            </w:pPr>
            <w:r/>
            <w:r>
              <w:rPr>
                <w:rFonts w:ascii="游ゴシック" w:hAnsi="游ゴシック" w:eastAsia="游ゴシック"/>
                <w:b/>
                <w:sz w:val="17"/>
              </w:rPr>
              <w:t>対応</w:t>
            </w:r>
          </w:p>
        </w:tc>
        <w:tc>
          <w:tcPr>
            <w:tcW w:type="dxa" w:w="2410"/>
            <w:shd w:val="clear" w:color="auto" w:fill="DCE6F1"/>
          </w:tcPr>
          <w:p>
            <w:pPr>
              <w:jc w:val="center"/>
            </w:pPr>
            <w:r/>
            <w:r>
              <w:rPr>
                <w:rFonts w:ascii="游ゴシック" w:hAnsi="游ゴシック" w:eastAsia="游ゴシック"/>
                <w:b/>
                <w:sz w:val="17"/>
              </w:rPr>
              <w:t>本計画での記載箇所・データ源</w:t>
            </w:r>
          </w:p>
        </w:tc>
        <w:tc>
          <w:tcPr>
            <w:tcW w:type="dxa" w:w="3396"/>
            <w:shd w:val="clear" w:color="auto" w:fill="DCE6F1"/>
          </w:tcPr>
          <w:p>
            <w:pPr>
              <w:jc w:val="center"/>
            </w:pPr>
            <w:r/>
            <w:r>
              <w:rPr>
                <w:rFonts w:ascii="游ゴシック" w:hAnsi="游ゴシック" w:eastAsia="游ゴシック"/>
                <w:b/>
                <w:sz w:val="17"/>
              </w:rPr>
              <w:t>未対応分の代替</w:t>
            </w:r>
          </w:p>
        </w:tc>
      </w:tr>
      <w:tr>
        <w:trPr>
          <w:cantSplit/>
        </w:trP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rPr>
          <w:cantSplit/>
        </w:trP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rPr>
          <w:cantSplit/>
        </w:trP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rPr>
          <w:cantSplit/>
        </w:trP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rPr>
          <w:cantSplit/>
        </w:trP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rPr>
          <w:cantSplit/>
        </w:trP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rPr>
          <w:cantSplit/>
        </w:trP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rPr>
          <w:cantSplit/>
        </w:trP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rPr>
          <w:cantSplit/>
        </w:trP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地域包括支援センターの相談体制（F15～F25）及び多様なサービス・活動の数（F28～F40）はデータの登録を進める</w:t>
            </w:r>
          </w:p>
        </w:tc>
      </w:tr>
      <w:tr>
        <w:trPr>
          <w:cantSplit/>
        </w:trP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介護報酬側のO1～O3・O6～O13はデータの登録を進める。診療報酬側のL20～L26はデータ登録がない。上川中部圏域の医療機関への照会で補う</w:t>
            </w:r>
          </w:p>
        </w:tc>
      </w:tr>
      <w:tr>
        <w:trPr>
          <w:cantSplit/>
        </w:trP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877"/>
            <w:shd w:val="clear" w:color="auto" w:fill="DCE6F1"/>
          </w:tcPr>
          <w:p>
            <w:pPr>
              <w:jc w:val="center"/>
            </w:pPr>
            <w:r/>
            <w:r>
              <w:rPr>
                <w:rFonts w:ascii="游ゴシック" w:hAnsi="游ゴシック" w:eastAsia="游ゴシック"/>
                <w:b/>
                <w:sz w:val="17"/>
              </w:rPr>
              <w:t>件数</w:t>
            </w:r>
          </w:p>
        </w:tc>
        <w:tc>
          <w:tcPr>
            <w:tcW w:type="dxa" w:w="7450"/>
            <w:shd w:val="clear" w:color="auto" w:fill="DCE6F1"/>
          </w:tcPr>
          <w:p>
            <w:pPr>
              <w:jc w:val="center"/>
            </w:pPr>
            <w:r/>
            <w:r>
              <w:rPr>
                <w:rFonts w:ascii="游ゴシック" w:hAnsi="游ゴシック" w:eastAsia="游ゴシック"/>
                <w:b/>
                <w:sz w:val="17"/>
              </w:rPr>
              <w:t>該当事項</w:t>
            </w:r>
          </w:p>
        </w:tc>
      </w:tr>
      <w:tr>
        <w:trPr>
          <w:cantSplit/>
        </w:trP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rPr>
          <w:cantSplit/>
        </w:trP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rPr>
          <w:cantSplit/>
        </w:trP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rPr>
          <w:cantSplit/>
        </w:trP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bookmarkStart w:id="150" w:name="_Toc10_050"/>
      <w:r>
        <w:rPr>
          <w:rFonts w:ascii="游ゴシック" w:hAnsi="游ゴシック" w:eastAsia="游ゴシック"/>
          <w:sz w:val="25"/>
        </w:rPr>
        <w:t>資料7 図表番号一覧</w:t>
      </w:r>
      <w:bookmarkEnd w:id="150"/>
    </w:p>
    <w:p>
      <w:pPr>
        <w:spacing w:after="80" w:line="269" w:lineRule="auto"/>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】括弧のキャプションのみで管理していました。第10期では「図N」及び「図N-M」の通し番号を付し、本文と別冊の図表集で同じ番号を用います。</w:t>
      </w:r>
    </w:p>
    <w:p>
      <w:pPr>
        <w:spacing w:after="80" w:line="269" w:lineRule="auto"/>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36点を画像として掲載し、6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986"/>
            <w:shd w:val="clear" w:color="auto" w:fill="DCE6F1"/>
          </w:tcPr>
          <w:p>
            <w:pPr>
              <w:spacing w:before="0"/>
              <w:jc w:val="center"/>
            </w:pPr>
            <w:r/>
            <w:r>
              <w:rPr>
                <w:rFonts w:ascii="游ゴシック" w:hAnsi="游ゴシック" w:eastAsia="游ゴシック"/>
                <w:b/>
                <w:sz w:val="17"/>
              </w:rPr>
              <w:t>図番号</w:t>
            </w:r>
          </w:p>
        </w:tc>
        <w:tc>
          <w:tcPr>
            <w:tcW w:type="dxa" w:w="3506"/>
            <w:shd w:val="clear" w:color="auto" w:fill="DCE6F1"/>
          </w:tcPr>
          <w:p>
            <w:pPr>
              <w:jc w:val="center"/>
            </w:pPr>
            <w:r/>
            <w:r>
              <w:rPr>
                <w:rFonts w:ascii="游ゴシック" w:hAnsi="游ゴシック" w:eastAsia="游ゴシック"/>
                <w:b/>
                <w:sz w:val="17"/>
              </w:rPr>
              <w:t>図表名</w:t>
            </w:r>
          </w:p>
        </w:tc>
        <w:tc>
          <w:tcPr>
            <w:tcW w:type="dxa" w:w="1534"/>
            <w:shd w:val="clear" w:color="auto" w:fill="DCE6F1"/>
          </w:tcPr>
          <w:p>
            <w:pPr>
              <w:jc w:val="center"/>
            </w:pPr>
            <w:r/>
            <w:r>
              <w:rPr>
                <w:rFonts w:ascii="游ゴシック" w:hAnsi="游ゴシック" w:eastAsia="游ゴシック"/>
                <w:b/>
                <w:sz w:val="17"/>
              </w:rPr>
              <w:t>掲載箇所</w:t>
            </w:r>
          </w:p>
        </w:tc>
        <w:tc>
          <w:tcPr>
            <w:tcW w:type="dxa" w:w="1643"/>
            <w:shd w:val="clear" w:color="auto" w:fill="DCE6F1"/>
          </w:tcPr>
          <w:p>
            <w:pPr>
              <w:jc w:val="center"/>
            </w:pPr>
            <w:r/>
            <w:r>
              <w:rPr>
                <w:rFonts w:ascii="游ゴシック" w:hAnsi="游ゴシック" w:eastAsia="游ゴシック"/>
                <w:b/>
                <w:sz w:val="17"/>
              </w:rPr>
              <w:t>区分</w:t>
            </w:r>
          </w:p>
        </w:tc>
        <w:tc>
          <w:tcPr>
            <w:tcW w:type="dxa" w:w="2082"/>
            <w:shd w:val="clear" w:color="auto" w:fill="DCE6F1"/>
          </w:tcPr>
          <w:p>
            <w:pPr>
              <w:jc w:val="center"/>
            </w:pPr>
            <w:r/>
            <w:r>
              <w:rPr>
                <w:rFonts w:ascii="游ゴシック" w:hAnsi="游ゴシック" w:eastAsia="游ゴシック"/>
                <w:b/>
                <w:sz w:val="17"/>
              </w:rPr>
              <w:t>図表集のシート</w:t>
            </w:r>
          </w:p>
        </w:tc>
      </w:tr>
      <w:tr>
        <w:trPr>
          <w:cantSplit/>
        </w:trP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rPr>
          <w:cantSplit/>
        </w:trP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rPr>
          <w:cantSplit/>
        </w:trP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03_高齢者世帯</w:t>
            </w:r>
          </w:p>
        </w:tc>
      </w:tr>
      <w:tr>
        <w:trPr>
          <w:cantSplit/>
        </w:trP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rPr>
          <w:cantSplit/>
        </w:trP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rPr>
          <w:cantSplit/>
        </w:trP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rPr>
          <w:cantSplit/>
        </w:trP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rPr>
          <w:cantSplit/>
        </w:trP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rPr>
          <w:cantSplit/>
        </w:trP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rPr>
          <w:cantSplit/>
        </w:trP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rPr>
          <w:cantSplit/>
        </w:trP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rPr>
          <w:cantSplit/>
        </w:trP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rPr>
          <w:cantSplit/>
        </w:trP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rPr>
          <w:cantSplit/>
        </w:trP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rPr>
          <w:cantSplit/>
        </w:trP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rPr>
          <w:cantSplit/>
        </w:trP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rPr>
          <w:cantSplit/>
        </w:trP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rPr>
          <w:cantSplit/>
        </w:trP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rPr>
          <w:cantSplit/>
        </w:trP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rPr>
          <w:cantSplit/>
        </w:trP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rPr>
          <w:cantSplit/>
        </w:trP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rPr>
          <w:cantSplit/>
        </w:trP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rPr>
          <w:cantSplit/>
        </w:trP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rPr>
          <w:cantSplit/>
        </w:trP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rPr>
          <w:cantSplit/>
        </w:trP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rPr>
          <w:cantSplit/>
        </w:trP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rPr>
          <w:cantSplit/>
        </w:trP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rPr>
          <w:cantSplit/>
        </w:trP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rPr>
          <w:cantSplit/>
        </w:trP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rPr>
          <w:cantSplit/>
        </w:trP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図表集の各図には、掲載区分（本文／資料編／参考）と備考が付されています。図表集の図表番号一覧のシートは、図の配置位置から作成しています。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【未確定箇所の表示】</w:t>
      </w:r>
    </w:p>
    <w:p>
      <w:pPr>
        <w:spacing w:after="80" w:line="269" w:lineRule="auto"/>
      </w:pPr>
      <w:r>
        <w:rPr>
          <w:rFonts w:ascii="游ゴシック" w:hAnsi="游ゴシック" w:eastAsia="游ゴシック"/>
          <w:b w:val="0"/>
          <w:sz w:val="20"/>
        </w:rPr>
        <w:t>本文中に次の3つの記号を用いています。いずれも計画の確定前に解消するものであり、公表する計画には残しません。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74"/>
            <w:shd w:val="clear" w:color="auto" w:fill="DCE6F1"/>
          </w:tcPr>
          <w:p>
            <w:pPr>
              <w:spacing w:before="0"/>
              <w:jc w:val="center"/>
            </w:pPr>
            <w:r/>
            <w:r>
              <w:rPr>
                <w:rFonts w:ascii="游ゴシック" w:hAnsi="游ゴシック" w:eastAsia="游ゴシック"/>
                <w:b/>
                <w:sz w:val="17"/>
              </w:rPr>
              <w:t>記号</w:t>
            </w:r>
          </w:p>
        </w:tc>
        <w:tc>
          <w:tcPr>
            <w:tcW w:type="dxa" w:w="4535"/>
            <w:shd w:val="clear" w:color="auto" w:fill="DCE6F1"/>
          </w:tcPr>
          <w:p>
            <w:pPr>
              <w:jc w:val="center"/>
            </w:pPr>
            <w:r/>
            <w:r>
              <w:rPr>
                <w:rFonts w:ascii="游ゴシック" w:hAnsi="游ゴシック" w:eastAsia="游ゴシック"/>
                <w:b/>
                <w:sz w:val="17"/>
              </w:rPr>
              <w:t>意味</w:t>
            </w:r>
          </w:p>
        </w:tc>
        <w:tc>
          <w:tcPr>
            <w:tcW w:type="dxa" w:w="3402"/>
            <w:shd w:val="clear" w:color="auto" w:fill="DCE6F1"/>
          </w:tcPr>
          <w:p>
            <w:pPr>
              <w:jc w:val="center"/>
            </w:pPr>
            <w:r/>
            <w:r>
              <w:rPr>
                <w:rFonts w:ascii="游ゴシック" w:hAnsi="游ゴシック" w:eastAsia="游ゴシック"/>
                <w:b/>
                <w:sz w:val="17"/>
              </w:rPr>
              <w:t>解消の方法</w:t>
            </w:r>
          </w:p>
        </w:tc>
      </w:tr>
      <w:tr>
        <w:trPr>
          <w:cantSplit/>
        </w:trPr>
        <w:tc>
          <w:tcPr>
            <w:tcW w:type="dxa" w:w="1474"/>
          </w:tcPr>
          <w:p>
            <w:r/>
            <w:r>
              <w:rPr>
                <w:rFonts w:ascii="游ゴシック" w:hAnsi="游ゴシック" w:eastAsia="游ゴシック"/>
                <w:sz w:val="17"/>
              </w:rPr>
              <w:t>［要協議］</w:t>
            </w:r>
          </w:p>
        </w:tc>
        <w:tc>
          <w:tcPr>
            <w:tcW w:type="dxa" w:w="4535"/>
          </w:tcPr>
          <w:p>
            <w:r/>
            <w:r>
              <w:rPr>
                <w:rFonts w:ascii="游ゴシック" w:hAnsi="游ゴシック" w:eastAsia="游ゴシック"/>
                <w:sz w:val="17"/>
              </w:rPr>
              <w:t>方針又は数値について、広域連合及び構成3町で協議して決めることを要するもの</w:t>
            </w:r>
          </w:p>
        </w:tc>
        <w:tc>
          <w:tcPr>
            <w:tcW w:type="dxa" w:w="3402"/>
          </w:tcPr>
          <w:p>
            <w:r/>
            <w:r>
              <w:rPr>
                <w:rFonts w:ascii="游ゴシック" w:hAnsi="游ゴシック" w:eastAsia="游ゴシック"/>
                <w:sz w:val="17"/>
              </w:rPr>
              <w:t>策定委員会（運営協議会）及び3町との協議により決定する</w:t>
            </w:r>
          </w:p>
        </w:tc>
      </w:tr>
      <w:tr>
        <w:trPr>
          <w:cantSplit/>
        </w:trPr>
        <w:tc>
          <w:tcPr>
            <w:tcW w:type="dxa" w:w="1474"/>
          </w:tcPr>
          <w:p>
            <w:r/>
            <w:r>
              <w:rPr>
                <w:rFonts w:ascii="游ゴシック" w:hAnsi="游ゴシック" w:eastAsia="游ゴシック"/>
                <w:sz w:val="17"/>
              </w:rPr>
              <w:t>［要確認］</w:t>
            </w:r>
          </w:p>
        </w:tc>
        <w:tc>
          <w:tcPr>
            <w:tcW w:type="dxa" w:w="4535"/>
          </w:tcPr>
          <w:p>
            <w:r/>
            <w:r>
              <w:rPr>
                <w:rFonts w:ascii="游ゴシック" w:hAnsi="游ゴシック" w:eastAsia="游ゴシック"/>
                <w:sz w:val="17"/>
              </w:rPr>
              <w:t>事実、制度の内容又は資料の所在を確認することを要するもの</w:t>
            </w:r>
          </w:p>
        </w:tc>
        <w:tc>
          <w:tcPr>
            <w:tcW w:type="dxa" w:w="3402"/>
          </w:tcPr>
          <w:p>
            <w:r/>
            <w:r>
              <w:rPr>
                <w:rFonts w:ascii="游ゴシック" w:hAnsi="游ゴシック" w:eastAsia="游ゴシック"/>
                <w:sz w:val="17"/>
              </w:rPr>
              <w:t>資料の受領、国の政令・省令・告示の公布又は関係機関への照会により確認する</w:t>
            </w:r>
          </w:p>
        </w:tc>
      </w:tr>
      <w:tr>
        <w:trPr>
          <w:cantSplit/>
        </w:trPr>
        <w:tc>
          <w:tcPr>
            <w:tcW w:type="dxa" w:w="1474"/>
          </w:tcPr>
          <w:p>
            <w:r/>
            <w:r>
              <w:rPr>
                <w:rFonts w:ascii="游ゴシック" w:hAnsi="游ゴシック" w:eastAsia="游ゴシック"/>
                <w:sz w:val="17"/>
              </w:rPr>
              <w:t>［要内訳］</w:t>
            </w:r>
          </w:p>
        </w:tc>
        <w:tc>
          <w:tcPr>
            <w:tcW w:type="dxa" w:w="4535"/>
          </w:tcPr>
          <w:p>
            <w:r/>
            <w:r>
              <w:rPr>
                <w:rFonts w:ascii="游ゴシック" w:hAnsi="游ゴシック" w:eastAsia="游ゴシック"/>
                <w:sz w:val="17"/>
              </w:rPr>
              <w:t>合計の額は確定しているが、その内訳を把握できていないもの</w:t>
            </w:r>
          </w:p>
        </w:tc>
        <w:tc>
          <w:tcPr>
            <w:tcW w:type="dxa" w:w="3402"/>
          </w:tcPr>
          <w:p>
            <w:r/>
            <w:r>
              <w:rPr>
                <w:rFonts w:ascii="游ゴシック" w:hAnsi="游ゴシック" w:eastAsia="游ゴシック"/>
                <w:sz w:val="17"/>
              </w:rPr>
              <w:t>事業別の実績の提供を受けて内訳を記載する</w:t>
            </w:r>
          </w:p>
        </w:tc>
      </w:tr>
    </w:tbl>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