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令和8年10月15日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令和8年10月15日）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62％</w:t>
            </w:r>
          </w:p>
        </w:tc>
        <w:tc>
          <w:tcPr>
            <w:tcW w:type="dxa" w:w="1928"/>
            <w:vAlign w:val="center"/>
          </w:tcPr>
          <w:p>
            <w:pPr>
              <w:keepNext/>
              <w:spacing w:after="0"/>
            </w:pPr>
            <w:r>
              <w:rPr>
                <w:rFonts w:ascii="游ゴシック" w:hAnsi="游ゴシック" w:eastAsia="游ゴシック"/>
                <w:b w:val="0"/>
                <w:sz w:val="18"/>
              </w:rPr>
              <w:t>完了1・一部3・未着手0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93％</w:t>
            </w:r>
          </w:p>
        </w:tc>
        <w:tc>
          <w:tcPr>
            <w:tcW w:type="dxa" w:w="1928"/>
            <w:shd w:val="clear" w:color="auto" w:fill="F2F5FA"/>
            <w:vAlign w:val="center"/>
          </w:tcPr>
          <w:p>
            <w:pPr>
              <w:keepNext/>
              <w:spacing w:after="0"/>
            </w:pPr>
            <w:r>
              <w:rPr>
                <w:rFonts w:ascii="游ゴシック" w:hAnsi="游ゴシック" w:eastAsia="游ゴシック"/>
                <w:b w:val="0"/>
                <w:sz w:val="18"/>
              </w:rPr>
              <w:t>完了13・一部0・未着手1</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79％</w:t>
            </w:r>
          </w:p>
        </w:tc>
        <w:tc>
          <w:tcPr>
            <w:tcW w:type="dxa" w:w="1928"/>
            <w:vAlign w:val="center"/>
          </w:tcPr>
          <w:p>
            <w:pPr>
              <w:keepNext/>
              <w:spacing w:after="0"/>
            </w:pPr>
            <w:r>
              <w:rPr>
                <w:rFonts w:ascii="游ゴシック" w:hAnsi="游ゴシック" w:eastAsia="游ゴシック"/>
                <w:b w:val="0"/>
                <w:sz w:val="18"/>
              </w:rPr>
              <w:t>完了4・一部3・未着手0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94％</w:t>
            </w:r>
          </w:p>
        </w:tc>
        <w:tc>
          <w:tcPr>
            <w:tcW w:type="dxa" w:w="1928"/>
            <w:shd w:val="clear" w:color="auto" w:fill="F2F5FA"/>
            <w:vAlign w:val="center"/>
          </w:tcPr>
          <w:p>
            <w:pPr>
              <w:keepNext/>
              <w:spacing w:after="0"/>
            </w:pPr>
            <w:r>
              <w:rPr>
                <w:rFonts w:ascii="游ゴシック" w:hAnsi="游ゴシック" w:eastAsia="游ゴシック"/>
                <w:b w:val="0"/>
                <w:sz w:val="18"/>
              </w:rPr>
              <w:t>完了8・一部1・未着手0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81％</w:t>
            </w:r>
          </w:p>
        </w:tc>
        <w:tc>
          <w:tcPr>
            <w:tcW w:type="dxa" w:w="1928"/>
            <w:vAlign w:val="center"/>
          </w:tcPr>
          <w:p>
            <w:pPr>
              <w:keepNext/>
              <w:spacing w:after="0"/>
            </w:pPr>
            <w:r>
              <w:rPr>
                <w:rFonts w:ascii="游ゴシック" w:hAnsi="游ゴシック" w:eastAsia="游ゴシック"/>
                <w:b w:val="0"/>
                <w:sz w:val="18"/>
              </w:rPr>
              <w:t>完了5・一部3・未着手0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50％</w:t>
            </w:r>
          </w:p>
        </w:tc>
        <w:tc>
          <w:tcPr>
            <w:tcW w:type="dxa" w:w="1928"/>
            <w:shd w:val="clear" w:color="auto" w:fill="F2F5FA"/>
            <w:vAlign w:val="center"/>
          </w:tcPr>
          <w:p>
            <w:pPr>
              <w:spacing w:after="0"/>
            </w:pPr>
            <w:r>
              <w:rPr>
                <w:rFonts w:ascii="游ゴシック" w:hAnsi="游ゴシック" w:eastAsia="游ゴシック"/>
                <w:b w:val="0"/>
                <w:sz w:val="18"/>
              </w:rPr>
              <w:t>完了2・一部1・未着手2</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67％です。（11）成果品の帰属及び（12）その他は数値で表していません。令和8年10月4日までは受託者の見積りによる数値をお示ししており、全体は79％としていました。作業項目の達成状況から算定する形に改めたことにより67％となっています。作業が後戻りしたものではなく、算定の基礎を改めたことによる差です。（6）計画書の作成は計画最終案及び概要版原稿が未着手であること、（8）各種会議への技術的支援は3町との協議資料及び説明用データが作成済みであ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確認事項は全186件、うち未決が173件です。そのまま掲げると用をなさないため、本節では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186件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173件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173件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164件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全186件／未決173件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