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令和8年10月4日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次に着手するもの（10月5日（月））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町・国・県の回答を待たずに進められる作業は15件・41.0時間分あり、うち5件（11.0時間）が令和8年10月4日までに済んでいます。</w:t>
      </w:r>
      <w:r>
        <w:rPr>
          <w:rFonts w:ascii="游ゴシック" w:hAnsi="游ゴシック" w:eastAsia="游ゴシック"/>
          <w:b w:val="0"/>
          <w:i w:val="0"/>
          <w:sz w:val="21"/>
        </w:rPr>
        <w:t>令和8年10月5日は残り10件のうち3件（8.0時間）に着手します。</w:t>
      </w:r>
    </w:p>
    <w:p>
      <w:pPr>
        <w:spacing w:before="60" w:after="60"/>
      </w:pPr>
      <w:r>
        <w:rPr>
          <w:rFonts w:ascii="游ゴシック" w:hAnsi="游ゴシック" w:eastAsia="游ゴシック"/>
          <w:b/>
          <w:i w:val="0"/>
          <w:sz w:val="21"/>
        </w:rPr>
        <w:t>進捗の乖離を測ったところ、高齢者計画は予定より+15.0ポイント、障がい計画は-17.1ポイントでした。</w:t>
      </w:r>
      <w:r>
        <w:rPr>
          <w:rFonts w:ascii="游ゴシック" w:hAnsi="游ゴシック" w:eastAsia="游ゴシック"/>
          <w:b/>
          <w:i w:val="0"/>
          <w:sz w:val="21"/>
        </w:rPr>
        <w:t>障がい計画の遅れが大きく、期限を過ぎてなお終わっていない作業が9件あります。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令和9年2月下旬の校了は動かせないため、12月までに印刷を発注する必要がある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サービス単価。当方は令和7年度で固定しているため、実績の趨勢（年率＋1.13％）で置くと標準給付費が3.43％・保険料が月額211円上がる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76</w:t>
            </w:r>
          </w:p>
        </w:tc>
        <w:tc>
          <w:tcPr>
            <w:tcW w:type="dxa" w:w="1247"/>
            <w:vAlign w:val="center"/>
          </w:tcPr>
          <w:p>
            <w:pPr>
              <w:spacing w:before="20" w:after="20"/>
              <w:jc w:val="right"/>
            </w:pPr>
            <w:r>
              <w:rPr>
                <w:rFonts w:ascii="游ゴシック" w:hAnsi="游ゴシック" w:eastAsia="游ゴシック"/>
                <w:b w:val="0"/>
                <w:i w:val="0"/>
                <w:sz w:val="17"/>
              </w:rPr>
              <w:t>54.8％</w:t>
            </w:r>
          </w:p>
        </w:tc>
        <w:tc>
          <w:tcPr>
            <w:tcW w:type="dxa" w:w="1247"/>
            <w:vAlign w:val="center"/>
          </w:tcPr>
          <w:p>
            <w:pPr>
              <w:spacing w:before="20" w:after="20"/>
              <w:jc w:val="right"/>
            </w:pPr>
            <w:r>
              <w:rPr>
                <w:rFonts w:ascii="游ゴシック" w:hAnsi="游ゴシック" w:eastAsia="游ゴシック"/>
                <w:b w:val="0"/>
                <w:i w:val="0"/>
                <w:sz w:val="17"/>
              </w:rPr>
              <w:t>69.8％</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50.2％</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-17.1pt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3件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予定進捗率は、予定開始の月初から予定完了の月末までを直線で見たときの令和8年10月4日時点の値。判定は差が±10ポイント以内なら「おおむね予定どおり」とした。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一方で障がい計画は-17.1ポイント下回っており、こちらが本業務全体の弱いところです。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2-10</w:t>
            </w:r>
          </w:p>
        </w:tc>
        <w:tc>
          <w:tcPr>
            <w:tcW w:type="dxa" w:w="1928"/>
            <w:vAlign w:val="center"/>
          </w:tcPr>
          <w:p>
            <w:pPr>
              <w:spacing w:before="20" w:after="20"/>
            </w:pPr>
            <w:r>
              <w:rPr>
                <w:rFonts w:ascii="游ゴシック" w:hAnsi="游ゴシック" w:eastAsia="游ゴシック"/>
                <w:b w:val="0"/>
                <w:i w:val="0"/>
                <w:sz w:val="17"/>
              </w:rPr>
              <w:t>見える化 優先度C分野の出力</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残るのは医療提供体制・リハビリ提供体制の出力。見える化システムへのアクセスは確保できている（9月28日に推計が通った）</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障がい計画（12件）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障がい計画の遅れ12件は、すべて町からの3点に連なっています。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町・国・県の回答を待たずに進められる作業は15件、合計41.0時間（1日8.0時間として約5.1日）です。</w:t>
      </w:r>
      <w:r>
        <w:rPr>
          <w:rFonts w:ascii="游ゴシック" w:hAnsi="游ゴシック" w:eastAsia="游ゴシック"/>
          <w:b/>
          <w:i w:val="0"/>
          <w:sz w:val="21"/>
        </w:rPr>
        <w:t>うち5件・11.0時間は令和8年10月4日までに済みました。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（報酬改定のない年でも年率＋1.09％、改定のあった令和6年度は＋1.25％）。単価を令和7年度で固定している当方の置き方は過小側であり、実績の趨勢で置くと保険料が月額211円上がる。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医療提供体制・リハビリ提供体制の出力</w:t>
            </w:r>
          </w:p>
        </w:tc>
        <w:tc>
          <w:tcPr>
            <w:tcW w:type="dxa" w:w="3969"/>
            <w:vAlign w:val="center"/>
          </w:tcPr>
          <w:p>
            <w:pPr>
              <w:spacing w:before="20" w:after="20"/>
            </w:pPr>
            <w:r>
              <w:rPr>
                <w:rFonts w:ascii="游ゴシック" w:hAnsi="游ゴシック" w:eastAsia="游ゴシック"/>
                <w:b/>
                <w:i w:val="0"/>
                <w:sz w:val="17"/>
              </w:rPr>
              <w:t>システムへのアクセスは確保できている（9月28日に推計が通った）。</w:t>
            </w:r>
            <w:r>
              <w:rPr>
                <w:rFonts w:ascii="游ゴシック" w:hAnsi="游ゴシック" w:eastAsia="游ゴシック"/>
                <w:b w:val="0"/>
                <w:i w:val="0"/>
                <w:sz w:val="17"/>
              </w:rPr>
              <w:t>交付金の支援Ⅲ（55点）の裏づけを厚くできる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12月までに発注しないと令和9年2月下旬の校了に間に合わない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次に着手するもの（10月5日（月））</w:t>
      </w:r>
      <w:bookmarkEnd w:id="119"/>
    </w:p>
    <w:p>
      <w:pPr>
        <w:spacing w:before="60" w:after="60"/>
      </w:pPr>
      <w:r>
        <w:rPr>
          <w:rFonts w:ascii="游ゴシック" w:hAnsi="游ゴシック" w:eastAsia="游ゴシック"/>
          <w:b/>
          <w:i w:val="0"/>
          <w:sz w:val="21"/>
        </w:rPr>
        <w:t>3件・8.0時間。いずれも外部の回答を要しません。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T2</w:t>
            </w:r>
          </w:p>
        </w:tc>
        <w:tc>
          <w:tcPr>
            <w:tcW w:type="dxa" w:w="2268"/>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5726"/>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T10</w:t>
            </w:r>
          </w:p>
        </w:tc>
        <w:tc>
          <w:tcPr>
            <w:tcW w:type="dxa" w:w="2268"/>
            <w:vAlign w:val="center"/>
          </w:tcPr>
          <w:p>
            <w:pPr>
              <w:spacing w:before="20" w:after="20"/>
            </w:pPr>
            <w:r>
              <w:rPr>
                <w:rFonts w:ascii="游ゴシック" w:hAnsi="游ゴシック" w:eastAsia="游ゴシック"/>
                <w:b w:val="0"/>
                <w:i w:val="0"/>
                <w:sz w:val="17"/>
              </w:rPr>
              <w:t>単価の置き方の感度分析の文書化</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保険料の決定（決定1）の判断材料になる。</w:t>
            </w:r>
            <w:r>
              <w:rPr>
                <w:rFonts w:ascii="游ゴシック" w:hAnsi="游ゴシック" w:eastAsia="游ゴシック"/>
                <w:b w:val="0"/>
                <w:i w:val="0"/>
                <w:sz w:val="17"/>
              </w:rPr>
              <w:t>単価を令和7年度で固定している当方の置き方は過小側で、実績の趨勢で置くと保険料が月額211円上がる。</w:t>
            </w:r>
            <w:r>
              <w:rPr>
                <w:rFonts w:ascii="游ゴシック" w:hAnsi="游ゴシック" w:eastAsia="游ゴシック"/>
                <w:b/>
                <w:i w:val="0"/>
                <w:sz w:val="17"/>
              </w:rPr>
              <w:t>協議会に2案をお諮りする前に、幅を示せるようにしておく</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T6</w:t>
            </w:r>
          </w:p>
        </w:tc>
        <w:tc>
          <w:tcPr>
            <w:tcW w:type="dxa" w:w="2268"/>
            <w:vAlign w:val="center"/>
          </w:tcPr>
          <w:p>
            <w:pPr>
              <w:spacing w:before="20" w:after="20"/>
            </w:pPr>
            <w:r>
              <w:rPr>
                <w:rFonts w:ascii="游ゴシック" w:hAnsi="游ゴシック" w:eastAsia="游ゴシック"/>
                <w:b w:val="0"/>
                <w:i w:val="0"/>
                <w:sz w:val="17"/>
              </w:rPr>
              <w:t>見える化 医療提供体制・リハビリ提供体制の出力</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システムへのアクセスは確保できている。</w:t>
            </w:r>
            <w:r>
              <w:rPr>
                <w:rFonts w:ascii="游ゴシック" w:hAnsi="游ゴシック" w:eastAsia="游ゴシック"/>
                <w:b w:val="0"/>
                <w:i w:val="0"/>
                <w:sz w:val="17"/>
              </w:rPr>
              <w:t>在宅医療・介護連携（支援Ⅲ）の目指すべき姿（決定11）を町にお諮りする材料になる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10月2日（金）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T15</w:t>
            </w:r>
          </w:p>
        </w:tc>
        <w:tc>
          <w:tcPr>
            <w:tcW w:type="dxa" w:w="6066"/>
            <w:vAlign w:val="center"/>
          </w:tcPr>
          <w:p>
            <w:pPr>
              <w:spacing w:before="20" w:after="20"/>
            </w:pPr>
            <w:r>
              <w:rPr>
                <w:rFonts w:ascii="游ゴシック" w:hAnsi="游ゴシック" w:eastAsia="游ゴシック"/>
                <w:b w:val="0"/>
                <w:i w:val="0"/>
                <w:sz w:val="17"/>
              </w:rPr>
              <w:t>工程変更協議資料の改訂（高齢者・障がい）</w:t>
            </w:r>
          </w:p>
        </w:tc>
        <w:tc>
          <w:tcPr>
            <w:tcW w:type="dxa" w:w="1247"/>
            <w:vAlign w:val="center"/>
          </w:tcPr>
          <w:p>
            <w:pPr>
              <w:spacing w:before="20" w:after="20"/>
              <w:jc w:val="right"/>
            </w:pPr>
            <w:r>
              <w:rPr>
                <w:rFonts w:ascii="游ゴシック" w:hAnsi="游ゴシック" w:eastAsia="游ゴシック"/>
                <w:b w:val="0"/>
                <w:i w:val="0"/>
                <w:sz w:val="17"/>
              </w:rPr>
              <w:t>3.0</w:t>
            </w:r>
          </w:p>
        </w:tc>
      </w:tr>
      <w:tr>
        <w:tc>
          <w:tcPr>
            <w:tcW w:type="dxa" w:w="1361"/>
            <w:vAlign w:val="center"/>
          </w:tcPr>
          <w:p>
            <w:pPr>
              <w:spacing w:before="20" w:after="20"/>
            </w:pPr>
            <w:r>
              <w:rPr>
                <w:rFonts w:ascii="游ゴシック" w:hAnsi="游ゴシック" w:eastAsia="游ゴシック"/>
                <w:b w:val="0"/>
                <w:i w:val="0"/>
                <w:sz w:val="17"/>
              </w:rPr>
              <w:t>10月2日（金）</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w:t>
            </w:r>
          </w:p>
        </w:tc>
        <w:tc>
          <w:tcPr>
            <w:tcW w:type="dxa" w:w="6066"/>
            <w:vAlign w:val="center"/>
          </w:tcPr>
          <w:p>
            <w:pPr>
              <w:spacing w:before="20" w:after="20"/>
            </w:pPr>
            <w:r>
              <w:rPr>
                <w:rFonts w:ascii="游ゴシック" w:hAnsi="游ゴシック" w:eastAsia="游ゴシック"/>
                <w:b w:val="0"/>
                <w:i w:val="0"/>
                <w:sz w:val="17"/>
              </w:rPr>
              <w:t>要介護度の維持・改善率の図の作成</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10月2日（金）</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T4</w:t>
            </w:r>
          </w:p>
        </w:tc>
        <w:tc>
          <w:tcPr>
            <w:tcW w:type="dxa" w:w="6066"/>
            <w:vAlign w:val="center"/>
          </w:tcPr>
          <w:p>
            <w:pPr>
              <w:spacing w:before="20" w:after="20"/>
            </w:pPr>
            <w:r>
              <w:rPr>
                <w:rFonts w:ascii="游ゴシック" w:hAnsi="游ゴシック" w:eastAsia="游ゴシック"/>
                <w:b w:val="0"/>
                <w:i w:val="0"/>
                <w:sz w:val="17"/>
              </w:rPr>
              <w:t>中長期（令和22年度）の給付費の見通し</w:t>
            </w:r>
          </w:p>
        </w:tc>
        <w:tc>
          <w:tcPr>
            <w:tcW w:type="dxa" w:w="1247"/>
            <w:vAlign w:val="center"/>
          </w:tcPr>
          <w:p>
            <w:pPr>
              <w:spacing w:before="20" w:after="20"/>
              <w:jc w:val="right"/>
            </w:pPr>
            <w:r>
              <w:rPr>
                <w:rFonts w:ascii="游ゴシック" w:hAnsi="游ゴシック" w:eastAsia="游ゴシック"/>
                <w:b w:val="0"/>
                <w:i w:val="0"/>
                <w:sz w:val="17"/>
              </w:rPr>
              <w:t>2.5</w:t>
            </w:r>
          </w:p>
        </w:tc>
      </w:tr>
      <w:tr>
        <w:tc>
          <w:tcPr>
            <w:tcW w:type="dxa" w:w="1361"/>
            <w:vAlign w:val="center"/>
          </w:tcPr>
          <w:p>
            <w:pPr>
              <w:spacing w:before="20" w:after="20"/>
            </w:pPr>
            <w:r>
              <w:rPr>
                <w:rFonts w:ascii="游ゴシック" w:hAnsi="游ゴシック" w:eastAsia="游ゴシック"/>
                <w:b w:val="0"/>
                <w:i w:val="0"/>
                <w:sz w:val="17"/>
              </w:rPr>
              <w:t>10月4日（日）</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w:t>
            </w:r>
          </w:p>
        </w:tc>
        <w:tc>
          <w:tcPr>
            <w:tcW w:type="dxa" w:w="6066"/>
            <w:vAlign w:val="center"/>
          </w:tcPr>
          <w:p>
            <w:pPr>
              <w:spacing w:before="20" w:after="20"/>
            </w:pPr>
            <w:r>
              <w:rPr>
                <w:rFonts w:ascii="游ゴシック" w:hAnsi="游ゴシック" w:eastAsia="游ゴシック"/>
                <w:b w:val="0"/>
                <w:i w:val="0"/>
                <w:sz w:val="17"/>
              </w:rPr>
              <w:t>図表番号一覧の作成</w:t>
            </w:r>
          </w:p>
        </w:tc>
        <w:tc>
          <w:tcPr>
            <w:tcW w:type="dxa" w:w="1247"/>
            <w:vAlign w:val="center"/>
          </w:tcPr>
          <w:p>
            <w:pPr>
              <w:spacing w:before="20" w:after="20"/>
              <w:jc w:val="right"/>
            </w:pPr>
            <w:r>
              <w:rPr>
                <w:rFonts w:ascii="游ゴシック" w:hAnsi="游ゴシック" w:eastAsia="游ゴシック"/>
                <w:b w:val="0"/>
                <w:i w:val="0"/>
                <w:sz w:val="17"/>
              </w:rPr>
              <w:t>1.5</w:t>
            </w:r>
          </w:p>
        </w:tc>
      </w:tr>
      <w:tr>
        <w:tc>
          <w:tcPr>
            <w:tcW w:type="dxa" w:w="1361"/>
            <w:vAlign w:val="center"/>
          </w:tcPr>
          <w:p>
            <w:pPr>
              <w:spacing w:before="20" w:after="20"/>
            </w:pPr>
            <w:r>
              <w:rPr>
                <w:rFonts w:ascii="游ゴシック" w:hAnsi="游ゴシック" w:eastAsia="游ゴシック"/>
                <w:b w:val="0"/>
                <w:i w:val="0"/>
                <w:sz w:val="17"/>
              </w:rPr>
              <w:t>10月4日（日）</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T5</w:t>
            </w:r>
          </w:p>
        </w:tc>
        <w:tc>
          <w:tcPr>
            <w:tcW w:type="dxa" w:w="6066"/>
            <w:vAlign w:val="center"/>
          </w:tcPr>
          <w:p>
            <w:pPr>
              <w:spacing w:before="20" w:after="20"/>
            </w:pPr>
            <w:r>
              <w:rPr>
                <w:rFonts w:ascii="游ゴシック" w:hAnsi="游ゴシック" w:eastAsia="游ゴシック"/>
                <w:b w:val="0"/>
                <w:i w:val="0"/>
                <w:sz w:val="17"/>
              </w:rPr>
              <w:t>介護保険制度改正の内容の節</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10月6日（火）</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T7</w:t>
            </w:r>
          </w:p>
        </w:tc>
        <w:tc>
          <w:tcPr>
            <w:tcW w:type="dxa" w:w="6066"/>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10月6日（火）</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T8</w:t>
            </w:r>
          </w:p>
        </w:tc>
        <w:tc>
          <w:tcPr>
            <w:tcW w:type="dxa" w:w="6066"/>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1247"/>
            <w:vAlign w:val="center"/>
          </w:tcPr>
          <w:p>
            <w:pPr>
              <w:spacing w:before="20" w:after="20"/>
              <w:jc w:val="right"/>
            </w:pPr>
            <w:r>
              <w:rPr>
                <w:rFonts w:ascii="游ゴシック" w:hAnsi="游ゴシック" w:eastAsia="游ゴシック"/>
                <w:b w:val="0"/>
                <w:i w:val="0"/>
                <w:sz w:val="17"/>
              </w:rPr>
              <w:t>2.5</w:t>
            </w:r>
          </w:p>
        </w:tc>
      </w:tr>
      <w:tr>
        <w:tc>
          <w:tcPr>
            <w:tcW w:type="dxa" w:w="1361"/>
            <w:vAlign w:val="center"/>
          </w:tcPr>
          <w:p>
            <w:pPr>
              <w:spacing w:before="20" w:after="20"/>
            </w:pPr>
            <w:r>
              <w:rPr>
                <w:rFonts w:ascii="游ゴシック" w:hAnsi="游ゴシック" w:eastAsia="游ゴシック"/>
                <w:b w:val="0"/>
                <w:i w:val="0"/>
                <w:sz w:val="17"/>
              </w:rPr>
              <w:t>10月6日（火）</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T13</w:t>
            </w:r>
          </w:p>
        </w:tc>
        <w:tc>
          <w:tcPr>
            <w:tcW w:type="dxa" w:w="6066"/>
            <w:vAlign w:val="center"/>
          </w:tcPr>
          <w:p>
            <w:pPr>
              <w:spacing w:before="20" w:after="20"/>
            </w:pPr>
            <w:r>
              <w:rPr>
                <w:rFonts w:ascii="游ゴシック" w:hAnsi="游ゴシック" w:eastAsia="游ゴシック"/>
                <w:b w:val="0"/>
                <w:i w:val="0"/>
                <w:sz w:val="17"/>
              </w:rPr>
              <w:t>印刷の仕様書と見積依頼の様式</w:t>
            </w:r>
          </w:p>
        </w:tc>
        <w:tc>
          <w:tcPr>
            <w:tcW w:type="dxa" w:w="1247"/>
            <w:vAlign w:val="center"/>
          </w:tcPr>
          <w:p>
            <w:pPr>
              <w:spacing w:before="20" w:after="20"/>
              <w:jc w:val="right"/>
            </w:pPr>
            <w:r>
              <w:rPr>
                <w:rFonts w:ascii="游ゴシック" w:hAnsi="游ゴシック" w:eastAsia="游ゴシック"/>
                <w:b w:val="0"/>
                <w:i w:val="0"/>
                <w:sz w:val="17"/>
              </w:rPr>
              <w:t>1.5</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T9</w:t>
            </w:r>
          </w:p>
        </w:tc>
        <w:tc>
          <w:tcPr>
            <w:tcW w:type="dxa" w:w="6066"/>
            <w:vAlign w:val="center"/>
          </w:tcPr>
          <w:p>
            <w:pPr>
              <w:spacing w:before="20" w:after="20"/>
            </w:pPr>
            <w:r>
              <w:rPr>
                <w:rFonts w:ascii="游ゴシック" w:hAnsi="游ゴシック" w:eastAsia="游ゴシック"/>
                <w:b w:val="0"/>
                <w:i w:val="0"/>
                <w:sz w:val="17"/>
              </w:rPr>
              <w:t>協議会 第2回の資料の骨格</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T11</w:t>
            </w:r>
          </w:p>
        </w:tc>
        <w:tc>
          <w:tcPr>
            <w:tcW w:type="dxa" w:w="6066"/>
            <w:vAlign w:val="center"/>
          </w:tcPr>
          <w:p>
            <w:pPr>
              <w:spacing w:before="20" w:after="20"/>
            </w:pPr>
            <w:r>
              <w:rPr>
                <w:rFonts w:ascii="游ゴシック" w:hAnsi="游ゴシック" w:eastAsia="游ゴシック"/>
                <w:b w:val="0"/>
                <w:i w:val="0"/>
                <w:sz w:val="17"/>
              </w:rPr>
              <w:t>概要版（8頁）のページ割りと図の割付</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10月8日（木）</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r>
        <w:tc>
          <w:tcPr>
            <w:tcW w:type="dxa" w:w="1361"/>
            <w:vAlign w:val="center"/>
          </w:tcPr>
          <w:p>
            <w:pPr>
              <w:spacing w:before="20" w:after="20"/>
            </w:pPr>
            <w:r>
              <w:rPr>
                <w:rFonts w:ascii="游ゴシック" w:hAnsi="游ゴシック" w:eastAsia="游ゴシック"/>
                <w:b w:val="0"/>
                <w:i w:val="0"/>
                <w:sz w:val="17"/>
              </w:rPr>
              <w:t>10月8日（木）</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T14</w:t>
            </w:r>
          </w:p>
        </w:tc>
        <w:tc>
          <w:tcPr>
            <w:tcW w:type="dxa" w:w="6066"/>
            <w:vAlign w:val="center"/>
          </w:tcPr>
          <w:p>
            <w:pPr>
              <w:spacing w:before="20" w:after="20"/>
            </w:pPr>
            <w:r>
              <w:rPr>
                <w:rFonts w:ascii="游ゴシック" w:hAnsi="游ゴシック" w:eastAsia="游ゴシック"/>
                <w:b w:val="0"/>
                <w:i w:val="0"/>
                <w:sz w:val="17"/>
              </w:rPr>
              <w:t>一次資料との突合の対象を広げる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資料：業務進捗管理表（17_業務進捗管理）令和8年10月4日版。高齢者計画のWBS 76作業。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