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Ver.1.20</w:t>
      </w:r>
    </w:p>
    <w:p>
      <w:pPr>
        <w:spacing w:after="80" w:before="80"/>
        <w:jc w:val="center"/>
      </w:pPr>
      <w:r>
        <w:rPr>
          <w:rFonts w:ascii="游ゴシック" w:cs="游ゴシック" w:eastAsia="游ゴシック" w:hAnsi="游ゴシック"/>
          <w:b w:val="false"/>
          <w:bCs w:val="false"/>
          <w:i/>
          <w:iCs/>
          <w:sz w:val="18"/>
          <w:szCs w:val="18"/>
        </w:rPr>
        <w:t xml:space="preserve">（調査結果報告書 確定反映版）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bl>
    <w:p>
      <w:pPr>
        <w:spacing w:after="80" w:before="80" w:line="280"/>
        <w:ind w:left="288"/>
      </w:pPr>
      <w:r>
        <w:rPr>
          <w:rFonts w:ascii="游ゴシック" w:cs="游ゴシック" w:eastAsia="游ゴシック" w:hAnsi="游ゴシック"/>
          <w:i/>
          <w:iCs/>
          <w:sz w:val="19"/>
          <w:szCs w:val="19"/>
        </w:rPr>
        <w:t xml:space="preserve">⚠ 頁番号は、本素案Ver.1.17の組版によるものです。図表の差替え・加筆により頁の割付けが動いた場合は、目次の頁番号も併せて更新します。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1.20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本版では、確定した調査結果報告書3文書の内容を個票から全数検算したうえで第2章2-6に反映し、第9期調査との比較・体格（BMI）と低栄養リスク・施設入所の申込みを分ける要因の層別分析を新たに加えました。介護給付費準備基金の取崩方針と令和9年度の介護報酬改定を踏まえ、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と標準層（50.2％）を大きく上回っており、特定健診・保健指導の対象を客観的に絞り込む手がかりとなります。低栄養リスクに該当する方は4人（0.7％）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4-2　基本目標</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第10期計画の基本目標</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考え方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介護予防を明示して継承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center"/>
            </w:pPr>
            <w:r>
              <w:rPr>
                <w:rFonts w:ascii="游ゴシック" w:cs="游ゴシック" w:eastAsia="游ゴシック" w:hAnsi="游ゴシック"/>
                <w:i w:val="false"/>
                <w:iCs w:val="false"/>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left"/>
            </w:pPr>
            <w:r>
              <w:rPr>
                <w:rFonts w:ascii="游ゴシック" w:cs="游ゴシック" w:eastAsia="游ゴシック" w:hAnsi="游ゴシック"/>
                <w:i w:val="false"/>
                <w:iCs w:val="false"/>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見守り・移動支援・住まいを含めて継承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在宅生活の継続という観点で再構成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i w:val="false"/>
                <w:iCs w:val="false"/>
                <w:sz w:val="18"/>
                <w:szCs w:val="18"/>
              </w:rPr>
              <w:t xml:space="preserve">目的別に配置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r>
          </w:p>
          <w:p>
            <w:pPr>
              <w:spacing w:after="40" w:before="40" w:line="260"/>
              <w:jc w:val="center"/>
            </w:pPr>
            <w:r>
              <w:rPr>
                <w:rFonts w:ascii="游ゴシック" w:cs="游ゴシック" w:eastAsia="游ゴシック" w:hAnsi="游ゴシック"/>
                <w:i w:val="false"/>
                <w:iCs w:val="false"/>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r>
          </w:p>
          <w:p>
            <w:pPr>
              <w:spacing w:after="40" w:before="40" w:line="260"/>
              <w:jc w:val="left"/>
            </w:pPr>
            <w:r>
              <w:rPr>
                <w:rFonts w:ascii="游ゴシック" w:cs="游ゴシック" w:eastAsia="游ゴシック" w:hAnsi="游ゴシック"/>
                <w:i w:val="false"/>
                <w:iCs w:val="false"/>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供給体制・人材確保を加えて再構成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r>
          </w:p>
          <w:p>
            <w:pPr>
              <w:spacing w:after="40" w:before="40" w:line="260"/>
              <w:jc w:val="center"/>
            </w:pPr>
            <w:r>
              <w:rPr>
                <w:rFonts w:ascii="游ゴシック" w:cs="游ゴシック" w:eastAsia="游ゴシック" w:hAnsi="游ゴシック"/>
                <w:i w:val="false"/>
                <w:iCs w:val="false"/>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地域包括ケアの深化を独立させた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（基本方針3に含まれていた</w:t>
            </w:r>
          </w:p>
          <w:p>
            <w:pPr>
              <w:spacing w:after="40" w:before="40" w:line="260"/>
              <w:jc w:val="center"/>
            </w:pPr>
            <w:r>
              <w:rPr>
                <w:rFonts w:ascii="游ゴシック" w:cs="游ゴシック" w:eastAsia="游ゴシック" w:hAnsi="游ゴシック"/>
                <w:i w:val="false"/>
                <w:iCs w:val="false"/>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基本目標</w:t>
            </w:r>
          </w:p>
        </w:tc>
        <w:tc>
          <w:tcPr>
            <w:tcW w:type="pct"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健康寿命の延伸・フレイル予防・通いの場の充実・口腔と栄養の支援を推進し、高齢者がいつまでも元気に生活できる地域づくりを進めます。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見守り・地域支え合い・移動支援・住まいの確保等、独居高齢者・高齢者世帯・老老介護世帯が安心して暮らせる仕組みを整えます。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在宅医療・介護連携、家族介護者支援、緊急時対応、住宅改修等により、住み慣れた自宅・地域での生活継続を支援します。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介護サービスの質の確保、町外施設利用も含めた供給体制の整備、介護人材の確保・育成を推進します。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地域包括支援センターを中心に、医療・介護・予防・住まい・生活支援を一体的に提供する地域包括ケアシステムをさらに深化させます。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対応する基本目標・関連施策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基本目標6を新設し、独立章（第6章）として位置付け。本人意見反映・チームオレンジ整備・認知症カフェ充実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基本目標2。タクシー助成終了後の社協・NPO移送＋デマンドバスの周知強化、施設偏在への対応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基本目標3・5。8050問題・老老介護への対応、介護者レスパイト、包括センター体制強化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基本目標4。みやぎ県南中核病院等との広域医療連携、住所地特例を含めた施設供給見込量</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i w:val="false"/>
                <w:iCs w:val="false"/>
                <w:sz w:val="24"/>
                <w:szCs w:val="24"/>
              </w:rPr>
              <w:t xml:space="preserve">↓</w:t>
            </w:r>
          </w:p>
        </w:tc>
      </w:tr>
      <w:tr>
        <w:tc>
          <w:tcPr/>
          <w:p>
            <w:pPr>
              <w:spacing w:after="80" w:before="80"/>
              <w:jc w:val="center"/>
            </w:pPr>
            <w:r>
              <w:rPr>
                <w:rFonts w:ascii="游ゴシック" w:cs="游ゴシック" w:eastAsia="游ゴシック" w:hAnsi="游ゴシック"/>
                <w:i w:val="false"/>
                <w:iCs w:val="false"/>
                <w:sz w:val="22"/>
                <w:szCs w:val="22"/>
              </w:rPr>
              <w:t xml:space="preserve">【6つの基本目標】</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サービス提供体制と介護人材の確保は第7章で、保険者としての管理・評価は第8章（地域マネジメントの推進）で、それぞれ独立章として詳述し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家族介護教室・介護相談・レスパイト（短期入所）の活用支援。本人が男性の世帯（介護者の70.6％が70歳以上）・夫婦のみ世帯（同81.3％）を重点対象とする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介護と仕事の両立支援、町内事業所との連携。本人が女性の世帯（介護者の43.6％が50代以下・フルタイム就労41.0％）を主たる対象とする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意見の反映（基本法第13条第3項において準用する第12条第3項）：市町村計画の案を作成しようとするときは、あらかじめ、認知症の人及び家族等の意見を聴くよう努めなければならないとされています。本町では、地域包括支援センター及び国保川崎病院を経由して聴取し、計画書案の作成前に本章へ反映します。</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 活動状況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第1号被保険者負担割合。第9期は23％。第10期の割合は政令で定められ、24％となった場合は月額約322円の上昇となる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287円の上昇となるため、宮城県への照会を要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