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資料2　第9期計画の進捗と評価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第10期計画の基本理念・基本目標・施策体系（案）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サービス見込み量の考え方（案）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介護保険料の概算シミュレーション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成果目標・活動指標（案）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本資料は、令和8年11月に開催する第2回策定委員会の資料の一部です。資料3（アンケート調査結果）は、調査の集計後に作成します。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【要確認】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北塩原村への確認により確定する事項です。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【要設定】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目標値等を今後設定する箇所です。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【試算中】／【推計中】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国の推計ワークシートの提供後に算出する数値です。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資料5・6は骨格です。数値は、国の推計ワークシートの提供（第10期基本指針の告示後）と、村の実績データの受領をもって確定します。本日は「考え方」についてご意見をいただきたく存じます。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資料4は、本委員会でご議論いただきたい事項の中心です。各施策の根拠となる住民ニーズの数値は、資料3で補足します。</w:t>
      </w:r>
    </w:p>
    <w:p>
      <w:r>
        <w:br w:type="page"/>
      </w:r>
    </w:p>
    <w:p>
      <w:pPr>
        <w:spacing w:after="3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【要確定】国の推計ワークシートによる算定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国の推計ワークシートの配布と入手（県への照会）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【要確定】必要利用定員総数（27人の据置きか増床か）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待機者数と村外のグループホームの利用者数の把握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村内の認知症対応型共同生活介護は定員27人の1施設のみである。待機者数と村外利用者数が把握できていないため、増床の要否を判断する材料がそろっていない（確認事項）。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【要確定】保険料の基準額（月額）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国の推計ワークシート、基金の取崩額、第1号被保険者数の置き方の決定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【要確定】介護給付費準備基金の取崩額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基金の残高と取崩方針の村の決定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【要確定】第1号被保険者負担割合（α）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第10期に適用される政令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基金の取崩額は保険料の基準額を月額で数百円動かします。取崩しの考え方を第3回でご決定いただきます。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2026-10-04T14:27:43.765Z</dcterms:created>
  <dcterms:modified xsi:type="dcterms:W3CDTF">2026-10-04T14:27:43.765Z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