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サービス見込量は、要介護度別の認定者数に給付実績から求めた利用率と受給者1人当たりの利用日数・回数を乗じて算定します（別冊「将来推計 第2段階　サービス見込量」）。本報告書の調査結果は、この算定の直接の入力値ではありません。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事業所票15件のうち1件（居宅介護支援事業所おうか）は、事業所名の記入はあるものの各設問が0又は記号のみとなっています。介護サービス情報公表システムの個別公表画面（記入日 令和8年2月11日）により、同事業所の事業開始年月日及び指定年月日がいずれも令和7年10月1日であることを確認しました。調査の基準日である令和7年4月1日時点では開設していないため、0は記入漏れではなく正しい状態です。本報告書では「回答事業所15件」と「集計に反映した事業所14件」を区別しています。</w:t>
      </w:r>
    </w:p>
    <w:p>
      <w:pPr>
        <w:spacing w:after="120" w:line="276" w:lineRule="auto"/>
      </w:pPr>
      <w:r>
        <w:rPr>
          <w:rFonts w:ascii="BIZ UDPゴシック" w:hAnsi="BIZ UDPゴシック" w:eastAsia="BIZ UDPゴシック"/>
          <w:b w:val="0"/>
        </w:rPr>
      </w:r>
    </w:p>
    <w:p>
      <w:pPr>
        <w:pStyle w:val="note"/>
        <w:spacing w:after="80" w:line="276" w:lineRule="auto"/>
      </w:pPr>
      <w:r>
        <w:rPr>
          <w:b w:val="0"/>
        </w:rPr>
        <w:t>区域内の事業所数は、北海道の介護保険事業所一覧（令和8年6月30日現在）により、居宅介護支援13事業所、小規模多機能型居宅介護5事業所、地域包括支援センター3か所です。回答は居宅介護支援10事業所、小規模多機能型居宅介護3事業所、地域包括支援センター2か所です。居宅介護支援の未回答3事業所は、ひがしかわ介護相談センター、ほの香居宅介護支援事業所及びライフデザイン陽風です。ただし、これらの事業所の指定年月日を確認していないため、基準日に開設していたかどうかは確定していません。</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pStyle w:val="note"/>
        <w:spacing w:after="80" w:line="276" w:lineRule="auto"/>
      </w:pPr>
      <w:r>
        <w:rPr>
          <w:b w:val="0"/>
        </w:rPr>
        <w:t>介護サービス情報公表システムの個別公表画面（ヘルパーステーションフラワー・記入日 令和7年10月29日）により、訪問介護員等の実人数13人・常勤8人・非常勤5人、前年度の採用者数7人・退職者数2人が確認できました。本調査の訪問系の回答と実人数・常勤・非常勤・採用・離職のすべてが一致します。訪問介護事業所の側の13人は実在の値です。ただし公表制度の対象は介護保険の指定サービスであり、住宅型有料老人ホームは対象外であるため、有料老人ホーム側が0であるかどうかは公表データでは確認でき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（１の２） 公表画面との突合</w:t>
      </w:r>
    </w:p>
    <w:p>
      <w:pPr>
        <w:spacing w:after="120" w:line="276" w:lineRule="auto"/>
      </w:pPr>
      <w:r>
        <w:rPr>
          <w:rFonts w:ascii="BIZ UDPゴシック" w:hAnsi="BIZ UDPゴシック" w:eastAsia="BIZ UDPゴシック"/>
          <w:b w:val="0"/>
        </w:rPr>
        <w:t>訪問系の回答３事業所について、介護サービス情報公表システムの個別公表画面と突合しました。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事業所</w:t>
            </w:r>
          </w:p>
        </w:tc>
        <w:tc>
          <w:tcPr>
            <w:tcW w:type="dxa" w:w="2608"/>
            <w:shd w:val="clear" w:fill="F2F2F2"/>
          </w:tcPr>
          <w:p>
            <w:pPr>
              <w:keepNext/>
              <w:spacing w:after="20" w:before="20"/>
              <w:jc w:val="center"/>
            </w:pPr>
            <w:r/>
            <w:r>
              <w:rPr>
                <w:rFonts w:ascii="BIZ UDPゴシック" w:hAnsi="BIZ UDPゴシック" w:eastAsia="BIZ UDPゴシック"/>
                <w:b/>
                <w:sz w:val="18"/>
              </w:rPr>
              <w:t>調査（令和7年4月1日）</w:t>
            </w:r>
          </w:p>
        </w:tc>
        <w:tc>
          <w:tcPr>
            <w:tcW w:type="dxa" w:w="3061"/>
            <w:shd w:val="clear" w:fill="F2F2F2"/>
          </w:tcPr>
          <w:p>
            <w:pPr>
              <w:keepNext/>
              <w:spacing w:after="20" w:before="20"/>
              <w:jc w:val="center"/>
            </w:pPr>
            <w:r/>
            <w:r>
              <w:rPr>
                <w:rFonts w:ascii="BIZ UDPゴシック" w:hAnsi="BIZ UDPゴシック" w:eastAsia="BIZ UDPゴシック"/>
                <w:b/>
                <w:sz w:val="18"/>
              </w:rPr>
              <w:t>公表画面（記入日）</w:t>
            </w:r>
          </w:p>
        </w:tc>
        <w:tc>
          <w:tcPr>
            <w:tcW w:type="dxa" w:w="1020"/>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608"/>
          </w:tcPr>
          <w:p>
            <w:pPr>
              <w:keepNext/>
              <w:spacing w:after="20" w:before="20"/>
            </w:pPr>
            <w:r/>
            <w:r>
              <w:rPr>
                <w:rFonts w:ascii="BIZ UDPゴシック" w:hAnsi="BIZ UDPゴシック" w:eastAsia="BIZ UDPゴシック"/>
                <w:b w:val="0"/>
                <w:sz w:val="18"/>
              </w:rPr>
              <w:t>花時計訪問介護事業所</w:t>
            </w:r>
          </w:p>
        </w:tc>
        <w:tc>
          <w:tcPr>
            <w:tcW w:type="dxa" w:w="2608"/>
          </w:tcPr>
          <w:p>
            <w:pPr>
              <w:keepNext/>
              <w:spacing w:after="20" w:before="20"/>
            </w:pPr>
            <w:r/>
            <w:r>
              <w:rPr>
                <w:rFonts w:ascii="BIZ UDPゴシック" w:hAnsi="BIZ UDPゴシック" w:eastAsia="BIZ UDPゴシック"/>
                <w:b w:val="0"/>
                <w:sz w:val="18"/>
              </w:rPr>
              <w:t>16人（常勤13・非常勤3）</w:t>
            </w:r>
          </w:p>
        </w:tc>
        <w:tc>
          <w:tcPr>
            <w:tcW w:type="dxa" w:w="3061"/>
          </w:tcPr>
          <w:p>
            <w:pPr>
              <w:keepNext/>
              <w:spacing w:after="20" w:before="20"/>
            </w:pPr>
            <w:r/>
            <w:r>
              <w:rPr>
                <w:rFonts w:ascii="BIZ UDPゴシック" w:hAnsi="BIZ UDPゴシック" w:eastAsia="BIZ UDPゴシック"/>
                <w:b w:val="0"/>
                <w:sz w:val="18"/>
              </w:rPr>
              <w:t>16人（常勤13・非常勤3）令和7年10月16日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keepNext/>
              <w:spacing w:after="20" w:before="20"/>
            </w:pPr>
            <w:r/>
            <w:r>
              <w:rPr>
                <w:rFonts w:ascii="BIZ UDPゴシック" w:hAnsi="BIZ UDPゴシック" w:eastAsia="BIZ UDPゴシック"/>
                <w:b w:val="0"/>
                <w:sz w:val="18"/>
              </w:rPr>
              <w:t>ヘルパーステーションフラワー</w:t>
            </w:r>
          </w:p>
        </w:tc>
        <w:tc>
          <w:tcPr>
            <w:tcW w:type="dxa" w:w="2608"/>
          </w:tcPr>
          <w:p>
            <w:pPr>
              <w:keepNext/>
              <w:spacing w:after="20" w:before="20"/>
            </w:pPr>
            <w:r/>
            <w:r>
              <w:rPr>
                <w:rFonts w:ascii="BIZ UDPゴシック" w:hAnsi="BIZ UDPゴシック" w:eastAsia="BIZ UDPゴシック"/>
                <w:b w:val="0"/>
                <w:sz w:val="18"/>
              </w:rPr>
              <w:t>13人（常勤8・非常勤5）</w:t>
            </w:r>
          </w:p>
        </w:tc>
        <w:tc>
          <w:tcPr>
            <w:tcW w:type="dxa" w:w="3061"/>
          </w:tcPr>
          <w:p>
            <w:pPr>
              <w:keepNext/>
              <w:spacing w:after="20" w:before="20"/>
            </w:pPr>
            <w:r/>
            <w:r>
              <w:rPr>
                <w:rFonts w:ascii="BIZ UDPゴシック" w:hAnsi="BIZ UDPゴシック" w:eastAsia="BIZ UDPゴシック"/>
                <w:b w:val="0"/>
                <w:sz w:val="18"/>
              </w:rPr>
              <w:t>13人（常勤8・非常勤5）令和7年10月29日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spacing w:after="20" w:before="20"/>
            </w:pPr>
            <w:r/>
            <w:r>
              <w:rPr>
                <w:rFonts w:ascii="BIZ UDPゴシック" w:hAnsi="BIZ UDPゴシック" w:eastAsia="BIZ UDPゴシック"/>
                <w:b w:val="0"/>
                <w:sz w:val="18"/>
              </w:rPr>
              <w:t>シルバーハウス訪問介護事業所</w:t>
            </w:r>
          </w:p>
        </w:tc>
        <w:tc>
          <w:tcPr>
            <w:tcW w:type="dxa" w:w="2608"/>
          </w:tcPr>
          <w:p>
            <w:pPr>
              <w:spacing w:after="20" w:before="20"/>
            </w:pPr>
            <w:r/>
            <w:r>
              <w:rPr>
                <w:rFonts w:ascii="BIZ UDPゴシック" w:hAnsi="BIZ UDPゴシック" w:eastAsia="BIZ UDPゴシック"/>
                <w:b w:val="0"/>
                <w:sz w:val="18"/>
              </w:rPr>
              <w:t>13人（常勤9・非常勤4）</w:t>
            </w:r>
          </w:p>
        </w:tc>
        <w:tc>
          <w:tcPr>
            <w:tcW w:type="dxa" w:w="3061"/>
          </w:tcPr>
          <w:p>
            <w:pPr>
              <w:spacing w:after="20" w:before="20"/>
            </w:pPr>
            <w:r/>
            <w:r>
              <w:rPr>
                <w:rFonts w:ascii="BIZ UDPゴシック" w:hAnsi="BIZ UDPゴシック" w:eastAsia="BIZ UDPゴシック"/>
                <w:b w:val="0"/>
                <w:sz w:val="18"/>
              </w:rPr>
              <w:t>17人（常勤11・非常勤6）令和7年11月6日</w:t>
            </w:r>
          </w:p>
        </w:tc>
        <w:tc>
          <w:tcPr>
            <w:tcW w:type="dxa" w:w="1020"/>
          </w:tcPr>
          <w:p>
            <w:pPr>
              <w:spacing w:after="20" w:before="20"/>
            </w:pPr>
            <w:r/>
            <w:r>
              <w:rPr>
                <w:rFonts w:ascii="BIZ UDPゴシック" w:hAnsi="BIZ UDPゴシック" w:eastAsia="BIZ UDPゴシック"/>
                <w:b w:val="0"/>
                <w:sz w:val="18"/>
              </w:rPr>
              <w:t>＋4</w:t>
            </w:r>
          </w:p>
        </w:tc>
      </w:tr>
    </w:tbl>
    <w:p>
      <w:pPr>
        <w:spacing w:after="80" w:before="0"/>
      </w:pPr>
    </w:p>
    <w:p>
      <w:pPr>
        <w:pStyle w:val="note"/>
        <w:spacing w:after="80" w:line="276" w:lineRule="auto"/>
      </w:pPr>
      <w:r>
        <w:rPr>
          <w:b w:val="0"/>
        </w:rPr>
        <w:t>３事業所のうち２事業所は実人数・常勤・非常勤のすべてが一致します。本調査の事業所票が、公表制度の「訪問介護員等の実人数」と同じ定義で記入されていることを示しています。シルバーハウス訪問介護事業所の差４人は、調査の基準日から公表画面の記入日までの約７か月間の増員とみられますが、確かめたものではありません。採用者数・離職者数は、調査が「過去1年間」、公表画面が「前年度」であり、対象期間の解釈が異なる可能性が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本調査に回答のなかった訪問介護事業所についても、公表画面が入手できたものは訪問介護員等の人数を把握しました。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061"/>
            <w:shd w:val="clear" w:fill="F2F2F2"/>
          </w:tcPr>
          <w:p>
            <w:pPr>
              <w:keepNext/>
              <w:spacing w:after="20" w:before="20"/>
              <w:jc w:val="center"/>
            </w:pPr>
            <w:r/>
            <w:r>
              <w:rPr>
                <w:rFonts w:ascii="BIZ UDPゴシック" w:hAnsi="BIZ UDPゴシック" w:eastAsia="BIZ UDPゴシック"/>
                <w:b/>
                <w:sz w:val="18"/>
              </w:rPr>
              <w:t>事業所</w:t>
            </w:r>
          </w:p>
        </w:tc>
        <w:tc>
          <w:tcPr>
            <w:tcW w:type="dxa" w:w="3175"/>
            <w:shd w:val="clear" w:fill="F2F2F2"/>
          </w:tcPr>
          <w:p>
            <w:pPr>
              <w:keepNext/>
              <w:spacing w:after="20" w:before="20"/>
              <w:jc w:val="center"/>
            </w:pPr>
            <w:r/>
            <w:r>
              <w:rPr>
                <w:rFonts w:ascii="BIZ UDPゴシック" w:hAnsi="BIZ UDPゴシック" w:eastAsia="BIZ UDPゴシック"/>
                <w:b/>
                <w:sz w:val="18"/>
              </w:rPr>
              <w:t>訪問介護員等の実人数</w:t>
            </w:r>
          </w:p>
        </w:tc>
        <w:tc>
          <w:tcPr>
            <w:tcW w:type="dxa" w:w="1247"/>
            <w:shd w:val="clear" w:fill="F2F2F2"/>
          </w:tcPr>
          <w:p>
            <w:pPr>
              <w:keepNext/>
              <w:spacing w:after="20" w:before="20"/>
              <w:jc w:val="center"/>
            </w:pPr>
            <w:r/>
            <w:r>
              <w:rPr>
                <w:rFonts w:ascii="BIZ UDPゴシック" w:hAnsi="BIZ UDPゴシック" w:eastAsia="BIZ UDPゴシック"/>
                <w:b/>
                <w:sz w:val="18"/>
              </w:rPr>
              <w:t>常勤換算</w:t>
            </w:r>
          </w:p>
        </w:tc>
        <w:tc>
          <w:tcPr>
            <w:tcW w:type="dxa" w:w="2268"/>
            <w:shd w:val="clear" w:fill="F2F2F2"/>
          </w:tcPr>
          <w:p>
            <w:pPr>
              <w:keepNext/>
              <w:spacing w:after="20" w:before="20"/>
              <w:jc w:val="center"/>
            </w:pPr>
            <w:r/>
            <w:r>
              <w:rPr>
                <w:rFonts w:ascii="BIZ UDPゴシック" w:hAnsi="BIZ UDPゴシック" w:eastAsia="BIZ UDPゴシック"/>
                <w:b/>
                <w:sz w:val="18"/>
              </w:rPr>
              <w:t>前年度の採用・退職</w:t>
            </w:r>
          </w:p>
        </w:tc>
      </w:tr>
      <w:tr>
        <w:trPr>
          <w:cantSplit/>
        </w:trPr>
        <w:tc>
          <w:tcPr>
            <w:tcW w:type="dxa" w:w="3061"/>
          </w:tcPr>
          <w:p>
            <w:pPr>
              <w:keepNext/>
              <w:spacing w:after="20" w:before="20"/>
            </w:pPr>
            <w:r/>
            <w:r>
              <w:rPr>
                <w:rFonts w:ascii="BIZ UDPゴシック" w:hAnsi="BIZ UDPゴシック" w:eastAsia="BIZ UDPゴシック"/>
                <w:b w:val="0"/>
                <w:sz w:val="18"/>
              </w:rPr>
              <w:t>指定（介護予防）訪問介護ケンセイシャレバレッジ</w:t>
            </w:r>
          </w:p>
        </w:tc>
        <w:tc>
          <w:tcPr>
            <w:tcW w:type="dxa" w:w="3175"/>
          </w:tcPr>
          <w:p>
            <w:pPr>
              <w:keepNext/>
              <w:spacing w:after="20" w:before="20"/>
            </w:pPr>
            <w:r/>
            <w:r>
              <w:rPr>
                <w:rFonts w:ascii="BIZ UDPゴシック" w:hAnsi="BIZ UDPゴシック" w:eastAsia="BIZ UDPゴシック"/>
                <w:b w:val="0"/>
                <w:sz w:val="18"/>
              </w:rPr>
              <w:t>10人（常勤6・非常勤4）令和7年10月8日</w:t>
            </w:r>
          </w:p>
        </w:tc>
        <w:tc>
          <w:tcPr>
            <w:tcW w:type="dxa" w:w="1247"/>
          </w:tcPr>
          <w:p>
            <w:pPr>
              <w:keepNext/>
              <w:spacing w:after="20" w:before="20"/>
            </w:pPr>
            <w:r/>
            <w:r>
              <w:rPr>
                <w:rFonts w:ascii="BIZ UDPゴシック" w:hAnsi="BIZ UDPゴシック" w:eastAsia="BIZ UDPゴシック"/>
                <w:b w:val="0"/>
                <w:sz w:val="18"/>
              </w:rPr>
              <w:t>4.0人</w:t>
            </w:r>
          </w:p>
        </w:tc>
        <w:tc>
          <w:tcPr>
            <w:tcW w:type="dxa" w:w="2268"/>
          </w:tcPr>
          <w:p>
            <w:pPr>
              <w:keepNext/>
              <w:spacing w:after="20" w:before="20"/>
            </w:pPr>
            <w:r/>
            <w:r>
              <w:rPr>
                <w:rFonts w:ascii="BIZ UDPゴシック" w:hAnsi="BIZ UDPゴシック" w:eastAsia="BIZ UDPゴシック"/>
                <w:b w:val="0"/>
                <w:sz w:val="18"/>
              </w:rPr>
              <w:t>採用1人・退職0人</w:t>
            </w:r>
          </w:p>
        </w:tc>
      </w:tr>
      <w:tr>
        <w:trPr>
          <w:cantSplit/>
        </w:trPr>
        <w:tc>
          <w:tcPr>
            <w:tcW w:type="dxa" w:w="3061"/>
          </w:tcPr>
          <w:p>
            <w:pPr>
              <w:spacing w:after="20" w:before="20"/>
            </w:pPr>
            <w:r/>
            <w:r>
              <w:rPr>
                <w:rFonts w:ascii="BIZ UDPゴシック" w:hAnsi="BIZ UDPゴシック" w:eastAsia="BIZ UDPゴシック"/>
                <w:b w:val="0"/>
                <w:sz w:val="18"/>
              </w:rPr>
              <w:t>東神楽町ホームヘルプサービスセンター</w:t>
            </w:r>
          </w:p>
        </w:tc>
        <w:tc>
          <w:tcPr>
            <w:tcW w:type="dxa" w:w="3175"/>
          </w:tcPr>
          <w:p>
            <w:pPr>
              <w:spacing w:after="20" w:before="20"/>
            </w:pPr>
            <w:r/>
            <w:r>
              <w:rPr>
                <w:rFonts w:ascii="BIZ UDPゴシック" w:hAnsi="BIZ UDPゴシック" w:eastAsia="BIZ UDPゴシック"/>
                <w:b w:val="0"/>
                <w:sz w:val="18"/>
              </w:rPr>
              <w:t>6人（常勤4・非常勤2）令和7年10月9日</w:t>
            </w:r>
          </w:p>
        </w:tc>
        <w:tc>
          <w:tcPr>
            <w:tcW w:type="dxa" w:w="1247"/>
          </w:tcPr>
          <w:p>
            <w:pPr>
              <w:spacing w:after="20" w:before="20"/>
            </w:pPr>
            <w:r/>
            <w:r>
              <w:rPr>
                <w:rFonts w:ascii="BIZ UDPゴシック" w:hAnsi="BIZ UDPゴシック" w:eastAsia="BIZ UDPゴシック"/>
                <w:b w:val="0"/>
                <w:sz w:val="18"/>
              </w:rPr>
              <w:t>6.0人</w:t>
            </w:r>
          </w:p>
        </w:tc>
        <w:tc>
          <w:tcPr>
            <w:tcW w:type="dxa" w:w="2268"/>
          </w:tcPr>
          <w:p>
            <w:pPr>
              <w:spacing w:after="20" w:before="20"/>
            </w:pPr>
            <w:r/>
            <w:r>
              <w:rPr>
                <w:rFonts w:ascii="BIZ UDPゴシック" w:hAnsi="BIZ UDPゴシック" w:eastAsia="BIZ UDPゴシック"/>
                <w:b w:val="0"/>
                <w:sz w:val="18"/>
              </w:rPr>
              <w:t>採用0人・退職2人</w:t>
            </w:r>
          </w:p>
        </w:tc>
      </w:tr>
    </w:tbl>
    <w:p>
      <w:pPr>
        <w:spacing w:after="80" w:before="0"/>
      </w:pPr>
    </w:p>
    <w:p>
      <w:pPr>
        <w:pStyle w:val="note"/>
        <w:spacing w:after="80" w:line="276" w:lineRule="auto"/>
      </w:pPr>
      <w:r>
        <w:rPr>
          <w:b w:val="0"/>
        </w:rPr>
        <w:t>両事業所とも、常勤・非常勤のすべてが他のサービスとの兼務です。実人数と常勤換算の比は事業所により大きく異なるため、訪問系の従事者数を実人数で積み上げる場合はその旨を明記して用います。これにより、区域内の訪問介護13事業所のうち５事業所（回答３・未回答２）について訪問介護員等の実人数を把握しました。公表画面を追加で入手できれば、訪問系の把握を回答３事業所に依らずに行うことができ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336人</w:t>
            </w:r>
          </w:p>
        </w:tc>
        <w:tc>
          <w:tcPr>
            <w:tcW w:type="dxa" w:w="1814"/>
          </w:tcPr>
          <w:p>
            <w:pPr>
              <w:keepNext/>
              <w:spacing w:after="20" w:before="20"/>
              <w:jc w:val="right"/>
            </w:pPr>
            <w:r/>
            <w:r>
              <w:rPr>
                <w:rFonts w:ascii="BIZ UDPゴシック" w:hAnsi="BIZ UDPゴシック" w:eastAsia="BIZ UDPゴシック"/>
                <w:b w:val="0"/>
                <w:sz w:val="18"/>
              </w:rPr>
              <w:t>339人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73.4%</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144人</w:t>
            </w:r>
          </w:p>
        </w:tc>
        <w:tc>
          <w:tcPr>
            <w:tcW w:type="dxa" w:w="1814"/>
          </w:tcPr>
          <w:p>
            <w:pPr>
              <w:keepNext/>
              <w:spacing w:after="20" w:before="20"/>
              <w:jc w:val="right"/>
            </w:pPr>
            <w:r/>
            <w:r>
              <w:rPr>
                <w:rFonts w:ascii="BIZ UDPゴシック" w:hAnsi="BIZ UDPゴシック" w:eastAsia="BIZ UDPゴシック"/>
                <w:b w:val="0"/>
                <w:sz w:val="18"/>
              </w:rPr>
              <w:t>145人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56.9%</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サービス見込量」によります。利用率と受給者１人当たりの利用日数・回数を令和7年度の値で固定した基本ケースの値です。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144人、施設336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