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により、65歳以上となって介護保険の被保険者となった方については、給付の内容が重なる部分について原則として介護保険制度が優先され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同計画の第7章（他計画との連携）は健康21・総合振興計画・こども計画の3計画を扱っています。本計画との連携の節は双方に置く必要があるため、障がい福祉担当との協議のうえ、両計画の記載を揃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村内3か所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の第7章（他計画との連携）は健康21・総合振興計画・こども計画の3計画を扱っています。本計画との連携の節を双方に置く必要があ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2026-10-10T12:41:24.659Z</dcterms:created>
  <dcterms:modified xsi:type="dcterms:W3CDTF">2026-10-10T12:41:24.659Z</dcterms:modified>
</cp:coreProperties>
</file>

<file path=docProps/custom.xml><?xml version="1.0" encoding="utf-8"?>
<Properties xmlns="http://schemas.openxmlformats.org/officeDocument/2006/custom-properties" xmlns:vt="http://schemas.openxmlformats.org/officeDocument/2006/docPropsVTypes"/>
</file>