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t>小野町　第10期介護保険事業計画　／　令和8年9月25日</w:t>
      </w:r>
    </w:p>
    <w:p>
      <w: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t>総給付費の水準は、こちらの算定と1.9％の差で収まっています。別々の方法で組んだ推計が近い値になったので、どちらも大きくは外していないと見てよいと思います。</w:t>
      </w:r>
    </w:p>
    <w:p>
      <w:r>
        <w:t>ただし、そのまま計画に使える状態ではありません。理由は3つです。</w:t>
      </w:r>
    </w:p>
    <w:p>
      <w:r>
        <w:t>第一に、地域支援事業費が3シートとも全部ゼロです。保険料の算定には地域支援事業費が要るため、このままでは保険料が出ません。実際「5_保険料推計」は #DIV/0! のままです。</w:t>
      </w:r>
    </w:p>
    <w:p>
      <w:r>
        <w:t>第二に、標準給付費のうち総給付費以外の部分（特定入所者介護サービス費・高額介護サービス費・高額医療合算・審査支払手数料）が未入力です。こちらの算定では3年計で224,013千円、標準給付費の7.2％にあたります。</w:t>
      </w:r>
    </w:p>
    <w:p>
      <w: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960,695</w:t>
            </w:r>
          </w:p>
        </w:tc>
        <w:tc>
          <w:tcPr>
            <w:tcW w:type="dxa" w:w="1728"/>
          </w:tcPr>
          <w:p>
            <w:pPr>
              <w:jc w:val="right"/>
            </w:pPr>
            <w:r>
              <w:rPr>
                <w:sz w:val="18"/>
              </w:rPr>
              <w:t>+74,497</w:t>
            </w:r>
          </w:p>
        </w:tc>
        <w:tc>
          <w:tcPr>
            <w:tcW w:type="dxa" w:w="1728"/>
          </w:tcPr>
          <w:p>
            <w:pPr>
              <w:jc w:val="right"/>
            </w:pPr>
            <w:r>
              <w:rPr>
                <w:sz w:val="18"/>
              </w:rPr>
              <w:t>+7.8％</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956,645</w:t>
            </w:r>
          </w:p>
        </w:tc>
        <w:tc>
          <w:tcPr>
            <w:tcW w:type="dxa" w:w="1728"/>
          </w:tcPr>
          <w:p>
            <w:pPr>
              <w:jc w:val="right"/>
            </w:pPr>
            <w:r>
              <w:rPr>
                <w:sz w:val="18"/>
              </w:rPr>
              <w:t>+83,538</w:t>
            </w:r>
          </w:p>
        </w:tc>
        <w:tc>
          <w:tcPr>
            <w:tcW w:type="dxa" w:w="1728"/>
          </w:tcPr>
          <w:p>
            <w:pPr>
              <w:jc w:val="right"/>
            </w:pPr>
            <w:r>
              <w:rPr>
                <w:sz w:val="18"/>
              </w:rPr>
              <w:t>+8.7％</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952,595</w:t>
            </w:r>
          </w:p>
        </w:tc>
        <w:tc>
          <w:tcPr>
            <w:tcW w:type="dxa" w:w="1728"/>
          </w:tcPr>
          <w:p>
            <w:pPr>
              <w:jc w:val="right"/>
            </w:pPr>
            <w:r>
              <w:rPr>
                <w:sz w:val="18"/>
              </w:rPr>
              <w:t>+73,325</w:t>
            </w:r>
          </w:p>
        </w:tc>
        <w:tc>
          <w:tcPr>
            <w:tcW w:type="dxa" w:w="1728"/>
          </w:tcPr>
          <w:p>
            <w:pPr>
              <w:jc w:val="right"/>
            </w:pPr>
            <w:r>
              <w:rPr>
                <w:sz w:val="18"/>
              </w:rPr>
              <w:t>+7.7％</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2,869,936</w:t>
            </w:r>
          </w:p>
        </w:tc>
        <w:tc>
          <w:tcPr>
            <w:tcW w:type="dxa" w:w="1728"/>
          </w:tcPr>
          <w:p>
            <w:pPr>
              <w:jc w:val="right"/>
            </w:pPr>
            <w:r>
              <w:rPr>
                <w:sz w:val="18"/>
              </w:rPr>
              <w:t>+231,359</w:t>
            </w:r>
          </w:p>
        </w:tc>
        <w:tc>
          <w:tcPr>
            <w:tcW w:type="dxa" w:w="1728"/>
          </w:tcPr>
          <w:p>
            <w:pPr>
              <w:jc w:val="right"/>
            </w:pPr>
            <w:r>
              <w:rPr>
                <w:sz w:val="18"/>
              </w:rPr>
              <w:t>+8.1％</w:t>
            </w:r>
          </w:p>
        </w:tc>
      </w:tr>
    </w:tbl>
    <w:p/>
    <w:p>
      <w:r>
        <w:t>第1号被保険者数も、見える化の第10期3年計10,275人に対し、こちらが用いている第10期将来推計用推計人口では10,284人で、差は9人（0.09％）です。分母となる人口には差がありません。</w:t>
      </w:r>
    </w:p>
    <w:p>
      <w:r>
        <w:t>いっぽう認定者数は8％前後ずれています。見える化は令和9年度849人・令和10年度850人・令和11年度841人、こちらは令和9年度782人・令和10年度781人・令和11年度780人です。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見える化（人）</w:t>
            </w:r>
          </w:p>
        </w:tc>
        <w:tc>
          <w:tcPr>
            <w:tcW w:type="dxa" w:w="1728"/>
          </w:tcPr>
          <w:p>
            <w:r>
              <w:rPr>
                <w:b/>
                <w:sz w:val="18"/>
              </w:rPr>
              <w:t>こちらの算定（人）</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849</w:t>
            </w:r>
          </w:p>
        </w:tc>
        <w:tc>
          <w:tcPr>
            <w:tcW w:type="dxa" w:w="1728"/>
          </w:tcPr>
          <w:p>
            <w:pPr>
              <w:jc w:val="right"/>
            </w:pPr>
            <w:r>
              <w:rPr>
                <w:sz w:val="18"/>
              </w:rPr>
              <w:t>782</w:t>
            </w:r>
          </w:p>
        </w:tc>
        <w:tc>
          <w:tcPr>
            <w:tcW w:type="dxa" w:w="1728"/>
          </w:tcPr>
          <w:p>
            <w:pPr>
              <w:jc w:val="right"/>
            </w:pPr>
            <w:r>
              <w:rPr>
                <w:sz w:val="18"/>
              </w:rPr>
              <w:t>+67</w:t>
            </w:r>
          </w:p>
        </w:tc>
        <w:tc>
          <w:tcPr>
            <w:tcW w:type="dxa" w:w="1728"/>
          </w:tcPr>
          <w:p>
            <w:pPr>
              <w:jc w:val="right"/>
            </w:pPr>
            <w:r>
              <w:rPr>
                <w:sz w:val="18"/>
              </w:rPr>
              <w:t>+8.6％</w:t>
            </w:r>
          </w:p>
        </w:tc>
      </w:tr>
      <w:tr>
        <w:tc>
          <w:tcPr>
            <w:tcW w:type="dxa" w:w="1728"/>
          </w:tcPr>
          <w:p>
            <w:r>
              <w:rPr>
                <w:sz w:val="18"/>
              </w:rPr>
              <w:t>令和10年度</w:t>
            </w:r>
          </w:p>
        </w:tc>
        <w:tc>
          <w:tcPr>
            <w:tcW w:type="dxa" w:w="1728"/>
          </w:tcPr>
          <w:p>
            <w:pPr>
              <w:jc w:val="right"/>
            </w:pPr>
            <w:r>
              <w:rPr>
                <w:sz w:val="18"/>
              </w:rPr>
              <w:t>850</w:t>
            </w:r>
          </w:p>
        </w:tc>
        <w:tc>
          <w:tcPr>
            <w:tcW w:type="dxa" w:w="1728"/>
          </w:tcPr>
          <w:p>
            <w:pPr>
              <w:jc w:val="right"/>
            </w:pPr>
            <w:r>
              <w:rPr>
                <w:sz w:val="18"/>
              </w:rPr>
              <w:t>781</w:t>
            </w:r>
          </w:p>
        </w:tc>
        <w:tc>
          <w:tcPr>
            <w:tcW w:type="dxa" w:w="1728"/>
          </w:tcPr>
          <w:p>
            <w:pPr>
              <w:jc w:val="right"/>
            </w:pPr>
            <w:r>
              <w:rPr>
                <w:sz w:val="18"/>
              </w:rPr>
              <w:t>+69</w:t>
            </w:r>
          </w:p>
        </w:tc>
        <w:tc>
          <w:tcPr>
            <w:tcW w:type="dxa" w:w="1728"/>
          </w:tcPr>
          <w:p>
            <w:pPr>
              <w:jc w:val="right"/>
            </w:pPr>
            <w:r>
              <w:rPr>
                <w:sz w:val="18"/>
              </w:rPr>
              <w:t>+8.8％</w:t>
            </w:r>
          </w:p>
        </w:tc>
      </w:tr>
      <w:tr>
        <w:tc>
          <w:tcPr>
            <w:tcW w:type="dxa" w:w="1728"/>
          </w:tcPr>
          <w:p>
            <w:r>
              <w:rPr>
                <w:sz w:val="18"/>
              </w:rPr>
              <w:t>令和11年度</w:t>
            </w:r>
          </w:p>
        </w:tc>
        <w:tc>
          <w:tcPr>
            <w:tcW w:type="dxa" w:w="1728"/>
          </w:tcPr>
          <w:p>
            <w:pPr>
              <w:jc w:val="right"/>
            </w:pPr>
            <w:r>
              <w:rPr>
                <w:sz w:val="18"/>
              </w:rPr>
              <w:t>841</w:t>
            </w:r>
          </w:p>
        </w:tc>
        <w:tc>
          <w:tcPr>
            <w:tcW w:type="dxa" w:w="1728"/>
          </w:tcPr>
          <w:p>
            <w:pPr>
              <w:jc w:val="right"/>
            </w:pPr>
            <w:r>
              <w:rPr>
                <w:sz w:val="18"/>
              </w:rPr>
              <w:t>780</w:t>
            </w:r>
          </w:p>
        </w:tc>
        <w:tc>
          <w:tcPr>
            <w:tcW w:type="dxa" w:w="1728"/>
          </w:tcPr>
          <w:p>
            <w:pPr>
              <w:jc w:val="right"/>
            </w:pPr>
            <w:r>
              <w:rPr>
                <w:sz w:val="18"/>
              </w:rPr>
              <w:t>+61</w:t>
            </w:r>
          </w:p>
        </w:tc>
        <w:tc>
          <w:tcPr>
            <w:tcW w:type="dxa" w:w="1728"/>
          </w:tcPr>
          <w:p>
            <w:pPr>
              <w:jc w:val="right"/>
            </w:pPr>
            <w:r>
              <w:rPr>
                <w:sz w:val="18"/>
              </w:rPr>
              <w:t>+7.8％</w:t>
            </w:r>
          </w:p>
        </w:tc>
      </w:tr>
      <w:tr>
        <w:tc>
          <w:tcPr>
            <w:tcW w:type="dxa" w:w="1728"/>
          </w:tcPr>
          <w:p>
            <w:r>
              <w:rPr>
                <w:sz w:val="18"/>
              </w:rPr>
              <w:t>3年計</w:t>
            </w:r>
          </w:p>
        </w:tc>
        <w:tc>
          <w:tcPr>
            <w:tcW w:type="dxa" w:w="1728"/>
          </w:tcPr>
          <w:p>
            <w:pPr>
              <w:jc w:val="right"/>
            </w:pPr>
            <w:r>
              <w:rPr>
                <w:sz w:val="18"/>
              </w:rPr>
              <w:t>2,540</w:t>
            </w:r>
          </w:p>
        </w:tc>
        <w:tc>
          <w:tcPr>
            <w:tcW w:type="dxa" w:w="1728"/>
          </w:tcPr>
          <w:p>
            <w:pPr>
              <w:jc w:val="right"/>
            </w:pPr>
            <w:r>
              <w:rPr>
                <w:sz w:val="18"/>
              </w:rPr>
              <w:t>2,343</w:t>
            </w:r>
          </w:p>
        </w:tc>
        <w:tc>
          <w:tcPr>
            <w:tcW w:type="dxa" w:w="1728"/>
          </w:tcPr>
          <w:p>
            <w:pPr>
              <w:jc w:val="right"/>
            </w:pPr>
            <w:r>
              <w:rPr>
                <w:sz w:val="18"/>
              </w:rPr>
              <w:t>+197</w:t>
            </w:r>
          </w:p>
        </w:tc>
        <w:tc>
          <w:tcPr>
            <w:tcW w:type="dxa" w:w="1728"/>
          </w:tcPr>
          <w:p>
            <w:pPr>
              <w:jc w:val="right"/>
            </w:pPr>
            <w:r>
              <w:rPr>
                <w:sz w:val="18"/>
              </w:rPr>
              <w:t>+8.4％</w:t>
            </w:r>
          </w:p>
        </w:tc>
      </w:tr>
    </w:tbl>
    <w:p/>
    <w:p>
      <w:r>
        <w:t>差の原因は基点の置き方です。見える化の自然体推計は直近年度の認定率を基点とし、そこに変化分（初期値は令和3年度→令和4年度の変化）を加えていきます。この直近年度の認定率は令和7年9月の865人によっています。令和7年9月は、国保連の月報で認定者数が961人から862人へ一段下がった月の直後であり、その後さらに866人から794人へ減っていく途中の点です。見える化はこの後半の減少を織り込んでいません。</w:t>
      </w:r>
    </w:p>
    <w:p>
      <w:r>
        <w:t>こちらの算定は、年齢階層別の認定率（令和7年度実績）を第10期将来推計用推計人口の年齢階層別人口に乗じており、令和8年3月末の第1号被保険者の認定者783人と接続します。認定者数の絶対水準としては、こちらの782人前後が令和8年3月末の実績に沿います。</w:t>
      </w:r>
    </w:p>
    <w:p>
      <w:r>
        <w:t>ただし、この差が見込量にそのまま出るわけではありません。見える化の見込量は「第1号被保険者数×認定率×利用率」の3段の掛け算で、利用率の分母は認定者数（在宅サービスは認定者数から施設・居住系の利用者数を引いたもの）です。認定率が高く出れば利用率が同じだけ低く出るため、認定率と利用率を断層の同じ側からそろえて採る限り、積は変わりません。したがって認定者数の差は、見込量そのものよりも、計画書に載せる認定者数の表と、認定率を使う指標の側に影響します。**計画書に載せる認定者数は、令和8年3月末の実績と接続するこちらの系列を採ります。**</w:t>
      </w:r>
    </w:p>
    <w:p/>
    <w:p>
      <w:r>
        <w:t>なお、見える化のワークシートの令和6年度の列は、指標によって年度がそろっていません。給付費の欄は14サービスすべてで年報の令和5年度と比が1.000で一致し、実体は令和5年度の実績です。同じ列の認定者数937人は、国保連の令和6年10月審査分（令和6年9月提供分）と一致します。列見出しの年度をそのまま読むと1年ずれますので、ワークシートから実績を読み取る際は指標ごとに年度を確かめる必要があります。</w:t>
      </w:r>
    </w:p>
    <w:p>
      <w:pPr>
        <w:pStyle w:val="Heading1"/>
      </w:pPr>
      <w:r>
        <w:rPr>
          <w:rFonts w:ascii="游ゴシック" w:hAnsi="游ゴシック" w:eastAsia="游ゴシック"/>
        </w:rPr>
        <w:t>3　サービス別に見た差</w:t>
      </w:r>
    </w:p>
    <w:p>
      <w: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589,849</w:t>
            </w:r>
          </w:p>
        </w:tc>
        <w:tc>
          <w:tcPr>
            <w:tcW w:type="dxa" w:w="2160"/>
          </w:tcPr>
          <w:p>
            <w:pPr>
              <w:jc w:val="right"/>
            </w:pPr>
            <w:r>
              <w:rPr>
                <w:sz w:val="18"/>
              </w:rPr>
              <w:t>+106,067</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44,161</w:t>
            </w:r>
          </w:p>
        </w:tc>
        <w:tc>
          <w:tcPr>
            <w:tcW w:type="dxa" w:w="2160"/>
          </w:tcPr>
          <w:p>
            <w:pPr>
              <w:jc w:val="right"/>
            </w:pPr>
            <w:r>
              <w:rPr>
                <w:sz w:val="18"/>
              </w:rPr>
              <w:t>+83,914</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382,076</w:t>
            </w:r>
          </w:p>
        </w:tc>
        <w:tc>
          <w:tcPr>
            <w:tcW w:type="dxa" w:w="2160"/>
          </w:tcPr>
          <w:p>
            <w:pPr>
              <w:jc w:val="right"/>
            </w:pPr>
            <w:r>
              <w:rPr>
                <w:sz w:val="18"/>
              </w:rPr>
              <w:t>-49,237</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140,570</w:t>
            </w:r>
          </w:p>
        </w:tc>
        <w:tc>
          <w:tcPr>
            <w:tcW w:type="dxa" w:w="2160"/>
          </w:tcPr>
          <w:p>
            <w:pPr>
              <w:jc w:val="right"/>
            </w:pPr>
            <w:r>
              <w:rPr>
                <w:sz w:val="18"/>
              </w:rPr>
              <w:t>+37,054</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77,669</w:t>
            </w:r>
          </w:p>
        </w:tc>
        <w:tc>
          <w:tcPr>
            <w:tcW w:type="dxa" w:w="2160"/>
          </w:tcPr>
          <w:p>
            <w:pPr>
              <w:jc w:val="right"/>
            </w:pPr>
            <w:r>
              <w:rPr>
                <w:sz w:val="18"/>
              </w:rPr>
              <w:t>+33,380</w:t>
            </w:r>
          </w:p>
        </w:tc>
      </w:tr>
      <w:tr>
        <w:tc>
          <w:tcPr>
            <w:tcW w:type="dxa" w:w="2160"/>
          </w:tcPr>
          <w:p>
            <w:r>
              <w:rPr>
                <w:sz w:val="18"/>
              </w:rPr>
              <w:t>居宅介護支援</w:t>
            </w:r>
          </w:p>
        </w:tc>
        <w:tc>
          <w:tcPr>
            <w:tcW w:type="dxa" w:w="2160"/>
          </w:tcPr>
          <w:p>
            <w:pPr>
              <w:jc w:val="right"/>
            </w:pPr>
            <w:r>
              <w:rPr>
                <w:sz w:val="18"/>
              </w:rPr>
              <w:t>155,121</w:t>
            </w:r>
          </w:p>
        </w:tc>
        <w:tc>
          <w:tcPr>
            <w:tcW w:type="dxa" w:w="2160"/>
          </w:tcPr>
          <w:p>
            <w:pPr>
              <w:jc w:val="right"/>
            </w:pPr>
            <w:r>
              <w:rPr>
                <w:sz w:val="18"/>
              </w:rPr>
              <w:t>136,322</w:t>
            </w:r>
          </w:p>
        </w:tc>
        <w:tc>
          <w:tcPr>
            <w:tcW w:type="dxa" w:w="2160"/>
          </w:tcPr>
          <w:p>
            <w:pPr>
              <w:jc w:val="right"/>
            </w:pPr>
            <w:r>
              <w:rPr>
                <w:sz w:val="18"/>
              </w:rPr>
              <w:t>+18,799</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363,814</w:t>
            </w:r>
          </w:p>
        </w:tc>
        <w:tc>
          <w:tcPr>
            <w:tcW w:type="dxa" w:w="2160"/>
          </w:tcPr>
          <w:p>
            <w:pPr>
              <w:jc w:val="right"/>
            </w:pPr>
            <w:r>
              <w:rPr>
                <w:sz w:val="18"/>
              </w:rPr>
              <w:t>-17,266</w:t>
            </w:r>
          </w:p>
        </w:tc>
      </w:tr>
      <w:tr>
        <w:tc>
          <w:tcPr>
            <w:tcW w:type="dxa" w:w="2160"/>
          </w:tcPr>
          <w:p>
            <w:r>
              <w:rPr>
                <w:sz w:val="18"/>
              </w:rPr>
              <w:t>訪問介護</w:t>
            </w:r>
          </w:p>
        </w:tc>
        <w:tc>
          <w:tcPr>
            <w:tcW w:type="dxa" w:w="2160"/>
          </w:tcPr>
          <w:p>
            <w:pPr>
              <w:jc w:val="right"/>
            </w:pPr>
            <w:r>
              <w:rPr>
                <w:sz w:val="18"/>
              </w:rPr>
              <w:t>99,954</w:t>
            </w:r>
          </w:p>
        </w:tc>
        <w:tc>
          <w:tcPr>
            <w:tcW w:type="dxa" w:w="2160"/>
          </w:tcPr>
          <w:p>
            <w:pPr>
              <w:jc w:val="right"/>
            </w:pPr>
            <w:r>
              <w:rPr>
                <w:sz w:val="18"/>
              </w:rPr>
              <w:t>84,342</w:t>
            </w:r>
          </w:p>
        </w:tc>
        <w:tc>
          <w:tcPr>
            <w:tcW w:type="dxa" w:w="2160"/>
          </w:tcPr>
          <w:p>
            <w:pPr>
              <w:jc w:val="right"/>
            </w:pPr>
            <w:r>
              <w:rPr>
                <w:sz w:val="18"/>
              </w:rPr>
              <w:t>+15,612</w:t>
            </w:r>
          </w:p>
        </w:tc>
      </w:tr>
    </w:tbl>
    <w:p/>
    <w:p>
      <w: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t>突合の過程で、こちらの算定に直すべき点が見つかりましたので、先に見込量算定を改めました。</w:t>
      </w:r>
    </w:p>
    <w:p>
      <w: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t>いっぽう、訪問介護（令和5→7年度▲17.2％の単調減）と介護予防小規模多機能型居宅介護（同＋41.4％の単調増）は、令和8年度の月報で向きが反転していますので、3年平均のまま置きました。</w:t>
      </w:r>
    </w:p>
    <w:p>
      <w:r>
        <w:t>この修正で、総給付費の第10期3年計は3,089,383千円から2,869,936千円へ、46,317千円（1.5％）下がりました。</w:t>
      </w:r>
    </w:p>
    <w:p>
      <w:pPr>
        <w:pStyle w:val="Heading1"/>
      </w:pPr>
      <w:r>
        <w:rPr>
          <w:rFonts w:ascii="游ゴシック" w:hAnsi="游ゴシック" w:eastAsia="游ゴシック"/>
        </w:rPr>
        <w:t>5　地域支援事業費（年報 様式4 で確認できます）</w:t>
      </w:r>
    </w:p>
    <w:p>
      <w: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t>令和7年度だけは年報そのものが未入力で、様式4の全科目がゼロです。したがって町にお願いするのは令和7年度の決算額だけで足ります。</w:t>
      </w:r>
    </w:p>
    <w:p>
      <w: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6,048円</w:t>
            </w:r>
          </w:p>
        </w:tc>
        <w:tc>
          <w:tcPr>
            <w:tcW w:type="dxa" w:w="2880"/>
          </w:tcPr>
          <w:p>
            <w:pPr>
              <w:jc w:val="right"/>
            </w:pPr>
            <w:r>
              <w:rPr>
                <w:sz w:val="18"/>
              </w:rPr>
              <w:t>-552円</w:t>
            </w:r>
          </w:p>
        </w:tc>
      </w:tr>
      <w:tr>
        <w:tc>
          <w:tcPr>
            <w:tcW w:type="dxa" w:w="2880"/>
          </w:tcPr>
          <w:p>
            <w:r>
              <w:rPr>
                <w:sz w:val="18"/>
              </w:rPr>
              <w:t>準備基金12,000千円を全額取り崩す場合</w:t>
            </w:r>
          </w:p>
        </w:tc>
        <w:tc>
          <w:tcPr>
            <w:tcW w:type="dxa" w:w="2880"/>
          </w:tcPr>
          <w:p>
            <w:pPr>
              <w:jc w:val="right"/>
            </w:pPr>
            <w:r>
              <w:rPr>
                <w:sz w:val="18"/>
              </w:rPr>
              <w:t>5,950円</w:t>
            </w:r>
          </w:p>
        </w:tc>
        <w:tc>
          <w:tcPr>
            <w:tcW w:type="dxa" w:w="2880"/>
          </w:tcPr>
          <w:p>
            <w:pPr>
              <w:jc w:val="right"/>
            </w:pPr>
            <w:r>
              <w:rPr>
                <w:sz w:val="18"/>
              </w:rPr>
              <w:t>-650円</w:t>
            </w:r>
          </w:p>
        </w:tc>
      </w:tr>
      <w:tr>
        <w:tc>
          <w:tcPr>
            <w:tcW w:type="dxa" w:w="2880"/>
          </w:tcPr>
          <w:p>
            <w:r>
              <w:rPr>
                <w:sz w:val="18"/>
              </w:rPr>
              <w:t>第9期と同じ35,000千円を取り崩す場合</w:t>
            </w:r>
          </w:p>
        </w:tc>
        <w:tc>
          <w:tcPr>
            <w:tcW w:type="dxa" w:w="2880"/>
          </w:tcPr>
          <w:p>
            <w:pPr>
              <w:jc w:val="right"/>
            </w:pPr>
            <w:r>
              <w:rPr>
                <w:sz w:val="18"/>
              </w:rPr>
              <w:t>5,761円</w:t>
            </w:r>
          </w:p>
        </w:tc>
        <w:tc>
          <w:tcPr>
            <w:tcW w:type="dxa" w:w="2880"/>
          </w:tcPr>
          <w:p>
            <w:pPr>
              <w:jc w:val="right"/>
            </w:pPr>
            <w:r>
              <w:rPr>
                <w:sz w:val="18"/>
              </w:rPr>
              <w:t>-839円</w:t>
            </w:r>
          </w:p>
        </w:tc>
      </w:tr>
    </w:tbl>
    <w:p/>
    <w:p>
      <w:r>
        <w:t>いずれも第9期の6,600円を下回ります。ただし第1号被保険者負担割合が24％になると6,317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第10期3年計で224,013千円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見込交付割合5.533％</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