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共通様式・運用ガイド一式のレビュー（第2版）</w:t>
      </w:r>
    </w:p>
    <w:p>
      <w:r>
        <w:t>小野町　第10期介護保険事業計画　／　令和8年9月25日</w:t>
      </w:r>
    </w:p>
    <w:p>
      <w:r>
        <w:t>第2版では、他団体の試算による逆算の結果を受けて、第2章と第4章を書き直しました。</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本書は第2版です。**初版（9月15日）で「アプリは認定者数、当方は第1号被保険者数」という二者択一の書き方をしましたが、これは誤りでした。他団体の試算での逆算により、見える化システムには分母の違う率が2系統あり、**見込量の算定に使う利用率の分母は認定者数**、第1号被保険者数は認定率を通じてのみ入ることが確かめられています。　　第1号被保険者数　×　認定率　×　利用率　　の3段です。</w:t>
      </w:r>
    </w:p>
    <w:p>
      <w:r>
        <w:t>**当方の1段方式は、この3段と代数的に同じものです。**第1号被保険者1人当たりの受給率は、認定率と利用率の積にほかなりません。</w:t>
      </w:r>
    </w:p>
    <w:p>
      <w:r>
        <w:t xml:space="preserve">　　第1号 ×（認定者÷第1号）×（受給者÷認定者）　＝　第1号 ×（受給者÷第1号）</w:t>
      </w:r>
    </w:p>
    <w:p>
      <w:r>
        <w:t>したがって両者の差は1つだけで、**将来の認定率 ÷ 基準期間の認定率**です。見える化は認定率を性別・5歳階級別に将来へ延ばし、当方は基準期間の受給率をそのまま据え置いています。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認定率の置き方</w:t>
            </w:r>
          </w:p>
        </w:tc>
        <w:tc>
          <w:tcPr>
            <w:tcW w:type="dxa" w:w="1728"/>
          </w:tcPr>
          <w:p>
            <w:pPr>
              <w:jc w:val="center"/>
            </w:pPr>
            <w:r>
              <w:rPr>
                <w:b/>
                <w:sz w:val="17"/>
              </w:rPr>
              <w:t>値</w:t>
            </w:r>
          </w:p>
        </w:tc>
        <w:tc>
          <w:tcPr>
            <w:tcW w:type="dxa" w:w="1728"/>
          </w:tcPr>
          <w:p>
            <w:pPr>
              <w:jc w:val="center"/>
            </w:pPr>
            <w:r>
              <w:rPr>
                <w:b/>
                <w:sz w:val="17"/>
              </w:rPr>
              <w:t>将来の認定率との比</w:t>
            </w:r>
          </w:p>
        </w:tc>
        <w:tc>
          <w:tcPr>
            <w:tcW w:type="dxa" w:w="1728"/>
          </w:tcPr>
          <w:p>
            <w:pPr>
              <w:jc w:val="center"/>
            </w:pPr>
            <w:r>
              <w:rPr>
                <w:b/>
                <w:sz w:val="17"/>
              </w:rPr>
              <w:t>総給付費（3年計）</w:t>
            </w:r>
          </w:p>
        </w:tc>
        <w:tc>
          <w:tcPr>
            <w:tcW w:type="dxa" w:w="1728"/>
          </w:tcPr>
          <w:p>
            <w:pPr>
              <w:jc w:val="center"/>
            </w:pPr>
            <w:r>
              <w:rPr>
                <w:b/>
                <w:sz w:val="17"/>
              </w:rPr>
              <w:t>保険料基準額（月額）</w:t>
            </w:r>
          </w:p>
        </w:tc>
      </w:tr>
      <w:tr>
        <w:tc>
          <w:tcPr>
            <w:tcW w:type="dxa" w:w="1728"/>
          </w:tcPr>
          <w:p>
            <w:r>
              <w:rPr>
                <w:sz w:val="17"/>
              </w:rPr>
              <w:t>当方の基準期間（令和5〜7年度の平均）　**断層をまたぐ**</w:t>
            </w:r>
          </w:p>
        </w:tc>
        <w:tc>
          <w:tcPr>
            <w:tcW w:type="dxa" w:w="1728"/>
          </w:tcPr>
          <w:p>
            <w:pPr>
              <w:jc w:val="right"/>
            </w:pPr>
            <w:r>
              <w:rPr>
                <w:sz w:val="17"/>
              </w:rPr>
              <w:t>25.45％</w:t>
            </w:r>
          </w:p>
        </w:tc>
        <w:tc>
          <w:tcPr>
            <w:tcW w:type="dxa" w:w="1728"/>
          </w:tcPr>
          <w:p>
            <w:pPr>
              <w:jc w:val="right"/>
            </w:pPr>
            <w:r>
              <w:rPr>
                <w:sz w:val="17"/>
              </w:rPr>
              <w:t>0.8907</w:t>
            </w:r>
          </w:p>
        </w:tc>
        <w:tc>
          <w:tcPr>
            <w:tcW w:type="dxa" w:w="1728"/>
          </w:tcPr>
          <w:p>
            <w:pPr>
              <w:jc w:val="right"/>
            </w:pPr>
            <w:r>
              <w:rPr>
                <w:sz w:val="17"/>
              </w:rPr>
              <w:t>2,556,392千円</w:t>
            </w:r>
          </w:p>
        </w:tc>
        <w:tc>
          <w:tcPr>
            <w:tcW w:type="dxa" w:w="1728"/>
          </w:tcPr>
          <w:p>
            <w:pPr>
              <w:jc w:val="right"/>
            </w:pPr>
            <w:r>
              <w:rPr>
                <w:sz w:val="17"/>
              </w:rPr>
              <w:t>5,426円</w:t>
            </w:r>
          </w:p>
        </w:tc>
      </w:tr>
      <w:tr>
        <w:tc>
          <w:tcPr>
            <w:tcW w:type="dxa" w:w="1728"/>
          </w:tcPr>
          <w:p>
            <w:r>
              <w:rPr>
                <w:sz w:val="17"/>
              </w:rPr>
              <w:t>断層後（令和7年度末 792人÷3,443人）</w:t>
            </w:r>
          </w:p>
        </w:tc>
        <w:tc>
          <w:tcPr>
            <w:tcW w:type="dxa" w:w="1728"/>
          </w:tcPr>
          <w:p>
            <w:pPr>
              <w:jc w:val="right"/>
            </w:pPr>
            <w:r>
              <w:rPr>
                <w:sz w:val="17"/>
              </w:rPr>
              <w:t>23.00％</w:t>
            </w:r>
          </w:p>
        </w:tc>
        <w:tc>
          <w:tcPr>
            <w:tcW w:type="dxa" w:w="1728"/>
          </w:tcPr>
          <w:p>
            <w:pPr>
              <w:jc w:val="right"/>
            </w:pPr>
            <w:r>
              <w:rPr>
                <w:sz w:val="17"/>
              </w:rPr>
              <w:t>0.9853</w:t>
            </w:r>
          </w:p>
        </w:tc>
        <w:tc>
          <w:tcPr>
            <w:tcW w:type="dxa" w:w="1728"/>
          </w:tcPr>
          <w:p>
            <w:pPr>
              <w:jc w:val="right"/>
            </w:pPr>
            <w:r>
              <w:rPr>
                <w:sz w:val="17"/>
              </w:rPr>
              <w:t>2,827,882千円</w:t>
            </w:r>
          </w:p>
        </w:tc>
        <w:tc>
          <w:tcPr>
            <w:tcW w:type="dxa" w:w="1728"/>
          </w:tcPr>
          <w:p>
            <w:pPr>
              <w:jc w:val="right"/>
            </w:pPr>
            <w:r>
              <w:rPr>
                <w:sz w:val="17"/>
              </w:rPr>
              <w:t>5,964円</w:t>
            </w:r>
          </w:p>
        </w:tc>
      </w:tr>
      <w:tr>
        <w:tc>
          <w:tcPr>
            <w:tcW w:type="dxa" w:w="1728"/>
          </w:tcPr>
          <w:p>
            <w:r>
              <w:rPr>
                <w:sz w:val="17"/>
              </w:rPr>
              <w:t>第10期の認定率見込（年齢階級別）</w:t>
            </w:r>
          </w:p>
        </w:tc>
        <w:tc>
          <w:tcPr>
            <w:tcW w:type="dxa" w:w="1728"/>
          </w:tcPr>
          <w:p>
            <w:pPr>
              <w:jc w:val="right"/>
            </w:pPr>
            <w:r>
              <w:rPr>
                <w:sz w:val="17"/>
              </w:rPr>
              <w:t>22.67％</w:t>
            </w:r>
          </w:p>
        </w:tc>
        <w:tc>
          <w:tcPr>
            <w:tcW w:type="dxa" w:w="1728"/>
          </w:tcPr>
          <w:p>
            <w:pPr>
              <w:jc w:val="right"/>
            </w:pPr>
            <w:r>
              <w:rPr>
                <w:sz w:val="17"/>
              </w:rPr>
              <w:t>―</w:t>
            </w:r>
          </w:p>
        </w:tc>
        <w:tc>
          <w:tcPr>
            <w:tcW w:type="dxa" w:w="1728"/>
          </w:tcPr>
          <w:p>
            <w:pPr>
              <w:jc w:val="right"/>
            </w:pPr>
            <w:r>
              <w:rPr>
                <w:sz w:val="17"/>
              </w:rPr>
              <w:t>（当方の現行）2,869,936千円</w:t>
            </w:r>
          </w:p>
        </w:tc>
        <w:tc>
          <w:tcPr>
            <w:tcW w:type="dxa" w:w="1728"/>
          </w:tcPr>
          <w:p>
            <w:pPr>
              <w:jc w:val="right"/>
            </w:pPr>
            <w:r>
              <w:rPr>
                <w:sz w:val="17"/>
              </w:rPr>
              <w:t>6,048円</w:t>
            </w:r>
          </w:p>
        </w:tc>
      </w:tr>
    </w:tbl>
    <w:p>
      <w:r>
        <w:t>**初版で「月額621円の差」と書いたのは、基準期間の認定率が令和7年9月の断層をまたいでいたためです。**断層後にそろえて比べると、総給付費の3年計で-42,054千円（-1.5％）、保険料基準額で月額-83円にとどまります。**小野町では両方式はほぼ同じ答えになります。**</w:t>
      </w:r>
    </w:p>
    <w:p>
      <w:r>
        <w:t>その理由は年齢構成です。小野町は85歳以上人口が令和5年度747人から令和11年度677人へ減り、75〜84歳が1,074人から1,217人へ増える局面にあります。**このため認定率がほとんど動きません**（断層後23.00％→第10期22.67％）。認定者数が高齢化で伸びる保険者とは向きが逆で、分母を取り違えたときに給付費が過小に出るという一般的な注意は、小野町ではほとんど効きません。ただし取り違え自体は同じく避けるべきです。</w:t>
      </w:r>
    </w:p>
    <w:p>
      <w:r>
        <w:t>そのほかの差異（給付費の出し方、基準期間の選び方、価格水準の調整、供給上限の掛け方）は初版のとおりです。アプリの様式で直したほうがよい点も7件のままです。</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認定者1人当たりの利用率。**見える化本体では、在宅サービスの分母は認定者数−施設・居住系利用者数の残余**</w:t>
            </w:r>
          </w:p>
        </w:tc>
        <w:tc>
          <w:tcPr>
            <w:tcW w:type="dxa" w:w="2880"/>
          </w:tcPr>
          <w:p>
            <w:r>
              <w:rPr>
                <w:sz w:val="17"/>
              </w:rPr>
              <w:t>率 ＝ 各年度の［件数 ÷ 第1号被保険者数］の平均。**残余の構造は持っていない**</w:t>
            </w:r>
          </w:p>
        </w:tc>
      </w:tr>
      <w:tr>
        <w:tc>
          <w:tcPr>
            <w:tcW w:type="dxa" w:w="2880"/>
          </w:tcPr>
          <w:p>
            <w:r>
              <w:rPr>
                <w:sz w:val="17"/>
              </w:rPr>
              <w:t>②　将来の利用者数</w:t>
            </w:r>
          </w:p>
        </w:tc>
        <w:tc>
          <w:tcPr>
            <w:tcW w:type="dxa" w:w="2880"/>
          </w:tcPr>
          <w:p>
            <w:r>
              <w:rPr>
                <w:sz w:val="17"/>
              </w:rPr>
              <w:t>users ＝ 将来の認定者見込 × rate × 受給率補正。将来の認定者見込は 第1号被保険者数 × 認定率（性別・5歳階級別）</w:t>
            </w:r>
          </w:p>
        </w:tc>
        <w:tc>
          <w:tcPr>
            <w:tcW w:type="dxa" w:w="2880"/>
          </w:tcPr>
          <w:p>
            <w:r>
              <w:rPr>
                <w:sz w:val="17"/>
              </w:rPr>
              <w:t>見込件数 ＝ 率 × 将来推計人口の第1号被保険者数。**認定率は基準期間の水準で据え置かれる**</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令和7年9月の断層は、認定率と利用率のどちらに効いているか</w:t>
      </w:r>
    </w:p>
    <w:p>
      <w:r>
        <w:t>3段の連鎖のうち、小野町で問題になるのは認定者数です。国保連月報（受給者の状況その1・その2）で28か月を並べると、**段差は認定者数にだけ現れ、受給者数は連続しています。**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審査年月</w:t>
            </w:r>
          </w:p>
        </w:tc>
        <w:tc>
          <w:tcPr>
            <w:tcW w:type="dxa" w:w="2160"/>
          </w:tcPr>
          <w:p>
            <w:pPr>
              <w:jc w:val="center"/>
            </w:pPr>
            <w:r>
              <w:rPr>
                <w:b/>
                <w:sz w:val="17"/>
              </w:rPr>
              <w:t>認定者数（人）</w:t>
            </w:r>
          </w:p>
        </w:tc>
        <w:tc>
          <w:tcPr>
            <w:tcW w:type="dxa" w:w="2160"/>
          </w:tcPr>
          <w:p>
            <w:pPr>
              <w:jc w:val="center"/>
            </w:pPr>
            <w:r>
              <w:rPr>
                <w:b/>
                <w:sz w:val="17"/>
              </w:rPr>
              <w:t>受給者数計（人）</w:t>
            </w:r>
          </w:p>
        </w:tc>
        <w:tc>
          <w:tcPr>
            <w:tcW w:type="dxa" w:w="2160"/>
          </w:tcPr>
          <w:p>
            <w:pPr>
              <w:jc w:val="center"/>
            </w:pPr>
            <w:r>
              <w:rPr>
                <w:b/>
                <w:sz w:val="17"/>
              </w:rPr>
              <w:t>利用率</w:t>
            </w:r>
          </w:p>
        </w:tc>
      </w:tr>
      <w:tr>
        <w:tc>
          <w:tcPr>
            <w:tcW w:type="dxa" w:w="2160"/>
          </w:tcPr>
          <w:p>
            <w:r>
              <w:rPr>
                <w:sz w:val="17"/>
              </w:rPr>
              <w:t>2025年6月</w:t>
            </w:r>
          </w:p>
        </w:tc>
        <w:tc>
          <w:tcPr>
            <w:tcW w:type="dxa" w:w="2160"/>
          </w:tcPr>
          <w:p>
            <w:pPr>
              <w:jc w:val="right"/>
            </w:pPr>
            <w:r>
              <w:rPr>
                <w:sz w:val="17"/>
              </w:rPr>
              <w:t>948</w:t>
            </w:r>
          </w:p>
        </w:tc>
        <w:tc>
          <w:tcPr>
            <w:tcW w:type="dxa" w:w="2160"/>
          </w:tcPr>
          <w:p>
            <w:pPr>
              <w:jc w:val="right"/>
            </w:pPr>
            <w:r>
              <w:rPr>
                <w:sz w:val="17"/>
              </w:rPr>
              <w:t>650</w:t>
            </w:r>
          </w:p>
        </w:tc>
        <w:tc>
          <w:tcPr>
            <w:tcW w:type="dxa" w:w="2160"/>
          </w:tcPr>
          <w:p>
            <w:pPr>
              <w:jc w:val="right"/>
            </w:pPr>
            <w:r>
              <w:rPr>
                <w:sz w:val="17"/>
              </w:rPr>
              <w:t>0.6857</w:t>
            </w:r>
          </w:p>
        </w:tc>
      </w:tr>
      <w:tr>
        <w:tc>
          <w:tcPr>
            <w:tcW w:type="dxa" w:w="2160"/>
          </w:tcPr>
          <w:p>
            <w:r>
              <w:rPr>
                <w:sz w:val="17"/>
              </w:rPr>
              <w:t>2025年7月</w:t>
            </w:r>
          </w:p>
        </w:tc>
        <w:tc>
          <w:tcPr>
            <w:tcW w:type="dxa" w:w="2160"/>
          </w:tcPr>
          <w:p>
            <w:pPr>
              <w:jc w:val="right"/>
            </w:pPr>
            <w:r>
              <w:rPr>
                <w:sz w:val="17"/>
              </w:rPr>
              <w:t>957</w:t>
            </w:r>
          </w:p>
        </w:tc>
        <w:tc>
          <w:tcPr>
            <w:tcW w:type="dxa" w:w="2160"/>
          </w:tcPr>
          <w:p>
            <w:pPr>
              <w:jc w:val="right"/>
            </w:pPr>
            <w:r>
              <w:rPr>
                <w:sz w:val="17"/>
              </w:rPr>
              <w:t>648</w:t>
            </w:r>
          </w:p>
        </w:tc>
        <w:tc>
          <w:tcPr>
            <w:tcW w:type="dxa" w:w="2160"/>
          </w:tcPr>
          <w:p>
            <w:pPr>
              <w:jc w:val="right"/>
            </w:pPr>
            <w:r>
              <w:rPr>
                <w:sz w:val="17"/>
              </w:rPr>
              <w:t>0.6771</w:t>
            </w:r>
          </w:p>
        </w:tc>
      </w:tr>
      <w:tr>
        <w:tc>
          <w:tcPr>
            <w:tcW w:type="dxa" w:w="2160"/>
          </w:tcPr>
          <w:p>
            <w:r>
              <w:rPr>
                <w:sz w:val="17"/>
              </w:rPr>
              <w:t>2025年8月</w:t>
            </w:r>
          </w:p>
        </w:tc>
        <w:tc>
          <w:tcPr>
            <w:tcW w:type="dxa" w:w="2160"/>
          </w:tcPr>
          <w:p>
            <w:pPr>
              <w:jc w:val="right"/>
            </w:pPr>
            <w:r>
              <w:rPr>
                <w:sz w:val="17"/>
              </w:rPr>
              <w:t>961</w:t>
            </w:r>
          </w:p>
        </w:tc>
        <w:tc>
          <w:tcPr>
            <w:tcW w:type="dxa" w:w="2160"/>
          </w:tcPr>
          <w:p>
            <w:pPr>
              <w:jc w:val="right"/>
            </w:pPr>
            <w:r>
              <w:rPr>
                <w:sz w:val="17"/>
              </w:rPr>
              <w:t>639</w:t>
            </w:r>
          </w:p>
        </w:tc>
        <w:tc>
          <w:tcPr>
            <w:tcW w:type="dxa" w:w="2160"/>
          </w:tcPr>
          <w:p>
            <w:pPr>
              <w:jc w:val="right"/>
            </w:pPr>
            <w:r>
              <w:rPr>
                <w:sz w:val="17"/>
              </w:rPr>
              <w:t>0.6649</w:t>
            </w:r>
          </w:p>
        </w:tc>
      </w:tr>
      <w:tr>
        <w:tc>
          <w:tcPr>
            <w:tcW w:type="dxa" w:w="2160"/>
          </w:tcPr>
          <w:p>
            <w:r>
              <w:rPr>
                <w:sz w:val="17"/>
              </w:rPr>
              <w:t>2025年9月</w:t>
            </w:r>
          </w:p>
        </w:tc>
        <w:tc>
          <w:tcPr>
            <w:tcW w:type="dxa" w:w="2160"/>
          </w:tcPr>
          <w:p>
            <w:pPr>
              <w:jc w:val="right"/>
            </w:pPr>
            <w:r>
              <w:rPr>
                <w:sz w:val="17"/>
              </w:rPr>
              <w:t>862</w:t>
            </w:r>
          </w:p>
        </w:tc>
        <w:tc>
          <w:tcPr>
            <w:tcW w:type="dxa" w:w="2160"/>
          </w:tcPr>
          <w:p>
            <w:pPr>
              <w:jc w:val="right"/>
            </w:pPr>
            <w:r>
              <w:rPr>
                <w:sz w:val="17"/>
              </w:rPr>
              <w:t>645</w:t>
            </w:r>
          </w:p>
        </w:tc>
        <w:tc>
          <w:tcPr>
            <w:tcW w:type="dxa" w:w="2160"/>
          </w:tcPr>
          <w:p>
            <w:pPr>
              <w:jc w:val="right"/>
            </w:pPr>
            <w:r>
              <w:rPr>
                <w:sz w:val="17"/>
              </w:rPr>
              <w:t>0.7483</w:t>
            </w:r>
          </w:p>
        </w:tc>
      </w:tr>
      <w:tr>
        <w:tc>
          <w:tcPr>
            <w:tcW w:type="dxa" w:w="2160"/>
          </w:tcPr>
          <w:p>
            <w:r>
              <w:rPr>
                <w:sz w:val="17"/>
              </w:rPr>
              <w:t>2025年10月</w:t>
            </w:r>
          </w:p>
        </w:tc>
        <w:tc>
          <w:tcPr>
            <w:tcW w:type="dxa" w:w="2160"/>
          </w:tcPr>
          <w:p>
            <w:pPr>
              <w:jc w:val="right"/>
            </w:pPr>
            <w:r>
              <w:rPr>
                <w:sz w:val="17"/>
              </w:rPr>
              <w:t>866</w:t>
            </w:r>
          </w:p>
        </w:tc>
        <w:tc>
          <w:tcPr>
            <w:tcW w:type="dxa" w:w="2160"/>
          </w:tcPr>
          <w:p>
            <w:pPr>
              <w:jc w:val="right"/>
            </w:pPr>
            <w:r>
              <w:rPr>
                <w:sz w:val="17"/>
              </w:rPr>
              <w:t>644</w:t>
            </w:r>
          </w:p>
        </w:tc>
        <w:tc>
          <w:tcPr>
            <w:tcW w:type="dxa" w:w="2160"/>
          </w:tcPr>
          <w:p>
            <w:pPr>
              <w:jc w:val="right"/>
            </w:pPr>
            <w:r>
              <w:rPr>
                <w:sz w:val="17"/>
              </w:rPr>
              <w:t>0.7436</w:t>
            </w:r>
          </w:p>
        </w:tc>
      </w:tr>
      <w:tr>
        <w:tc>
          <w:tcPr>
            <w:tcW w:type="dxa" w:w="2160"/>
          </w:tcPr>
          <w:p>
            <w:r>
              <w:rPr>
                <w:sz w:val="17"/>
              </w:rPr>
              <w:t>2025年11月</w:t>
            </w:r>
          </w:p>
        </w:tc>
        <w:tc>
          <w:tcPr>
            <w:tcW w:type="dxa" w:w="2160"/>
          </w:tcPr>
          <w:p>
            <w:pPr>
              <w:jc w:val="right"/>
            </w:pPr>
            <w:r>
              <w:rPr>
                <w:sz w:val="17"/>
              </w:rPr>
              <w:t>866</w:t>
            </w:r>
          </w:p>
        </w:tc>
        <w:tc>
          <w:tcPr>
            <w:tcW w:type="dxa" w:w="2160"/>
          </w:tcPr>
          <w:p>
            <w:pPr>
              <w:jc w:val="right"/>
            </w:pPr>
            <w:r>
              <w:rPr>
                <w:sz w:val="17"/>
              </w:rPr>
              <w:t>648</w:t>
            </w:r>
          </w:p>
        </w:tc>
        <w:tc>
          <w:tcPr>
            <w:tcW w:type="dxa" w:w="2160"/>
          </w:tcPr>
          <w:p>
            <w:pPr>
              <w:jc w:val="right"/>
            </w:pPr>
            <w:r>
              <w:rPr>
                <w:sz w:val="17"/>
              </w:rPr>
              <w:t>0.7483</w:t>
            </w:r>
          </w:p>
        </w:tc>
      </w:tr>
      <w:tr>
        <w:tc>
          <w:tcPr>
            <w:tcW w:type="dxa" w:w="2160"/>
          </w:tcPr>
          <w:p>
            <w:r>
              <w:rPr>
                <w:sz w:val="17"/>
              </w:rPr>
              <w:t>2025年12月</w:t>
            </w:r>
          </w:p>
        </w:tc>
        <w:tc>
          <w:tcPr>
            <w:tcW w:type="dxa" w:w="2160"/>
          </w:tcPr>
          <w:p>
            <w:pPr>
              <w:jc w:val="right"/>
            </w:pPr>
            <w:r>
              <w:rPr>
                <w:sz w:val="17"/>
              </w:rPr>
              <w:t>857</w:t>
            </w:r>
          </w:p>
        </w:tc>
        <w:tc>
          <w:tcPr>
            <w:tcW w:type="dxa" w:w="2160"/>
          </w:tcPr>
          <w:p>
            <w:pPr>
              <w:jc w:val="right"/>
            </w:pPr>
            <w:r>
              <w:rPr>
                <w:sz w:val="17"/>
              </w:rPr>
              <w:t>640</w:t>
            </w:r>
          </w:p>
        </w:tc>
        <w:tc>
          <w:tcPr>
            <w:tcW w:type="dxa" w:w="2160"/>
          </w:tcPr>
          <w:p>
            <w:pPr>
              <w:jc w:val="right"/>
            </w:pPr>
            <w:r>
              <w:rPr>
                <w:sz w:val="17"/>
              </w:rPr>
              <w:t>0.7468</w:t>
            </w:r>
          </w:p>
        </w:tc>
      </w:tr>
      <w:tr>
        <w:tc>
          <w:tcPr>
            <w:tcW w:type="dxa" w:w="2160"/>
          </w:tcPr>
          <w:p>
            <w:r>
              <w:rPr>
                <w:sz w:val="17"/>
              </w:rPr>
              <w:t>2026年1月</w:t>
            </w:r>
          </w:p>
        </w:tc>
        <w:tc>
          <w:tcPr>
            <w:tcW w:type="dxa" w:w="2160"/>
          </w:tcPr>
          <w:p>
            <w:pPr>
              <w:jc w:val="right"/>
            </w:pPr>
            <w:r>
              <w:rPr>
                <w:sz w:val="17"/>
              </w:rPr>
              <w:t>854</w:t>
            </w:r>
          </w:p>
        </w:tc>
        <w:tc>
          <w:tcPr>
            <w:tcW w:type="dxa" w:w="2160"/>
          </w:tcPr>
          <w:p>
            <w:pPr>
              <w:jc w:val="right"/>
            </w:pPr>
            <w:r>
              <w:rPr>
                <w:sz w:val="17"/>
              </w:rPr>
              <w:t>640</w:t>
            </w:r>
          </w:p>
        </w:tc>
        <w:tc>
          <w:tcPr>
            <w:tcW w:type="dxa" w:w="2160"/>
          </w:tcPr>
          <w:p>
            <w:pPr>
              <w:jc w:val="right"/>
            </w:pPr>
            <w:r>
              <w:rPr>
                <w:sz w:val="17"/>
              </w:rPr>
              <w:t>0.7494</w:t>
            </w:r>
          </w:p>
        </w:tc>
      </w:tr>
      <w:tr>
        <w:tc>
          <w:tcPr>
            <w:tcW w:type="dxa" w:w="2160"/>
          </w:tcPr>
          <w:p>
            <w:r>
              <w:rPr>
                <w:sz w:val="17"/>
              </w:rPr>
              <w:t>2026年2月</w:t>
            </w:r>
          </w:p>
        </w:tc>
        <w:tc>
          <w:tcPr>
            <w:tcW w:type="dxa" w:w="2160"/>
          </w:tcPr>
          <w:p>
            <w:pPr>
              <w:jc w:val="right"/>
            </w:pPr>
            <w:r>
              <w:rPr>
                <w:sz w:val="17"/>
              </w:rPr>
              <w:t>827</w:t>
            </w:r>
          </w:p>
        </w:tc>
        <w:tc>
          <w:tcPr>
            <w:tcW w:type="dxa" w:w="2160"/>
          </w:tcPr>
          <w:p>
            <w:pPr>
              <w:jc w:val="right"/>
            </w:pPr>
            <w:r>
              <w:rPr>
                <w:sz w:val="17"/>
              </w:rPr>
              <w:t>634</w:t>
            </w:r>
          </w:p>
        </w:tc>
        <w:tc>
          <w:tcPr>
            <w:tcW w:type="dxa" w:w="2160"/>
          </w:tcPr>
          <w:p>
            <w:pPr>
              <w:jc w:val="right"/>
            </w:pPr>
            <w:r>
              <w:rPr>
                <w:sz w:val="17"/>
              </w:rPr>
              <w:t>0.7666</w:t>
            </w:r>
          </w:p>
        </w:tc>
      </w:tr>
      <w:tr>
        <w:tc>
          <w:tcPr>
            <w:tcW w:type="dxa" w:w="2160"/>
          </w:tcPr>
          <w:p>
            <w:r>
              <w:rPr>
                <w:sz w:val="17"/>
              </w:rPr>
              <w:t>2026年3月</w:t>
            </w:r>
          </w:p>
        </w:tc>
        <w:tc>
          <w:tcPr>
            <w:tcW w:type="dxa" w:w="2160"/>
          </w:tcPr>
          <w:p>
            <w:pPr>
              <w:jc w:val="right"/>
            </w:pPr>
            <w:r>
              <w:rPr>
                <w:sz w:val="17"/>
              </w:rPr>
              <w:t>816</w:t>
            </w:r>
          </w:p>
        </w:tc>
        <w:tc>
          <w:tcPr>
            <w:tcW w:type="dxa" w:w="2160"/>
          </w:tcPr>
          <w:p>
            <w:pPr>
              <w:jc w:val="right"/>
            </w:pPr>
            <w:r>
              <w:rPr>
                <w:sz w:val="17"/>
              </w:rPr>
              <w:t>621</w:t>
            </w:r>
          </w:p>
        </w:tc>
        <w:tc>
          <w:tcPr>
            <w:tcW w:type="dxa" w:w="2160"/>
          </w:tcPr>
          <w:p>
            <w:pPr>
              <w:jc w:val="right"/>
            </w:pPr>
            <w:r>
              <w:rPr>
                <w:sz w:val="17"/>
              </w:rPr>
              <w:t>0.7610</w:t>
            </w:r>
          </w:p>
        </w:tc>
      </w:tr>
      <w:tr>
        <w:tc>
          <w:tcPr>
            <w:tcW w:type="dxa" w:w="2160"/>
          </w:tcPr>
          <w:p>
            <w:r>
              <w:rPr>
                <w:sz w:val="17"/>
              </w:rPr>
              <w:t>2026年4月</w:t>
            </w:r>
          </w:p>
        </w:tc>
        <w:tc>
          <w:tcPr>
            <w:tcW w:type="dxa" w:w="2160"/>
          </w:tcPr>
          <w:p>
            <w:pPr>
              <w:jc w:val="right"/>
            </w:pPr>
            <w:r>
              <w:rPr>
                <w:sz w:val="17"/>
              </w:rPr>
              <w:t>804</w:t>
            </w:r>
          </w:p>
        </w:tc>
        <w:tc>
          <w:tcPr>
            <w:tcW w:type="dxa" w:w="2160"/>
          </w:tcPr>
          <w:p>
            <w:pPr>
              <w:jc w:val="right"/>
            </w:pPr>
            <w:r>
              <w:rPr>
                <w:sz w:val="17"/>
              </w:rPr>
              <w:t>628</w:t>
            </w:r>
          </w:p>
        </w:tc>
        <w:tc>
          <w:tcPr>
            <w:tcW w:type="dxa" w:w="2160"/>
          </w:tcPr>
          <w:p>
            <w:pPr>
              <w:jc w:val="right"/>
            </w:pPr>
            <w:r>
              <w:rPr>
                <w:sz w:val="17"/>
              </w:rPr>
              <w:t>0.7811</w:t>
            </w:r>
          </w:p>
        </w:tc>
      </w:tr>
      <w:tr>
        <w:tc>
          <w:tcPr>
            <w:tcW w:type="dxa" w:w="2160"/>
          </w:tcPr>
          <w:p>
            <w:r>
              <w:rPr>
                <w:sz w:val="17"/>
              </w:rPr>
              <w:t>2026年5月</w:t>
            </w:r>
          </w:p>
        </w:tc>
        <w:tc>
          <w:tcPr>
            <w:tcW w:type="dxa" w:w="2160"/>
          </w:tcPr>
          <w:p>
            <w:pPr>
              <w:jc w:val="right"/>
            </w:pPr>
            <w:r>
              <w:rPr>
                <w:sz w:val="17"/>
              </w:rPr>
              <w:t>792</w:t>
            </w:r>
          </w:p>
        </w:tc>
        <w:tc>
          <w:tcPr>
            <w:tcW w:type="dxa" w:w="2160"/>
          </w:tcPr>
          <w:p>
            <w:pPr>
              <w:jc w:val="right"/>
            </w:pPr>
            <w:r>
              <w:rPr>
                <w:sz w:val="17"/>
              </w:rPr>
              <w:t>626</w:t>
            </w:r>
          </w:p>
        </w:tc>
        <w:tc>
          <w:tcPr>
            <w:tcW w:type="dxa" w:w="2160"/>
          </w:tcPr>
          <w:p>
            <w:pPr>
              <w:jc w:val="right"/>
            </w:pPr>
            <w:r>
              <w:rPr>
                <w:sz w:val="17"/>
              </w:rPr>
              <w:t>0.7904</w:t>
            </w:r>
          </w:p>
        </w:tc>
      </w:tr>
      <w:tr>
        <w:tc>
          <w:tcPr>
            <w:tcW w:type="dxa" w:w="2160"/>
          </w:tcPr>
          <w:p>
            <w:r>
              <w:rPr>
                <w:sz w:val="17"/>
              </w:rPr>
              <w:t>2026年6月</w:t>
            </w:r>
          </w:p>
        </w:tc>
        <w:tc>
          <w:tcPr>
            <w:tcW w:type="dxa" w:w="2160"/>
          </w:tcPr>
          <w:p>
            <w:pPr>
              <w:jc w:val="right"/>
            </w:pPr>
            <w:r>
              <w:rPr>
                <w:sz w:val="17"/>
              </w:rPr>
              <w:t>791</w:t>
            </w:r>
          </w:p>
        </w:tc>
        <w:tc>
          <w:tcPr>
            <w:tcW w:type="dxa" w:w="2160"/>
          </w:tcPr>
          <w:p>
            <w:pPr>
              <w:jc w:val="right"/>
            </w:pPr>
            <w:r>
              <w:rPr>
                <w:sz w:val="17"/>
              </w:rPr>
              <w:t>624</w:t>
            </w:r>
          </w:p>
        </w:tc>
        <w:tc>
          <w:tcPr>
            <w:tcW w:type="dxa" w:w="2160"/>
          </w:tcPr>
          <w:p>
            <w:pPr>
              <w:jc w:val="right"/>
            </w:pPr>
            <w:r>
              <w:rPr>
                <w:sz w:val="17"/>
              </w:rPr>
              <w:t>0.7889</w:t>
            </w:r>
          </w:p>
        </w:tc>
      </w:tr>
      <w:tr>
        <w:tc>
          <w:tcPr>
            <w:tcW w:type="dxa" w:w="2160"/>
          </w:tcPr>
          <w:p>
            <w:r>
              <w:rPr>
                <w:sz w:val="17"/>
              </w:rPr>
              <w:t>2026年7月</w:t>
            </w:r>
          </w:p>
        </w:tc>
        <w:tc>
          <w:tcPr>
            <w:tcW w:type="dxa" w:w="2160"/>
          </w:tcPr>
          <w:p>
            <w:pPr>
              <w:jc w:val="right"/>
            </w:pPr>
            <w:r>
              <w:rPr>
                <w:sz w:val="17"/>
              </w:rPr>
              <w:t>794</w:t>
            </w:r>
          </w:p>
        </w:tc>
        <w:tc>
          <w:tcPr>
            <w:tcW w:type="dxa" w:w="2160"/>
          </w:tcPr>
          <w:p>
            <w:pPr>
              <w:jc w:val="right"/>
            </w:pPr>
            <w:r>
              <w:rPr>
                <w:sz w:val="17"/>
              </w:rPr>
              <w:t>612</w:t>
            </w:r>
          </w:p>
        </w:tc>
        <w:tc>
          <w:tcPr>
            <w:tcW w:type="dxa" w:w="2160"/>
          </w:tcPr>
          <w:p>
            <w:pPr>
              <w:jc w:val="right"/>
            </w:pPr>
            <w:r>
              <w:rPr>
                <w:sz w:val="17"/>
              </w:rPr>
              <w:t>0.7708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区間</w:t>
            </w:r>
          </w:p>
        </w:tc>
        <w:tc>
          <w:tcPr>
            <w:tcW w:type="dxa" w:w="1728"/>
          </w:tcPr>
          <w:p>
            <w:pPr>
              <w:jc w:val="center"/>
            </w:pPr>
            <w:r>
              <w:rPr>
                <w:b/>
                <w:sz w:val="17"/>
              </w:rPr>
              <w:t>月数</w:t>
            </w:r>
          </w:p>
        </w:tc>
        <w:tc>
          <w:tcPr>
            <w:tcW w:type="dxa" w:w="1728"/>
          </w:tcPr>
          <w:p>
            <w:pPr>
              <w:jc w:val="center"/>
            </w:pPr>
            <w:r>
              <w:rPr>
                <w:b/>
                <w:sz w:val="17"/>
              </w:rPr>
              <w:t>認定者数（月平均）</w:t>
            </w:r>
          </w:p>
        </w:tc>
        <w:tc>
          <w:tcPr>
            <w:tcW w:type="dxa" w:w="1728"/>
          </w:tcPr>
          <w:p>
            <w:pPr>
              <w:jc w:val="center"/>
            </w:pPr>
            <w:r>
              <w:rPr>
                <w:b/>
                <w:sz w:val="17"/>
              </w:rPr>
              <w:t>受給者数計（月平均）</w:t>
            </w:r>
          </w:p>
        </w:tc>
        <w:tc>
          <w:tcPr>
            <w:tcW w:type="dxa" w:w="1728"/>
          </w:tcPr>
          <w:p>
            <w:pPr>
              <w:jc w:val="center"/>
            </w:pPr>
            <w:r>
              <w:rPr>
                <w:b/>
                <w:sz w:val="17"/>
              </w:rPr>
              <w:t>利用率</w:t>
            </w:r>
          </w:p>
        </w:tc>
      </w:tr>
      <w:tr>
        <w:tc>
          <w:tcPr>
            <w:tcW w:type="dxa" w:w="1728"/>
          </w:tcPr>
          <w:p>
            <w:r>
              <w:rPr>
                <w:sz w:val="17"/>
              </w:rPr>
              <w:t>断層前　202404〜202508</w:t>
            </w:r>
          </w:p>
        </w:tc>
        <w:tc>
          <w:tcPr>
            <w:tcW w:type="dxa" w:w="1728"/>
          </w:tcPr>
          <w:p>
            <w:pPr>
              <w:jc w:val="right"/>
            </w:pPr>
            <w:r>
              <w:rPr>
                <w:sz w:val="17"/>
              </w:rPr>
              <w:t>17か月</w:t>
            </w:r>
          </w:p>
        </w:tc>
        <w:tc>
          <w:tcPr>
            <w:tcW w:type="dxa" w:w="1728"/>
          </w:tcPr>
          <w:p>
            <w:pPr>
              <w:jc w:val="right"/>
            </w:pPr>
            <w:r>
              <w:rPr>
                <w:sz w:val="17"/>
              </w:rPr>
              <w:t>936.6</w:t>
            </w:r>
          </w:p>
        </w:tc>
        <w:tc>
          <w:tcPr>
            <w:tcW w:type="dxa" w:w="1728"/>
          </w:tcPr>
          <w:p>
            <w:pPr>
              <w:jc w:val="right"/>
            </w:pPr>
            <w:r>
              <w:rPr>
                <w:sz w:val="17"/>
              </w:rPr>
              <w:t>658.9</w:t>
            </w:r>
          </w:p>
        </w:tc>
        <w:tc>
          <w:tcPr>
            <w:tcW w:type="dxa" w:w="1728"/>
          </w:tcPr>
          <w:p>
            <w:pPr>
              <w:jc w:val="right"/>
            </w:pPr>
            <w:r>
              <w:rPr>
                <w:sz w:val="17"/>
              </w:rPr>
              <w:t>0.7034</w:t>
            </w:r>
          </w:p>
        </w:tc>
      </w:tr>
      <w:tr>
        <w:tc>
          <w:tcPr>
            <w:tcW w:type="dxa" w:w="1728"/>
          </w:tcPr>
          <w:p>
            <w:r>
              <w:rPr>
                <w:sz w:val="17"/>
              </w:rPr>
              <w:t>断層後　202509〜202607</w:t>
            </w:r>
          </w:p>
        </w:tc>
        <w:tc>
          <w:tcPr>
            <w:tcW w:type="dxa" w:w="1728"/>
          </w:tcPr>
          <w:p>
            <w:pPr>
              <w:jc w:val="right"/>
            </w:pPr>
            <w:r>
              <w:rPr>
                <w:sz w:val="17"/>
              </w:rPr>
              <w:t>11か月</w:t>
            </w:r>
          </w:p>
        </w:tc>
        <w:tc>
          <w:tcPr>
            <w:tcW w:type="dxa" w:w="1728"/>
          </w:tcPr>
          <w:p>
            <w:pPr>
              <w:jc w:val="right"/>
            </w:pPr>
            <w:r>
              <w:rPr>
                <w:sz w:val="17"/>
              </w:rPr>
              <w:t>829.9</w:t>
            </w:r>
          </w:p>
        </w:tc>
        <w:tc>
          <w:tcPr>
            <w:tcW w:type="dxa" w:w="1728"/>
          </w:tcPr>
          <w:p>
            <w:pPr>
              <w:jc w:val="right"/>
            </w:pPr>
            <w:r>
              <w:rPr>
                <w:sz w:val="17"/>
              </w:rPr>
              <w:t>632.9</w:t>
            </w:r>
          </w:p>
        </w:tc>
        <w:tc>
          <w:tcPr>
            <w:tcW w:type="dxa" w:w="1728"/>
          </w:tcPr>
          <w:p>
            <w:pPr>
              <w:jc w:val="right"/>
            </w:pPr>
            <w:r>
              <w:rPr>
                <w:sz w:val="17"/>
              </w:rPr>
              <w:t>0.7626</w:t>
            </w:r>
          </w:p>
        </w:tc>
      </w:tr>
      <w:tr>
        <w:tc>
          <w:tcPr>
            <w:tcW w:type="dxa" w:w="1728"/>
          </w:tcPr>
          <w:p>
            <w:r>
              <w:rPr>
                <w:sz w:val="17"/>
              </w:rPr>
              <w:t>変化</w:t>
            </w:r>
          </w:p>
        </w:tc>
        <w:tc>
          <w:tcPr>
            <w:tcW w:type="dxa" w:w="1728"/>
          </w:tcPr>
          <w:p>
            <w:pPr>
              <w:jc w:val="right"/>
            </w:pPr>
            <w:r>
              <w:rPr>
                <w:sz w:val="17"/>
              </w:rPr>
              <w:t>―</w:t>
            </w:r>
          </w:p>
        </w:tc>
        <w:tc>
          <w:tcPr>
            <w:tcW w:type="dxa" w:w="1728"/>
          </w:tcPr>
          <w:p>
            <w:pPr>
              <w:jc w:val="right"/>
            </w:pPr>
            <w:r>
              <w:rPr>
                <w:sz w:val="17"/>
              </w:rPr>
              <w:t>-11.4%</w:t>
            </w:r>
          </w:p>
        </w:tc>
        <w:tc>
          <w:tcPr>
            <w:tcW w:type="dxa" w:w="1728"/>
          </w:tcPr>
          <w:p>
            <w:pPr>
              <w:jc w:val="right"/>
            </w:pPr>
            <w:r>
              <w:rPr>
                <w:sz w:val="17"/>
              </w:rPr>
              <w:t>-3.9%</w:t>
            </w:r>
          </w:p>
        </w:tc>
        <w:tc>
          <w:tcPr>
            <w:tcW w:type="dxa" w:w="1728"/>
          </w:tcPr>
          <w:p>
            <w:pPr>
              <w:jc w:val="right"/>
            </w:pPr>
            <w:r>
              <w:rPr>
                <w:sz w:val="17"/>
              </w:rPr>
              <w:t>+8.4%</w:t>
            </w:r>
          </w:p>
        </w:tc>
      </w:tr>
    </w:tbl>
    <w:p>
      <w:r>
        <w:t>**認定者数が11.4％減る一方、受給者数計は3.9％しか減っていません。**令和7年8月審査分から9月審査分にかけて認定者数は961人から862人へ99人減りますが、受給者数計は639人から645人へ増えています。月ごとの利用率は0.66前後で推移していたものが9月に0.748へ跳ね、断層前後の平均で+8.4%動いています。</w:t>
      </w:r>
    </w:p>
    <w:p>
      <w:r>
        <w:t>**段差は分母にだけあり、実際の利用は連続しています。**認定者数の計上の仕方が変わったとみるのが自然です。とくに女性の95歳以上が129人から105人へ24人（18.6％）減っており、自然減では説明がつきません。</w:t>
      </w:r>
    </w:p>
    <w:p>
      <w:r>
        <w:t>ここから3つのことが言えます。</w:t>
      </w:r>
    </w:p>
    <w:p>
      <w:r>
        <w:t>**第一に、3段の連鎖は断層に強い。**認定率が下がると利用率が同じだけ上がるため、両方を断層の同じ側から採れば積は変わりません。分母を認定者数にすること自体が危ないのではなく、**基準期間が断層をまたぐことが危ない**のです。</w:t>
      </w:r>
    </w:p>
    <w:p>
      <w:r>
        <w:t>**第二に、当方が基準期間を令和5〜7年度としているのは、この点で不利です。**基準期間の認定率25.45％は断層前の26〜27％と断層後の23.00％の平均で、どちらの水準でもありません。</w:t>
      </w:r>
    </w:p>
    <w:p>
      <w:r>
        <w:t>**第三に、それでも小野町では答えがほとんど変わりません。**認定率が将来ほぼ横ばいだからです（第2章）。差は総給付費の3年計で-1.5％、保険料で月額-83円です。</w:t>
      </w:r>
    </w:p>
    <w:p>
      <w:r>
        <w:t>当面の扱いを次のとおりとします。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時点</w:t>
            </w:r>
          </w:p>
        </w:tc>
        <w:tc>
          <w:tcPr>
            <w:tcW w:type="dxa" w:w="4320"/>
          </w:tcPr>
          <w:p>
            <w:pPr>
              <w:jc w:val="center"/>
            </w:pPr>
            <w:r>
              <w:rPr>
                <w:b/>
                <w:sz w:val="17"/>
              </w:rPr>
              <w:t>扱い</w:t>
            </w:r>
          </w:p>
        </w:tc>
      </w:tr>
      <w:tr>
        <w:tc>
          <w:tcPr>
            <w:tcW w:type="dxa" w:w="4320"/>
          </w:tcPr>
          <w:p>
            <w:r>
              <w:rPr>
                <w:sz w:val="17"/>
              </w:rPr>
              <w:t>現在</w:t>
            </w:r>
          </w:p>
        </w:tc>
        <w:tc>
          <w:tcPr>
            <w:tcW w:type="dxa" w:w="4320"/>
          </w:tcPr>
          <w:p>
            <w:r>
              <w:rPr>
                <w:sz w:val="17"/>
              </w:rPr>
              <w:t>**第1号被保険者1人当たりの受給率による現行の算定を据え置く。**認定者数の計上方法が確認できていないため、断層をまたぐ認定率を3段に分解して使うより、受給率のまま置くほうが誤りが少ない。見える化の3段連鎖との差は月額83円</w:t>
            </w:r>
          </w:p>
        </w:tc>
      </w:tr>
      <w:tr>
        <w:tc>
          <w:tcPr>
            <w:tcW w:type="dxa" w:w="4320"/>
          </w:tcPr>
          <w:p>
            <w:r>
              <w:rPr>
                <w:sz w:val="17"/>
              </w:rPr>
              <w:t>計上方法が確認できたら（資料一覧 B17）</w:t>
            </w:r>
          </w:p>
        </w:tc>
        <w:tc>
          <w:tcPr>
            <w:tcW w:type="dxa" w:w="4320"/>
          </w:tcPr>
          <w:p>
            <w:r>
              <w:rPr>
                <w:sz w:val="17"/>
              </w:rPr>
              <w:t>**3段連鎖に組み替える。**断層前の認定者数を新しい基準へ引き直し、認定率と利用率を同じ基準の上でそろえる。国保連月報の断層後11か月（審査202509〜202607）で利用率を置ける</w:t>
            </w:r>
          </w:p>
        </w:tc>
      </w:tr>
      <w:tr>
        <w:tc>
          <w:tcPr>
            <w:tcW w:type="dxa" w:w="4320"/>
          </w:tcPr>
          <w:p>
            <w:r>
              <w:rPr>
                <w:sz w:val="17"/>
              </w:rPr>
              <w:t>小野町の見える化画面が受領できたら（A07・A08）</w:t>
            </w:r>
          </w:p>
        </w:tc>
        <w:tc>
          <w:tcPr>
            <w:tcW w:type="dxa" w:w="4320"/>
          </w:tcPr>
          <w:p>
            <w:r>
              <w:rPr>
                <w:sz w:val="17"/>
              </w:rPr>
              <w:t>**在宅サービスの利用率の分母を、認定者数−施設・居住系利用者数に改める。**当方はこの残余構造を持っていない。受給者の状況その2の居宅・地域密着型・施設の内訳から組める</w:t>
            </w:r>
          </w:p>
        </w:tc>
      </w:tr>
    </w:tbl>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見える化システムの分母の2系統（逆算による確認の記録）</w:t>
      </w:r>
    </w:p>
    <w:p>
      <w:r>
        <w:t>他団体の試算での逆算により、見える化システムには分母の違う率が2系統あり、混ぜると合わないことが確かめられています。記録として残します。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系統</w:t>
            </w:r>
          </w:p>
        </w:tc>
        <w:tc>
          <w:tcPr>
            <w:tcW w:type="dxa" w:w="2160"/>
          </w:tcPr>
          <w:p>
            <w:pPr>
              <w:jc w:val="center"/>
            </w:pPr>
            <w:r>
              <w:rPr>
                <w:b/>
                <w:sz w:val="17"/>
              </w:rPr>
              <w:t>指標</w:t>
            </w:r>
          </w:p>
        </w:tc>
        <w:tc>
          <w:tcPr>
            <w:tcW w:type="dxa" w:w="2160"/>
          </w:tcPr>
          <w:p>
            <w:pPr>
              <w:jc w:val="center"/>
            </w:pPr>
            <w:r>
              <w:rPr>
                <w:b/>
                <w:sz w:val="17"/>
              </w:rPr>
              <w:t>分母</w:t>
            </w:r>
          </w:p>
        </w:tc>
        <w:tc>
          <w:tcPr>
            <w:tcW w:type="dxa" w:w="2160"/>
          </w:tcPr>
          <w:p>
            <w:pPr>
              <w:jc w:val="center"/>
            </w:pPr>
            <w:r>
              <w:rPr>
                <w:b/>
                <w:sz w:val="17"/>
              </w:rPr>
              <w:t>用途</w:t>
            </w:r>
          </w:p>
        </w:tc>
      </w:tr>
      <w:tr>
        <w:tc>
          <w:tcPr>
            <w:tcW w:type="dxa" w:w="2160"/>
          </w:tcPr>
          <w:p>
            <w:r>
              <w:rPr>
                <w:sz w:val="17"/>
              </w:rPr>
              <w:t>Ａ</w:t>
            </w:r>
          </w:p>
        </w:tc>
        <w:tc>
          <w:tcPr>
            <w:tcW w:type="dxa" w:w="2160"/>
          </w:tcPr>
          <w:p>
            <w:r>
              <w:rPr>
                <w:sz w:val="17"/>
              </w:rPr>
              <w:t>要介護認定率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Ａ</w:t>
            </w:r>
          </w:p>
        </w:tc>
        <w:tc>
          <w:tcPr>
            <w:tcW w:type="dxa" w:w="2160"/>
          </w:tcPr>
          <w:p>
            <w:r>
              <w:rPr>
                <w:sz w:val="17"/>
              </w:rPr>
              <w:t>総括表詳細（２）の利用者数の割合／管理指標Ｄ32の受給率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Ｂ</w:t>
            </w:r>
          </w:p>
        </w:tc>
        <w:tc>
          <w:tcPr>
            <w:tcW w:type="dxa" w:w="2160"/>
          </w:tcPr>
          <w:p>
            <w:r>
              <w:rPr>
                <w:sz w:val="17"/>
              </w:rPr>
              <w:t>将来推計の「施設・居住系サービス利用率」</w:t>
            </w:r>
          </w:p>
        </w:tc>
        <w:tc>
          <w:tcPr>
            <w:tcW w:type="dxa" w:w="2160"/>
          </w:tcPr>
          <w:p>
            <w:r>
              <w:rPr>
                <w:sz w:val="17"/>
              </w:rPr>
              <w:t>認定者数</w:t>
            </w:r>
          </w:p>
        </w:tc>
        <w:tc>
          <w:tcPr>
            <w:tcW w:type="dxa" w:w="2160"/>
          </w:tcPr>
          <w:p>
            <w:r>
              <w:rPr>
                <w:sz w:val="17"/>
              </w:rPr>
              <w:t>見込量の算定</w:t>
            </w:r>
          </w:p>
        </w:tc>
      </w:tr>
      <w:tr>
        <w:tc>
          <w:tcPr>
            <w:tcW w:type="dxa" w:w="2160"/>
          </w:tcPr>
          <w:p>
            <w:r>
              <w:rPr>
                <w:sz w:val="17"/>
              </w:rPr>
              <w:t>Ｂ</w:t>
            </w:r>
          </w:p>
        </w:tc>
        <w:tc>
          <w:tcPr>
            <w:tcW w:type="dxa" w:w="2160"/>
          </w:tcPr>
          <w:p>
            <w:r>
              <w:rPr>
                <w:sz w:val="17"/>
              </w:rPr>
              <w:t>将来推計の「在宅サービス利用率」</w:t>
            </w:r>
          </w:p>
        </w:tc>
        <w:tc>
          <w:tcPr>
            <w:tcW w:type="dxa" w:w="2160"/>
          </w:tcPr>
          <w:p>
            <w:r>
              <w:rPr>
                <w:sz w:val="17"/>
              </w:rPr>
              <w:t>認定者数 − 施設・居住系サービス利用者数</w:t>
            </w:r>
          </w:p>
        </w:tc>
        <w:tc>
          <w:tcPr>
            <w:tcW w:type="dxa" w:w="2160"/>
          </w:tcPr>
          <w:p>
            <w:r>
              <w:rPr>
                <w:sz w:val="17"/>
              </w:rPr>
              <w:t>見込量の算定</w:t>
            </w:r>
          </w:p>
        </w:tc>
      </w:tr>
    </w:tbl>
    <w:p>
      <w:r>
        <w:t>逆算の根拠は次のとおりです。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w:t>
            </w:r>
          </w:p>
        </w:tc>
        <w:tc>
          <w:tcPr>
            <w:tcW w:type="dxa" w:w="4320"/>
          </w:tcPr>
          <w:p>
            <w:pPr>
              <w:jc w:val="center"/>
            </w:pPr>
            <w:r>
              <w:rPr>
                <w:b/>
                <w:sz w:val="17"/>
              </w:rPr>
              <w:t>根拠</w:t>
            </w:r>
          </w:p>
        </w:tc>
      </w:tr>
      <w:tr>
        <w:tc>
          <w:tcPr>
            <w:tcW w:type="dxa" w:w="4320"/>
          </w:tcPr>
          <w:p>
            <w:r>
              <w:rPr>
                <w:sz w:val="17"/>
              </w:rPr>
              <w:t>①</w:t>
            </w:r>
          </w:p>
        </w:tc>
        <w:tc>
          <w:tcPr>
            <w:tcW w:type="dxa" w:w="4320"/>
          </w:tcPr>
          <w:p>
            <w:r>
              <w:rPr>
                <w:sz w:val="17"/>
              </w:rPr>
              <w:t>推計誤差シートの説明文が連鎖を明記している。「前年9月の認定率・利用率をその年の9月の第1号被保険者数に乗じて求めた推計値」——第1号被保険者数×認定率×利用率の3段である。第1号被保険者数を利用率の分母にすると二重に効く</w:t>
            </w:r>
          </w:p>
        </w:tc>
      </w:tr>
      <w:tr>
        <w:tc>
          <w:tcPr>
            <w:tcW w:type="dxa" w:w="4320"/>
          </w:tcPr>
          <w:p>
            <w:r>
              <w:rPr>
                <w:sz w:val="17"/>
              </w:rPr>
              <w:t>②</w:t>
            </w:r>
          </w:p>
        </w:tc>
        <w:tc>
          <w:tcPr>
            <w:tcW w:type="dxa" w:w="4320"/>
          </w:tcPr>
          <w:p>
            <w:r>
              <w:rPr>
                <w:sz w:val="17"/>
              </w:rPr>
              <w:t>総括表詳細（２）を逆算すると、施設・居住系・在宅の全系列で同じ分母（第1号被保険者数）になる。サービスによらず一定である</w:t>
            </w:r>
          </w:p>
        </w:tc>
      </w:tr>
      <w:tr>
        <w:tc>
          <w:tcPr>
            <w:tcW w:type="dxa" w:w="4320"/>
          </w:tcPr>
          <w:p>
            <w:r>
              <w:rPr>
                <w:sz w:val="17"/>
              </w:rPr>
              <w:t>③</w:t>
            </w:r>
          </w:p>
        </w:tc>
        <w:tc>
          <w:tcPr>
            <w:tcW w:type="dxa" w:w="4320"/>
          </w:tcPr>
          <w:p>
            <w:r>
              <w:rPr>
                <w:sz w:val="17"/>
              </w:rPr>
              <w:t>将来推計の在宅サービス利用率を大口サービスで逆算すると、第1号被保険者数でも認定者数でもなく、認定者数−施設・居住系利用者数に当たる。画面の設定順が（3）施設・居住系→（4）在宅であることとも整合する</w:t>
            </w:r>
          </w:p>
        </w:tc>
      </w:tr>
    </w:tbl>
    <w:p>
      <w:r>
        <w:t>見分け方は、実績値からの逆算が確実です。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手がかり</w:t>
            </w:r>
          </w:p>
        </w:tc>
        <w:tc>
          <w:tcPr>
            <w:tcW w:type="dxa" w:w="2880"/>
          </w:tcPr>
          <w:p>
            <w:pPr>
              <w:jc w:val="center"/>
            </w:pPr>
            <w:r>
              <w:rPr>
                <w:b/>
                <w:sz w:val="17"/>
              </w:rPr>
              <w:t>分母が第1号被保険者数</w:t>
            </w:r>
          </w:p>
        </w:tc>
        <w:tc>
          <w:tcPr>
            <w:tcW w:type="dxa" w:w="2880"/>
          </w:tcPr>
          <w:p>
            <w:pPr>
              <w:jc w:val="center"/>
            </w:pPr>
            <w:r>
              <w:rPr>
                <w:b/>
                <w:sz w:val="17"/>
              </w:rPr>
              <w:t>分母が認定者数系</w:t>
            </w:r>
          </w:p>
        </w:tc>
      </w:tr>
      <w:tr>
        <w:tc>
          <w:tcPr>
            <w:tcW w:type="dxa" w:w="2880"/>
          </w:tcPr>
          <w:p>
            <w:r>
              <w:rPr>
                <w:sz w:val="17"/>
              </w:rPr>
              <w:t>月平均利用者数 ÷ 率</w:t>
            </w:r>
          </w:p>
        </w:tc>
        <w:tc>
          <w:tcPr>
            <w:tcW w:type="dxa" w:w="2880"/>
          </w:tcPr>
          <w:p>
            <w:r>
              <w:rPr>
                <w:sz w:val="17"/>
              </w:rPr>
              <w:t>被保険者数の桁（小野町なら3,400前後）</w:t>
            </w:r>
          </w:p>
        </w:tc>
        <w:tc>
          <w:tcPr>
            <w:tcW w:type="dxa" w:w="2880"/>
          </w:tcPr>
          <w:p>
            <w:r>
              <w:rPr>
                <w:sz w:val="17"/>
              </w:rPr>
              <w:t>認定者数の桁（小野町なら800前後、在宅ならさらに施設・居住系を引いた数）</w:t>
            </w:r>
          </w:p>
        </w:tc>
      </w:tr>
      <w:tr>
        <w:tc>
          <w:tcPr>
            <w:tcW w:type="dxa" w:w="2880"/>
          </w:tcPr>
          <w:p>
            <w:r>
              <w:rPr>
                <w:sz w:val="17"/>
              </w:rPr>
              <w:t>率の桁</w:t>
            </w:r>
          </w:p>
        </w:tc>
        <w:tc>
          <w:tcPr>
            <w:tcW w:type="dxa" w:w="2880"/>
          </w:tcPr>
          <w:p>
            <w:r>
              <w:rPr>
                <w:sz w:val="17"/>
              </w:rPr>
              <w:t>認定率20％前後、利用者数の割合1〜7％</w:t>
            </w:r>
          </w:p>
        </w:tc>
        <w:tc>
          <w:tcPr>
            <w:tcW w:type="dxa" w:w="2880"/>
          </w:tcPr>
          <w:p>
            <w:r>
              <w:rPr>
                <w:sz w:val="17"/>
              </w:rPr>
              <w:t>在宅サービス利用率0.02〜0.6</w:t>
            </w:r>
          </w:p>
        </w:tc>
      </w:tr>
    </w:tbl>
    <w:p>
      <w:r>
        <w:rPr>
          <w:sz w:val="18"/>
        </w:rPr>
        <w:t>※ この逆算は他団体の画面の写しと参考シートによるもので、小野町の画面で確認したものではありません。**他団体の数値は本件の成果品には用いていません。**小野町の認証後画面（資料一覧 A07・A08）が受領できた時点で照合します。施設・居住系サービス利用率の分母が認定者数であることは、在宅が残余であることと画面の設定順から導いた推定であり、確認事項として残ります。認定率の分子に第2号被保険者の認定者を含むかも未決です。いずれも分母が第1号被保険者数である点（系統Ａ）は変わりません。</w:t>
      </w:r>
    </w:p>
    <w:p>
      <w:pPr>
        <w:pStyle w:val="Heading1"/>
      </w:pPr>
      <w:r>
        <w:rPr>
          <w:rFonts w:ascii="游ゴシック" w:hAnsi="游ゴシック" w:eastAsia="游ゴシック"/>
        </w:rPr>
        <w:t>12　ご確認いただきたいこと</w:t>
      </w:r>
    </w:p>
    <w:p>
      <w:r>
        <w:t>1　令和7年8〜9月の認定者数の計上方法が変わったかどうかの確認（B17）。**これが取れれば3段連鎖に組み替えます。**組み替えによる差は小野町では月額83円にとどまりますが、見える化の画面と当方の値を一致させるために必要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