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before="0" w:line="276" w:lineRule="auto"/>
      </w:pPr>
      <w:r>
        <w:rPr>
          <w:rFonts w:ascii="游ゴシック" w:hAnsi="游ゴシック" w:eastAsia="游ゴシック"/>
          <w:b w:val="0"/>
          <w:sz w:val="21"/>
        </w:rPr>
      </w:r>
    </w:p>
    <w:p>
      <w:pPr>
        <w:spacing w:after="120" w:before="0" w:line="276" w:lineRule="auto"/>
        <w:jc w:val="center"/>
      </w:pPr>
      <w:r>
        <w:rPr>
          <w:rFonts w:ascii="游ゴシック" w:hAnsi="游ゴシック" w:eastAsia="游ゴシック"/>
          <w:b w:val="0"/>
          <w:sz w:val="24"/>
        </w:rPr>
        <w:t>大雪地区広域連合</w:t>
      </w:r>
    </w:p>
    <w:p>
      <w:pPr>
        <w:spacing w:after="120" w:before="0" w:line="276" w:lineRule="auto"/>
        <w:jc w:val="center"/>
      </w:pPr>
      <w:r>
        <w:rPr>
          <w:rFonts w:ascii="游ゴシック" w:hAnsi="游ゴシック" w:eastAsia="游ゴシック"/>
          <w:b/>
          <w:sz w:val="40"/>
        </w:rPr>
        <w:t>第10期介護保険事業計画（素案）の概要</w:t>
      </w:r>
    </w:p>
    <w:p>
      <w:pPr>
        <w:spacing w:after="440" w:before="0" w:line="276" w:lineRule="auto"/>
        <w:jc w:val="center"/>
      </w:pPr>
      <w:r>
        <w:rPr>
          <w:rFonts w:ascii="游ゴシック" w:hAnsi="游ゴシック" w:eastAsia="游ゴシック"/>
          <w:b w:val="0"/>
          <w:sz w:val="25"/>
        </w:rPr>
        <w:t>令和9年度から令和11年度まで</w:t>
      </w:r>
    </w:p>
    <w:p>
      <w:pPr>
        <w:spacing w:after="80" w:before="0" w:line="276" w:lineRule="auto"/>
        <w:jc w:val="center"/>
      </w:pPr>
      <w:r>
        <w:rPr>
          <w:rFonts w:ascii="游ゴシック" w:hAnsi="游ゴシック" w:eastAsia="游ゴシック"/>
          <w:b w:val="0"/>
          <w:sz w:val="21"/>
        </w:rPr>
        <w:t>基本理念</w:t>
      </w:r>
    </w:p>
    <w:p>
      <w:pPr>
        <w:spacing w:after="400" w:before="0" w:line="312" w:lineRule="auto"/>
        <w:jc w:val="center"/>
      </w:pPr>
      <w:r>
        <w:rPr>
          <w:rFonts w:ascii="游ゴシック" w:hAnsi="游ゴシック" w:eastAsia="游ゴシック"/>
          <w:b/>
          <w:sz w:val="26"/>
        </w:rPr>
        <w:t>住み慣れた地域で、必要な介護と支援を持続的に受けながら、自分らしく暮らし続けられる大雪圏域</w:t>
      </w:r>
    </w:p>
    <w:p>
      <w:pPr>
        <w:spacing w:before="40" w:after="60"/>
        <w:jc w:val="center"/>
      </w:pPr>
      <w:r>
        <w:drawing>
          <wp:inline xmlns:a="http://schemas.openxmlformats.org/drawingml/2006/main" xmlns:pic="http://schemas.openxmlformats.org/drawingml/2006/picture">
            <wp:extent cx="5544000" cy="2275683"/>
            <wp:docPr id="1" name="Picture 1"/>
            <wp:cNvGraphicFramePr>
              <a:graphicFrameLocks noChangeAspect="1"/>
            </wp:cNvGraphicFramePr>
            <a:graphic>
              <a:graphicData uri="http://schemas.openxmlformats.org/drawingml/2006/picture">
                <pic:pic>
                  <pic:nvPicPr>
                    <pic:cNvPr id="0" name="gaiyo_kenniki.png"/>
                    <pic:cNvPicPr/>
                  </pic:nvPicPr>
                  <pic:blipFill>
                    <a:blip r:embed="rId9"/>
                    <a:stretch>
                      <a:fillRect/>
                    </a:stretch>
                  </pic:blipFill>
                  <pic:spPr>
                    <a:xfrm>
                      <a:off x="0" y="0"/>
                      <a:ext cx="5544000" cy="2275683"/>
                    </a:xfrm>
                    <a:prstGeom prst="rect"/>
                  </pic:spPr>
                </pic:pic>
              </a:graphicData>
            </a:graphic>
          </wp:inline>
        </w:drawing>
      </w:r>
    </w:p>
    <w:p>
      <w:pPr>
        <w:spacing w:after="360" w:before="0" w:line="276" w:lineRule="auto"/>
        <w:jc w:val="center"/>
      </w:pPr>
      <w:r>
        <w:rPr>
          <w:rFonts w:ascii="游ゴシック" w:hAnsi="游ゴシック" w:eastAsia="游ゴシック"/>
          <w:b w:val="0"/>
          <w:sz w:val="22"/>
        </w:rPr>
        <w:t>東川町・美瑛町・東神楽町</w:t>
      </w:r>
    </w:p>
    <w:tbl>
      <w:tblPr>
        <w:tblStyle w:val="TableGrid"/>
        <w:tblW w:type="auto" w:w="0"/>
        <w:jc w:val="center"/>
        <w:tblLook w:firstColumn="1" w:firstRow="1" w:lastColumn="0" w:lastRow="0" w:noHBand="0" w:noVBand="1" w:val="04A0"/>
      </w:tblPr>
      <w:tblGrid>
        <w:gridCol w:w="9978"/>
      </w:tblGrid>
      <w:tr>
        <w:trPr>
          <w:cantSplit/>
        </w:trPr>
        <w:tc>
          <w:tcPr>
            <w:tcW w:type="dxa" w:w="9978"/>
          </w:tcPr>
          <w:p>
            <w:pPr>
              <w:spacing w:after="40"/>
            </w:pPr>
            <w:r/>
            <w:r>
              <w:rPr>
                <w:rFonts w:ascii="游ゴシック" w:hAnsi="游ゴシック" w:eastAsia="游ゴシック"/>
                <w:b/>
                <w:sz w:val="20"/>
              </w:rPr>
              <w:t>この冊子は計画の概要をまとめたものです。</w:t>
            </w:r>
          </w:p>
          <w:p>
            <w:pPr>
              <w:spacing w:after="0" w:line="269" w:lineRule="auto"/>
            </w:pPr>
            <w:r>
              <w:rPr>
                <w:rFonts w:ascii="游ゴシック" w:hAnsi="游ゴシック" w:eastAsia="游ゴシック"/>
                <w:b w:val="0"/>
                <w:sz w:val="19"/>
              </w:rPr>
              <w:t>計画の本編は大雪地区広域連合のホームページ及び構成3町の窓口でご覧いただけます。この冊子は本編の内容を住民の皆様に向けて書き直したものであり、数値は本編と同じものです。保険料は現時点の試算であり、今後の制度改正により変わります。</w:t>
            </w:r>
          </w:p>
        </w:tc>
      </w:tr>
    </w:tbl>
    <w:p>
      <w:r>
        <w:br w:type="page"/>
      </w:r>
    </w:p>
    <w:p>
      <w:pPr>
        <w:pStyle w:val="Heading1"/>
        <w:pBdr>
          <w:top w:val="single" w:sz="18" w:space="4" w:color="1F3864"/>
          <w:bottom w:val="single" w:sz="18" w:space="4" w:color="1F3864"/>
        </w:pBdr>
        <w:shd w:val="clear" w:color="auto" w:fill="F2F5FA"/>
        <w:spacing w:before="40" w:after="160"/>
      </w:pPr>
      <w:bookmarkStart w:id="2001" w:name="_Gai_001"/>
      <w:r>
        <w:rPr>
          <w:rFonts w:ascii="游ゴシック" w:hAnsi="游ゴシック" w:eastAsia="游ゴシック"/>
          <w:b/>
          <w:color w:val="1F3864"/>
          <w:sz w:val="29"/>
        </w:rPr>
        <w:t>1　計画の趣旨と位置付け</w:t>
      </w:r>
      <w:bookmarkEnd w:id="2001"/>
    </w:p>
    <w:p>
      <w:pPr>
        <w:spacing w:after="80" w:before="0" w:line="276" w:lineRule="auto"/>
      </w:pPr>
      <w:r>
        <w:rPr>
          <w:rFonts w:ascii="游ゴシック" w:hAnsi="游ゴシック" w:eastAsia="游ゴシック"/>
          <w:b w:val="0"/>
          <w:sz w:val="20"/>
        </w:rPr>
        <w:t>介護保険法は、市町村が3年を一期とする介護保険事業計画を定めることを求めています。大雪地区広域連合は、東川町・美瑛町・東神楽町が共同で介護保険を運営するために設けられた団体であり、3町に代わって計画を定め、保険料を決め、介護サービスの給付を行います。</w:t>
      </w:r>
    </w:p>
    <w:p>
      <w:pPr>
        <w:spacing w:after="80" w:before="0" w:line="276" w:lineRule="auto"/>
      </w:pPr>
      <w:r>
        <w:rPr>
          <w:rFonts w:ascii="游ゴシック" w:hAnsi="游ゴシック" w:eastAsia="游ゴシック"/>
          <w:b w:val="0"/>
          <w:sz w:val="20"/>
        </w:rPr>
        <w:t>この計画は、令和9年度から令和11年度までの3年間に、どれだけの介護サービスが必要になるかを見込み、その費用と保険料を定めるものです。あわせて、令和22（2040）年を見据えて、必要なときに必要なサービスを受けられる仕組みをどう保っていくかを示します。</w:t>
      </w:r>
    </w:p>
    <w:p>
      <w:pPr>
        <w:keepNext/>
        <w:spacing w:before="160" w:after="60"/>
      </w:pPr>
      <w:r>
        <w:rPr>
          <w:rFonts w:ascii="游ゴシック" w:hAnsi="游ゴシック" w:eastAsia="游ゴシック"/>
          <w:b/>
          <w:color w:val="1F3864"/>
          <w:sz w:val="23"/>
        </w:rPr>
        <w:t>生活圏域（本編の用語では日常生活圏域）</w:t>
      </w:r>
    </w:p>
    <w:p>
      <w:pPr>
        <w:spacing w:after="80" w:before="0" w:line="276" w:lineRule="auto"/>
      </w:pPr>
      <w:r>
        <w:rPr>
          <w:rFonts w:ascii="游ゴシック" w:hAnsi="游ゴシック" w:eastAsia="游ゴシック"/>
          <w:b w:val="0"/>
          <w:sz w:val="20"/>
        </w:rPr>
        <w:t>この計画では、東川町・美瑛町・東神楽町のそれぞれを一つの生活圏域とし、3つの圏域を設けます。3町は面積・人口・高齢化率が大きく異なるため、一つにまとめて扱わず、町ごとに状況をみて整備の方針を考えます。</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trPr>
        <w:tc>
          <w:tcPr>
            <w:tcW w:type="dxa" w:w="2494"/>
            <w:shd w:val="clear" w:color="auto" w:fill="DCE6F1"/>
          </w:tcPr>
          <w:p>
            <w:pPr>
              <w:spacing w:after="20"/>
              <w:jc w:val="center"/>
            </w:pPr>
            <w:r/>
            <w:r>
              <w:rPr>
                <w:rFonts w:ascii="游ゴシック" w:hAnsi="游ゴシック" w:eastAsia="游ゴシック"/>
                <w:b/>
                <w:sz w:val="19"/>
              </w:rPr>
              <w:t>生活圏域</w:t>
            </w:r>
          </w:p>
        </w:tc>
        <w:tc>
          <w:tcPr>
            <w:tcW w:type="dxa" w:w="2268"/>
            <w:shd w:val="clear" w:color="auto" w:fill="DCE6F1"/>
          </w:tcPr>
          <w:p>
            <w:pPr>
              <w:spacing w:after="20"/>
              <w:jc w:val="center"/>
            </w:pPr>
            <w:r/>
            <w:r>
              <w:rPr>
                <w:rFonts w:ascii="游ゴシック" w:hAnsi="游ゴシック" w:eastAsia="游ゴシック"/>
                <w:b/>
                <w:sz w:val="19"/>
              </w:rPr>
              <w:t>面積（km²）</w:t>
            </w:r>
          </w:p>
        </w:tc>
        <w:tc>
          <w:tcPr>
            <w:tcW w:type="dxa" w:w="2494"/>
            <w:shd w:val="clear" w:color="auto" w:fill="DCE6F1"/>
          </w:tcPr>
          <w:p>
            <w:pPr>
              <w:spacing w:after="20"/>
              <w:jc w:val="center"/>
            </w:pPr>
            <w:r/>
            <w:r>
              <w:rPr>
                <w:rFonts w:ascii="游ゴシック" w:hAnsi="游ゴシック" w:eastAsia="游ゴシック"/>
                <w:b/>
                <w:sz w:val="19"/>
              </w:rPr>
              <w:t>人口</w:t>
            </w:r>
          </w:p>
        </w:tc>
        <w:tc>
          <w:tcPr>
            <w:tcW w:type="dxa" w:w="2268"/>
            <w:shd w:val="clear" w:color="auto" w:fill="DCE6F1"/>
          </w:tcPr>
          <w:p>
            <w:pPr>
              <w:spacing w:after="20"/>
              <w:jc w:val="center"/>
            </w:pPr>
            <w:r/>
            <w:r>
              <w:rPr>
                <w:rFonts w:ascii="游ゴシック" w:hAnsi="游ゴシック" w:eastAsia="游ゴシック"/>
                <w:b/>
                <w:sz w:val="19"/>
              </w:rPr>
              <w:t>高齢化率</w:t>
            </w:r>
          </w:p>
        </w:tc>
      </w:tr>
      <w:tr>
        <w:trPr>
          <w:cantSplit/>
        </w:trPr>
        <w:tc>
          <w:tcPr>
            <w:tcW w:type="dxa" w:w="2494"/>
          </w:tcPr>
          <w:p>
            <w:pPr>
              <w:spacing w:after="20" w:line="254" w:lineRule="auto"/>
            </w:pPr>
            <w:r/>
            <w:r>
              <w:rPr>
                <w:rFonts w:ascii="游ゴシック" w:hAnsi="游ゴシック" w:eastAsia="游ゴシック"/>
                <w:b/>
                <w:sz w:val="19"/>
              </w:rPr>
              <w:t>東川町</w:t>
            </w:r>
          </w:p>
        </w:tc>
        <w:tc>
          <w:tcPr>
            <w:tcW w:type="dxa" w:w="2268"/>
          </w:tcPr>
          <w:p>
            <w:pPr>
              <w:spacing w:after="20" w:line="254" w:lineRule="auto"/>
              <w:jc w:val="center"/>
            </w:pPr>
            <w:r/>
            <w:r>
              <w:rPr>
                <w:rFonts w:ascii="游ゴシック" w:hAnsi="游ゴシック" w:eastAsia="游ゴシック"/>
                <w:b w:val="0"/>
                <w:sz w:val="19"/>
              </w:rPr>
              <w:t>247.30</w:t>
            </w:r>
          </w:p>
        </w:tc>
        <w:tc>
          <w:tcPr>
            <w:tcW w:type="dxa" w:w="2494"/>
          </w:tcPr>
          <w:p>
            <w:pPr>
              <w:spacing w:after="20" w:line="254" w:lineRule="auto"/>
              <w:jc w:val="center"/>
            </w:pPr>
            <w:r/>
            <w:r>
              <w:rPr>
                <w:rFonts w:ascii="游ゴシック" w:hAnsi="游ゴシック" w:eastAsia="游ゴシック"/>
                <w:b w:val="0"/>
                <w:sz w:val="19"/>
              </w:rPr>
              <w:t>8,558人</w:t>
            </w:r>
          </w:p>
        </w:tc>
        <w:tc>
          <w:tcPr>
            <w:tcW w:type="dxa" w:w="2268"/>
          </w:tcPr>
          <w:p>
            <w:pPr>
              <w:spacing w:after="20" w:line="254" w:lineRule="auto"/>
              <w:jc w:val="center"/>
            </w:pPr>
            <w:r/>
            <w:r>
              <w:rPr>
                <w:rFonts w:ascii="游ゴシック" w:hAnsi="游ゴシック" w:eastAsia="游ゴシック"/>
                <w:b w:val="0"/>
                <w:sz w:val="19"/>
              </w:rPr>
              <w:t>31.4％</w:t>
            </w:r>
          </w:p>
        </w:tc>
      </w:tr>
      <w:tr>
        <w:trPr>
          <w:cantSplit/>
        </w:trPr>
        <w:tc>
          <w:tcPr>
            <w:tcW w:type="dxa" w:w="2494"/>
          </w:tcPr>
          <w:p>
            <w:pPr>
              <w:spacing w:after="20" w:line="254" w:lineRule="auto"/>
            </w:pPr>
            <w:r/>
            <w:r>
              <w:rPr>
                <w:rFonts w:ascii="游ゴシック" w:hAnsi="游ゴシック" w:eastAsia="游ゴシック"/>
                <w:b/>
                <w:sz w:val="19"/>
              </w:rPr>
              <w:t>美瑛町</w:t>
            </w:r>
          </w:p>
        </w:tc>
        <w:tc>
          <w:tcPr>
            <w:tcW w:type="dxa" w:w="2268"/>
          </w:tcPr>
          <w:p>
            <w:pPr>
              <w:spacing w:after="20" w:line="254" w:lineRule="auto"/>
              <w:jc w:val="center"/>
            </w:pPr>
            <w:r/>
            <w:r>
              <w:rPr>
                <w:rFonts w:ascii="游ゴシック" w:hAnsi="游ゴシック" w:eastAsia="游ゴシック"/>
                <w:b w:val="0"/>
                <w:sz w:val="19"/>
              </w:rPr>
              <w:t>676.78</w:t>
            </w:r>
          </w:p>
        </w:tc>
        <w:tc>
          <w:tcPr>
            <w:tcW w:type="dxa" w:w="2494"/>
          </w:tcPr>
          <w:p>
            <w:pPr>
              <w:spacing w:after="20" w:line="254" w:lineRule="auto"/>
              <w:jc w:val="center"/>
            </w:pPr>
            <w:r/>
            <w:r>
              <w:rPr>
                <w:rFonts w:ascii="游ゴシック" w:hAnsi="游ゴシック" w:eastAsia="游ゴシック"/>
                <w:b w:val="0"/>
                <w:sz w:val="19"/>
              </w:rPr>
              <w:t>9,475人</w:t>
            </w:r>
          </w:p>
        </w:tc>
        <w:tc>
          <w:tcPr>
            <w:tcW w:type="dxa" w:w="2268"/>
          </w:tcPr>
          <w:p>
            <w:pPr>
              <w:spacing w:after="20" w:line="254" w:lineRule="auto"/>
              <w:jc w:val="center"/>
            </w:pPr>
            <w:r/>
            <w:r>
              <w:rPr>
                <w:rFonts w:ascii="游ゴシック" w:hAnsi="游ゴシック" w:eastAsia="游ゴシック"/>
                <w:b w:val="0"/>
                <w:sz w:val="19"/>
              </w:rPr>
              <w:t>38.8％</w:t>
            </w:r>
          </w:p>
        </w:tc>
      </w:tr>
      <w:tr>
        <w:trPr>
          <w:cantSplit/>
        </w:trPr>
        <w:tc>
          <w:tcPr>
            <w:tcW w:type="dxa" w:w="2494"/>
          </w:tcPr>
          <w:p>
            <w:pPr>
              <w:spacing w:after="20" w:line="254" w:lineRule="auto"/>
            </w:pPr>
            <w:r/>
            <w:r>
              <w:rPr>
                <w:rFonts w:ascii="游ゴシック" w:hAnsi="游ゴシック" w:eastAsia="游ゴシック"/>
                <w:b/>
                <w:sz w:val="19"/>
              </w:rPr>
              <w:t>東神楽町</w:t>
            </w:r>
          </w:p>
        </w:tc>
        <w:tc>
          <w:tcPr>
            <w:tcW w:type="dxa" w:w="2268"/>
          </w:tcPr>
          <w:p>
            <w:pPr>
              <w:spacing w:after="20" w:line="254" w:lineRule="auto"/>
              <w:jc w:val="center"/>
            </w:pPr>
            <w:r/>
            <w:r>
              <w:rPr>
                <w:rFonts w:ascii="游ゴシック" w:hAnsi="游ゴシック" w:eastAsia="游ゴシック"/>
                <w:b w:val="0"/>
                <w:sz w:val="19"/>
              </w:rPr>
              <w:t>68.50</w:t>
            </w:r>
          </w:p>
        </w:tc>
        <w:tc>
          <w:tcPr>
            <w:tcW w:type="dxa" w:w="2494"/>
          </w:tcPr>
          <w:p>
            <w:pPr>
              <w:spacing w:after="20" w:line="254" w:lineRule="auto"/>
              <w:jc w:val="center"/>
            </w:pPr>
            <w:r/>
            <w:r>
              <w:rPr>
                <w:rFonts w:ascii="游ゴシック" w:hAnsi="游ゴシック" w:eastAsia="游ゴシック"/>
                <w:b w:val="0"/>
                <w:sz w:val="19"/>
              </w:rPr>
              <w:t>9,854人</w:t>
            </w:r>
          </w:p>
        </w:tc>
        <w:tc>
          <w:tcPr>
            <w:tcW w:type="dxa" w:w="2268"/>
          </w:tcPr>
          <w:p>
            <w:pPr>
              <w:spacing w:after="20" w:line="254" w:lineRule="auto"/>
              <w:jc w:val="center"/>
            </w:pPr>
            <w:r/>
            <w:r>
              <w:rPr>
                <w:rFonts w:ascii="游ゴシック" w:hAnsi="游ゴシック" w:eastAsia="游ゴシック"/>
                <w:b w:val="0"/>
                <w:sz w:val="19"/>
              </w:rPr>
              <w:t>28.8％</w:t>
            </w:r>
          </w:p>
        </w:tc>
      </w:tr>
      <w:tr>
        <w:trPr>
          <w:cantSplit/>
        </w:trPr>
        <w:tc>
          <w:tcPr>
            <w:tcW w:type="dxa" w:w="2494"/>
          </w:tcPr>
          <w:p>
            <w:pPr>
              <w:spacing w:after="20" w:line="254" w:lineRule="auto"/>
            </w:pPr>
            <w:r/>
            <w:r>
              <w:rPr>
                <w:rFonts w:ascii="游ゴシック" w:hAnsi="游ゴシック" w:eastAsia="游ゴシック"/>
                <w:b/>
                <w:sz w:val="19"/>
              </w:rPr>
              <w:t>3町計</w:t>
            </w:r>
          </w:p>
        </w:tc>
        <w:tc>
          <w:tcPr>
            <w:tcW w:type="dxa" w:w="2268"/>
          </w:tcPr>
          <w:p>
            <w:pPr>
              <w:spacing w:after="20" w:line="254" w:lineRule="auto"/>
              <w:jc w:val="center"/>
            </w:pPr>
            <w:r/>
            <w:r>
              <w:rPr>
                <w:rFonts w:ascii="游ゴシック" w:hAnsi="游ゴシック" w:eastAsia="游ゴシック"/>
                <w:b w:val="0"/>
                <w:sz w:val="19"/>
              </w:rPr>
              <w:t>992.58</w:t>
            </w:r>
          </w:p>
        </w:tc>
        <w:tc>
          <w:tcPr>
            <w:tcW w:type="dxa" w:w="2494"/>
          </w:tcPr>
          <w:p>
            <w:pPr>
              <w:spacing w:after="20" w:line="254" w:lineRule="auto"/>
              <w:jc w:val="center"/>
            </w:pPr>
            <w:r/>
            <w:r>
              <w:rPr>
                <w:rFonts w:ascii="游ゴシック" w:hAnsi="游ゴシック" w:eastAsia="游ゴシック"/>
                <w:b w:val="0"/>
                <w:sz w:val="19"/>
              </w:rPr>
              <w:t>27,887人</w:t>
            </w:r>
          </w:p>
        </w:tc>
        <w:tc>
          <w:tcPr>
            <w:tcW w:type="dxa" w:w="2268"/>
          </w:tcPr>
          <w:p>
            <w:pPr>
              <w:spacing w:after="20" w:line="254" w:lineRule="auto"/>
              <w:jc w:val="center"/>
            </w:pPr>
            <w:r/>
            <w:r>
              <w:rPr>
                <w:rFonts w:ascii="游ゴシック" w:hAnsi="游ゴシック" w:eastAsia="游ゴシック"/>
                <w:b w:val="0"/>
                <w:sz w:val="19"/>
              </w:rPr>
              <w:t>32.9％</w:t>
            </w:r>
          </w:p>
        </w:tc>
      </w:tr>
    </w:tbl>
    <w:p>
      <w:pPr>
        <w:spacing w:before="40" w:after="80" w:line="259" w:lineRule="auto"/>
      </w:pPr>
      <w:r>
        <w:rPr>
          <w:rFonts w:ascii="游ゴシック" w:hAnsi="游ゴシック" w:eastAsia="游ゴシック"/>
          <w:b w:val="0"/>
          <w:sz w:val="16"/>
        </w:rPr>
        <w:t>資料：住民基本台帳　令和5年10月1日現在。高齢化率は65歳以上の方が人口に占める割合です。美瑛町には、このほかに統計や分析のための4つの地区を設けています。</w:t>
      </w:r>
    </w:p>
    <w:p>
      <w:pPr>
        <w:keepNext/>
        <w:spacing w:before="160" w:after="60"/>
      </w:pPr>
      <w:r>
        <w:rPr>
          <w:rFonts w:ascii="游ゴシック" w:hAnsi="游ゴシック" w:eastAsia="游ゴシック"/>
          <w:b/>
          <w:color w:val="1F3864"/>
          <w:sz w:val="23"/>
        </w:rPr>
        <w:t>第10期の主な制度改正</w:t>
      </w:r>
    </w:p>
    <w:p>
      <w:pPr>
        <w:spacing w:after="80" w:before="0" w:line="276" w:lineRule="auto"/>
      </w:pPr>
      <w:r>
        <w:rPr>
          <w:rFonts w:ascii="游ゴシック" w:hAnsi="游ゴシック" w:eastAsia="游ゴシック"/>
          <w:b w:val="0"/>
          <w:sz w:val="20"/>
        </w:rPr>
        <w:t>介護保険法などの改正により、令和9年4月から次のように変わります。計画はこれらを織り込んでいます。改正の全体は本編に掲げています。</w:t>
      </w:r>
    </w:p>
    <w:p>
      <w:pPr>
        <w:pStyle w:val="ListBullet"/>
        <w:spacing w:after="40" w:line="269" w:lineRule="auto"/>
        <w:ind w:left="340"/>
      </w:pPr>
      <w:r>
        <w:rPr>
          <w:rFonts w:ascii="游ゴシック" w:hAnsi="游ゴシック" w:eastAsia="游ゴシック"/>
          <w:b w:val="0"/>
          <w:sz w:val="19"/>
        </w:rPr>
        <w:t>要介護認定の申請を代わりに行える事業者が増えます。有料老人ホームや介護老人保健施設などをご利用の方は、その施設にお願いできるようになります。</w:t>
      </w:r>
    </w:p>
    <w:p>
      <w:pPr>
        <w:pStyle w:val="ListBullet"/>
        <w:spacing w:after="40" w:line="269" w:lineRule="auto"/>
        <w:ind w:left="340"/>
      </w:pPr>
      <w:r>
        <w:rPr>
          <w:rFonts w:ascii="游ゴシック" w:hAnsi="游ゴシック" w:eastAsia="游ゴシック"/>
          <w:b w:val="0"/>
          <w:sz w:val="19"/>
        </w:rPr>
        <w:t>マイナンバーカードで介護保険の資格を確かめられるようになります。</w:t>
      </w:r>
    </w:p>
    <w:p>
      <w:pPr>
        <w:pStyle w:val="ListBullet"/>
        <w:spacing w:after="40" w:line="269" w:lineRule="auto"/>
        <w:ind w:left="340"/>
      </w:pPr>
      <w:r>
        <w:rPr>
          <w:rFonts w:ascii="游ゴシック" w:hAnsi="游ゴシック" w:eastAsia="游ゴシック"/>
          <w:b w:val="0"/>
          <w:sz w:val="19"/>
        </w:rPr>
        <w:t>介護予防と住民同士の交流をあわせて行う通いの場の拠点を運営する事業が、市町村が行う事業として位置づけられます。</w:t>
      </w:r>
    </w:p>
    <w:p>
      <w:pPr>
        <w:pStyle w:val="ListBullet"/>
        <w:spacing w:after="40" w:line="269" w:lineRule="auto"/>
        <w:ind w:left="340"/>
      </w:pPr>
      <w:r>
        <w:rPr>
          <w:rFonts w:ascii="游ゴシック" w:hAnsi="游ゴシック" w:eastAsia="游ゴシック"/>
          <w:b w:val="0"/>
          <w:sz w:val="19"/>
        </w:rPr>
        <w:t>福祉用具を購入したときに支給される額の決め方が変わり、国が定める基準による額が上限となります。</w:t>
      </w:r>
    </w:p>
    <w:p>
      <w:pPr>
        <w:keepNext/>
        <w:spacing w:before="160" w:after="60"/>
      </w:pPr>
      <w:r>
        <w:rPr>
          <w:rFonts w:ascii="游ゴシック" w:hAnsi="游ゴシック" w:eastAsia="游ゴシック"/>
          <w:b/>
          <w:color w:val="1F3864"/>
          <w:sz w:val="23"/>
        </w:rPr>
        <w:t>計画の進め方</w:t>
      </w:r>
    </w:p>
    <w:p>
      <w:pPr>
        <w:spacing w:after="80" w:before="0" w:line="276" w:lineRule="auto"/>
      </w:pPr>
      <w:r>
        <w:rPr>
          <w:rFonts w:ascii="游ゴシック" w:hAnsi="游ゴシック" w:eastAsia="游ゴシック"/>
          <w:b w:val="0"/>
          <w:sz w:val="20"/>
        </w:rPr>
        <w:t>計画は、策定のための会議でのご審議、住民の皆様からのご意見の募集（パブリックコメント）、広域連合議会を経て定めます。定めた後も、毎年度その達成状況を点検し、結果を公表します。</w:t>
      </w:r>
    </w:p>
    <w:tbl>
      <w:tblPr>
        <w:tblStyle w:val="TableGrid"/>
        <w:tblW w:type="auto" w:w="0"/>
        <w:jc w:val="center"/>
        <w:tblLook w:firstColumn="1" w:firstRow="1" w:lastColumn="0" w:lastRow="0" w:noHBand="0" w:noVBand="1" w:val="04A0"/>
      </w:tblPr>
      <w:tblGrid>
        <w:gridCol w:w="9978"/>
      </w:tblGrid>
      <w:tr>
        <w:trPr>
          <w:cantSplit/>
        </w:trPr>
        <w:tc>
          <w:tcPr>
            <w:tcW w:type="dxa" w:w="9978"/>
            <w:shd w:val="clear" w:color="auto" w:fill="FFF2CC"/>
          </w:tcPr>
          <w:p>
            <w:pPr>
              <w:spacing w:after="40"/>
            </w:pPr>
            <w:r/>
            <w:r>
              <w:rPr>
                <w:rFonts w:ascii="游ゴシック" w:hAnsi="游ゴシック" w:eastAsia="游ゴシック"/>
                <w:b/>
                <w:sz w:val="20"/>
              </w:rPr>
              <w:t>【ご意見をお寄せください】論点1　日常生活圏域の設定</w:t>
            </w:r>
          </w:p>
          <w:p>
            <w:pPr>
              <w:spacing w:after="0" w:line="264" w:lineRule="auto"/>
            </w:pPr>
            <w:r>
              <w:rPr>
                <w:rFonts w:ascii="游ゴシック" w:hAnsi="游ゴシック" w:eastAsia="游ゴシック"/>
                <w:b w:val="0"/>
                <w:sz w:val="19"/>
              </w:rPr>
              <w:t>3町を3圏域とする考え方</w:t>
            </w:r>
          </w:p>
        </w:tc>
      </w:tr>
    </w:tbl>
    <w:p>
      <w:pPr>
        <w:spacing w:before="120" w:after="0"/>
        <w:jc w:val="right"/>
      </w:pPr>
      <w:r>
        <w:rPr>
          <w:rFonts w:ascii="游ゴシック" w:hAnsi="游ゴシック" w:eastAsia="游ゴシック"/>
          <w:b w:val="0"/>
          <w:sz w:val="17"/>
        </w:rPr>
        <w:t>詳しくは本編をご覧ください（第1章　1頁から22頁）</w:t>
      </w:r>
    </w:p>
    <w:p>
      <w:r>
        <w:br w:type="page"/>
      </w:r>
    </w:p>
    <w:p>
      <w:pPr>
        <w:pStyle w:val="Heading1"/>
        <w:pBdr>
          <w:top w:val="single" w:sz="18" w:space="4" w:color="1F3864"/>
          <w:bottom w:val="single" w:sz="18" w:space="4" w:color="1F3864"/>
        </w:pBdr>
        <w:shd w:val="clear" w:color="auto" w:fill="F2F5FA"/>
        <w:spacing w:before="40" w:after="160"/>
      </w:pPr>
      <w:bookmarkStart w:id="2002" w:name="_Gai_002"/>
      <w:r>
        <w:rPr>
          <w:rFonts w:ascii="游ゴシック" w:hAnsi="游ゴシック" w:eastAsia="游ゴシック"/>
          <w:b/>
          <w:color w:val="1F3864"/>
          <w:sz w:val="29"/>
        </w:rPr>
        <w:t>2　大雪圏域の現状</w:t>
      </w:r>
      <w:bookmarkEnd w:id="2002"/>
    </w:p>
    <w:p>
      <w:pPr>
        <w:spacing w:after="80" w:before="0" w:line="276" w:lineRule="auto"/>
      </w:pPr>
      <w:r>
        <w:rPr>
          <w:rFonts w:ascii="游ゴシック" w:hAnsi="游ゴシック" w:eastAsia="游ゴシック"/>
          <w:b w:val="0"/>
          <w:sz w:val="20"/>
        </w:rPr>
        <w:t>令和7年度の3町を合わせた人口は27,102人、65歳以上の方は9,090人です。介護が必要と認定された方は1,984人で、65歳以上の方に占める割合は21.8％です。</w:t>
      </w:r>
    </w:p>
    <w:p>
      <w:pPr>
        <w:spacing w:after="80" w:before="0" w:line="276" w:lineRule="auto"/>
      </w:pPr>
      <w:r>
        <w:rPr>
          <w:rFonts w:ascii="游ゴシック" w:hAnsi="游ゴシック" w:eastAsia="游ゴシック"/>
          <w:b w:val="0"/>
          <w:sz w:val="20"/>
        </w:rPr>
        <w:t>人口は減っていきますが、65歳以上の方の数はほぼ横ばいです。一方で85歳以上の方は1,990人から令和11年度に2,152人へ増えます。介護を必要とする方が増えるのは、この85歳以上の方の増加によるものです。</w:t>
      </w:r>
    </w:p>
    <w:p>
      <w:pPr>
        <w:spacing w:before="40" w:after="80" w:line="259" w:lineRule="auto"/>
      </w:pPr>
      <w:r>
        <w:rPr>
          <w:rFonts w:ascii="游ゴシック" w:hAnsi="游ゴシック" w:eastAsia="游ゴシック"/>
          <w:b w:val="0"/>
          <w:sz w:val="16"/>
        </w:rPr>
        <w:t>本頁の数値は令和7年度の値であり、前頁の生活圏域ごとの表は住民基本台帳　令和5年10月1日現在の値です。時点が異なります。</w:t>
      </w:r>
    </w:p>
    <w:p>
      <w:pPr>
        <w:spacing w:before="40" w:after="60"/>
        <w:jc w:val="center"/>
      </w:pPr>
      <w:r>
        <w:drawing>
          <wp:inline xmlns:a="http://schemas.openxmlformats.org/drawingml/2006/main" xmlns:pic="http://schemas.openxmlformats.org/drawingml/2006/picture">
            <wp:extent cx="3671999" cy="2506618"/>
            <wp:docPr id="2" name="Picture 2"/>
            <wp:cNvGraphicFramePr>
              <a:graphicFrameLocks noChangeAspect="1"/>
            </wp:cNvGraphicFramePr>
            <a:graphic>
              <a:graphicData uri="http://schemas.openxmlformats.org/drawingml/2006/picture">
                <pic:pic>
                  <pic:nvPicPr>
                    <pic:cNvPr id="0" name="fig02_aging_rate.png"/>
                    <pic:cNvPicPr/>
                  </pic:nvPicPr>
                  <pic:blipFill>
                    <a:blip r:embed="rId11"/>
                    <a:stretch>
                      <a:fillRect/>
                    </a:stretch>
                  </pic:blipFill>
                  <pic:spPr>
                    <a:xfrm>
                      <a:off x="0" y="0"/>
                      <a:ext cx="3671999" cy="2506618"/>
                    </a:xfrm>
                    <a:prstGeom prst="rect"/>
                  </pic:spPr>
                </pic:pic>
              </a:graphicData>
            </a:graphic>
          </wp:inline>
        </w:drawing>
      </w:r>
    </w:p>
    <w:p>
      <w:pPr>
        <w:keepNext/>
        <w:spacing w:before="160" w:after="60"/>
      </w:pPr>
      <w:r>
        <w:rPr>
          <w:rFonts w:ascii="游ゴシック" w:hAnsi="游ゴシック" w:eastAsia="游ゴシック"/>
          <w:b/>
          <w:color w:val="1F3864"/>
          <w:sz w:val="23"/>
        </w:rPr>
        <w:t>3町でサービスの整い方が異なります</w:t>
      </w:r>
    </w:p>
    <w:p>
      <w:pPr>
        <w:spacing w:after="80" w:before="0" w:line="276" w:lineRule="auto"/>
      </w:pPr>
      <w:r>
        <w:rPr>
          <w:rFonts w:ascii="游ゴシック" w:hAnsi="游ゴシック" w:eastAsia="游ゴシック"/>
          <w:b w:val="0"/>
          <w:sz w:val="20"/>
        </w:rPr>
        <w:t>次の表は、お住まいの町を事業の実施地域としている事業所の数です。同じサービスでも、お住まいの町により選べる数が違います。</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cantSplit/>
          <w:tblHeader/>
        </w:trPr>
        <w:tc>
          <w:tcPr>
            <w:tcW w:type="dxa" w:w="3061"/>
            <w:shd w:val="clear" w:color="auto" w:fill="DCE6F1"/>
          </w:tcPr>
          <w:p>
            <w:pPr>
              <w:spacing w:after="20"/>
              <w:jc w:val="center"/>
            </w:pPr>
            <w:r/>
            <w:r>
              <w:rPr>
                <w:rFonts w:ascii="游ゴシック" w:hAnsi="游ゴシック" w:eastAsia="游ゴシック"/>
                <w:b/>
                <w:sz w:val="19"/>
              </w:rPr>
              <w:t>サービス</w:t>
            </w:r>
          </w:p>
        </w:tc>
        <w:tc>
          <w:tcPr>
            <w:tcW w:type="dxa" w:w="1701"/>
            <w:shd w:val="clear" w:color="auto" w:fill="DCE6F1"/>
          </w:tcPr>
          <w:p>
            <w:pPr>
              <w:spacing w:after="20"/>
              <w:jc w:val="center"/>
            </w:pPr>
            <w:r/>
            <w:r>
              <w:rPr>
                <w:rFonts w:ascii="游ゴシック" w:hAnsi="游ゴシック" w:eastAsia="游ゴシック"/>
                <w:b/>
                <w:sz w:val="19"/>
              </w:rPr>
              <w:t>区域内の事業所数</w:t>
            </w:r>
          </w:p>
        </w:tc>
        <w:tc>
          <w:tcPr>
            <w:tcW w:type="dxa" w:w="1701"/>
            <w:shd w:val="clear" w:color="auto" w:fill="DCE6F1"/>
          </w:tcPr>
          <w:p>
            <w:pPr>
              <w:spacing w:after="20"/>
              <w:jc w:val="center"/>
            </w:pPr>
            <w:r/>
            <w:r>
              <w:rPr>
                <w:rFonts w:ascii="游ゴシック" w:hAnsi="游ゴシック" w:eastAsia="游ゴシック"/>
                <w:b/>
                <w:sz w:val="19"/>
              </w:rPr>
              <w:t>東川町</w:t>
            </w:r>
          </w:p>
        </w:tc>
        <w:tc>
          <w:tcPr>
            <w:tcW w:type="dxa" w:w="1701"/>
            <w:shd w:val="clear" w:color="auto" w:fill="DCE6F1"/>
          </w:tcPr>
          <w:p>
            <w:pPr>
              <w:spacing w:after="20"/>
              <w:jc w:val="center"/>
            </w:pPr>
            <w:r/>
            <w:r>
              <w:rPr>
                <w:rFonts w:ascii="游ゴシック" w:hAnsi="游ゴシック" w:eastAsia="游ゴシック"/>
                <w:b/>
                <w:sz w:val="19"/>
              </w:rPr>
              <w:t>美瑛町</w:t>
            </w:r>
          </w:p>
        </w:tc>
        <w:tc>
          <w:tcPr>
            <w:tcW w:type="dxa" w:w="1701"/>
            <w:shd w:val="clear" w:color="auto" w:fill="DCE6F1"/>
          </w:tcPr>
          <w:p>
            <w:pPr>
              <w:spacing w:after="20"/>
              <w:jc w:val="center"/>
            </w:pPr>
            <w:r/>
            <w:r>
              <w:rPr>
                <w:rFonts w:ascii="游ゴシック" w:hAnsi="游ゴシック" w:eastAsia="游ゴシック"/>
                <w:b/>
                <w:sz w:val="19"/>
              </w:rPr>
              <w:t>東神楽町</w:t>
            </w:r>
          </w:p>
        </w:tc>
      </w:tr>
      <w:tr>
        <w:trPr>
          <w:cantSplit/>
        </w:trPr>
        <w:tc>
          <w:tcPr>
            <w:tcW w:type="dxa" w:w="3061"/>
          </w:tcPr>
          <w:p>
            <w:pPr>
              <w:spacing w:after="20" w:line="254" w:lineRule="auto"/>
            </w:pPr>
            <w:r/>
            <w:r>
              <w:rPr>
                <w:rFonts w:ascii="游ゴシック" w:hAnsi="游ゴシック" w:eastAsia="游ゴシック"/>
                <w:b/>
                <w:sz w:val="19"/>
              </w:rPr>
              <w:t>訪問介護</w:t>
            </w:r>
          </w:p>
        </w:tc>
        <w:tc>
          <w:tcPr>
            <w:tcW w:type="dxa" w:w="1701"/>
          </w:tcPr>
          <w:p>
            <w:pPr>
              <w:spacing w:after="20" w:line="254" w:lineRule="auto"/>
              <w:jc w:val="center"/>
            </w:pPr>
            <w:r/>
            <w:r>
              <w:rPr>
                <w:rFonts w:ascii="游ゴシック" w:hAnsi="游ゴシック" w:eastAsia="游ゴシック"/>
                <w:b w:val="0"/>
                <w:sz w:val="19"/>
              </w:rPr>
              <w:t>13</w:t>
            </w:r>
          </w:p>
        </w:tc>
        <w:tc>
          <w:tcPr>
            <w:tcW w:type="dxa" w:w="1701"/>
          </w:tcPr>
          <w:p>
            <w:pPr>
              <w:spacing w:after="20" w:line="254" w:lineRule="auto"/>
              <w:jc w:val="center"/>
            </w:pPr>
            <w:r/>
            <w:r>
              <w:rPr>
                <w:rFonts w:ascii="游ゴシック" w:hAnsi="游ゴシック" w:eastAsia="游ゴシック"/>
                <w:b w:val="0"/>
                <w:sz w:val="19"/>
              </w:rPr>
              <w:t>5</w:t>
            </w:r>
          </w:p>
        </w:tc>
        <w:tc>
          <w:tcPr>
            <w:tcW w:type="dxa" w:w="1701"/>
          </w:tcPr>
          <w:p>
            <w:pPr>
              <w:spacing w:after="20" w:line="254" w:lineRule="auto"/>
              <w:jc w:val="center"/>
            </w:pPr>
            <w:r/>
            <w:r>
              <w:rPr>
                <w:rFonts w:ascii="游ゴシック" w:hAnsi="游ゴシック" w:eastAsia="游ゴシック"/>
                <w:b w:val="0"/>
                <w:sz w:val="19"/>
              </w:rPr>
              <w:t>4</w:t>
            </w:r>
          </w:p>
        </w:tc>
        <w:tc>
          <w:tcPr>
            <w:tcW w:type="dxa" w:w="1701"/>
          </w:tcPr>
          <w:p>
            <w:pPr>
              <w:spacing w:after="20" w:line="254" w:lineRule="auto"/>
              <w:jc w:val="center"/>
            </w:pPr>
            <w:r/>
            <w:r>
              <w:rPr>
                <w:rFonts w:ascii="游ゴシック" w:hAnsi="游ゴシック" w:eastAsia="游ゴシック"/>
                <w:b w:val="0"/>
                <w:sz w:val="19"/>
              </w:rPr>
              <w:t>6</w:t>
            </w:r>
          </w:p>
        </w:tc>
      </w:tr>
      <w:tr>
        <w:trPr>
          <w:cantSplit/>
        </w:trPr>
        <w:tc>
          <w:tcPr>
            <w:tcW w:type="dxa" w:w="3061"/>
          </w:tcPr>
          <w:p>
            <w:pPr>
              <w:spacing w:after="20" w:line="254" w:lineRule="auto"/>
            </w:pPr>
            <w:r/>
            <w:r>
              <w:rPr>
                <w:rFonts w:ascii="游ゴシック" w:hAnsi="游ゴシック" w:eastAsia="游ゴシック"/>
                <w:b/>
                <w:sz w:val="19"/>
              </w:rPr>
              <w:t>訪問看護</w:t>
            </w:r>
          </w:p>
        </w:tc>
        <w:tc>
          <w:tcPr>
            <w:tcW w:type="dxa" w:w="1701"/>
          </w:tcPr>
          <w:p>
            <w:pPr>
              <w:spacing w:after="20" w:line="254" w:lineRule="auto"/>
              <w:jc w:val="center"/>
            </w:pPr>
            <w:r/>
            <w:r>
              <w:rPr>
                <w:rFonts w:ascii="游ゴシック" w:hAnsi="游ゴシック" w:eastAsia="游ゴシック"/>
                <w:b w:val="0"/>
                <w:sz w:val="19"/>
              </w:rPr>
              <w:t>7</w:t>
            </w:r>
          </w:p>
        </w:tc>
        <w:tc>
          <w:tcPr>
            <w:tcW w:type="dxa" w:w="1701"/>
          </w:tcPr>
          <w:p>
            <w:pPr>
              <w:spacing w:after="20" w:line="254" w:lineRule="auto"/>
              <w:jc w:val="center"/>
            </w:pPr>
            <w:r/>
            <w:r>
              <w:rPr>
                <w:rFonts w:ascii="游ゴシック" w:hAnsi="游ゴシック" w:eastAsia="游ゴシック"/>
                <w:b w:val="0"/>
                <w:sz w:val="19"/>
              </w:rPr>
              <w:t>4</w:t>
            </w:r>
          </w:p>
        </w:tc>
        <w:tc>
          <w:tcPr>
            <w:tcW w:type="dxa" w:w="1701"/>
          </w:tcPr>
          <w:p>
            <w:pPr>
              <w:spacing w:after="20" w:line="254" w:lineRule="auto"/>
              <w:jc w:val="center"/>
            </w:pPr>
            <w:r/>
            <w:r>
              <w:rPr>
                <w:rFonts w:ascii="游ゴシック" w:hAnsi="游ゴシック" w:eastAsia="游ゴシック"/>
                <w:b w:val="0"/>
                <w:sz w:val="19"/>
              </w:rPr>
              <w:t>4</w:t>
            </w:r>
          </w:p>
        </w:tc>
        <w:tc>
          <w:tcPr>
            <w:tcW w:type="dxa" w:w="1701"/>
          </w:tcPr>
          <w:p>
            <w:pPr>
              <w:spacing w:after="20" w:line="254" w:lineRule="auto"/>
              <w:jc w:val="center"/>
            </w:pPr>
            <w:r/>
            <w:r>
              <w:rPr>
                <w:rFonts w:ascii="游ゴシック" w:hAnsi="游ゴシック" w:eastAsia="游ゴシック"/>
                <w:b w:val="0"/>
                <w:sz w:val="19"/>
              </w:rPr>
              <w:t>5</w:t>
            </w:r>
          </w:p>
        </w:tc>
      </w:tr>
      <w:tr>
        <w:trPr>
          <w:cantSplit/>
        </w:trPr>
        <w:tc>
          <w:tcPr>
            <w:tcW w:type="dxa" w:w="3061"/>
          </w:tcPr>
          <w:p>
            <w:pPr>
              <w:spacing w:after="20" w:line="254" w:lineRule="auto"/>
            </w:pPr>
            <w:r/>
            <w:r>
              <w:rPr>
                <w:rFonts w:ascii="游ゴシック" w:hAnsi="游ゴシック" w:eastAsia="游ゴシック"/>
                <w:b/>
                <w:sz w:val="19"/>
              </w:rPr>
              <w:t>通所介護</w:t>
            </w:r>
          </w:p>
        </w:tc>
        <w:tc>
          <w:tcPr>
            <w:tcW w:type="dxa" w:w="1701"/>
          </w:tcPr>
          <w:p>
            <w:pPr>
              <w:spacing w:after="20" w:line="254" w:lineRule="auto"/>
              <w:jc w:val="center"/>
            </w:pPr>
            <w:r/>
            <w:r>
              <w:rPr>
                <w:rFonts w:ascii="游ゴシック" w:hAnsi="游ゴシック" w:eastAsia="游ゴシック"/>
                <w:b w:val="0"/>
                <w:sz w:val="19"/>
              </w:rPr>
              <w:t>2</w:t>
            </w:r>
          </w:p>
        </w:tc>
        <w:tc>
          <w:tcPr>
            <w:tcW w:type="dxa" w:w="1701"/>
          </w:tcPr>
          <w:p>
            <w:pPr>
              <w:spacing w:after="20" w:line="254" w:lineRule="auto"/>
              <w:jc w:val="center"/>
            </w:pPr>
            <w:r/>
            <w:r>
              <w:rPr>
                <w:rFonts w:ascii="游ゴシック" w:hAnsi="游ゴシック" w:eastAsia="游ゴシック"/>
                <w:b w:val="0"/>
                <w:sz w:val="19"/>
              </w:rPr>
              <w:t>2</w:t>
            </w:r>
          </w:p>
        </w:tc>
        <w:tc>
          <w:tcPr>
            <w:tcW w:type="dxa" w:w="1701"/>
          </w:tcPr>
          <w:p>
            <w:pPr>
              <w:spacing w:after="20" w:line="254" w:lineRule="auto"/>
              <w:jc w:val="center"/>
            </w:pPr>
            <w:r/>
            <w:r>
              <w:rPr>
                <w:rFonts w:ascii="游ゴシック" w:hAnsi="游ゴシック" w:eastAsia="游ゴシック"/>
                <w:b w:val="0"/>
                <w:sz w:val="19"/>
              </w:rPr>
              <w:t>1</w:t>
            </w:r>
          </w:p>
        </w:tc>
        <w:tc>
          <w:tcPr>
            <w:tcW w:type="dxa" w:w="1701"/>
          </w:tcPr>
          <w:p>
            <w:pPr>
              <w:spacing w:after="20" w:line="254" w:lineRule="auto"/>
              <w:jc w:val="center"/>
            </w:pPr>
            <w:r/>
            <w:r>
              <w:rPr>
                <w:rFonts w:ascii="游ゴシック" w:hAnsi="游ゴシック" w:eastAsia="游ゴシック"/>
                <w:b w:val="0"/>
                <w:sz w:val="19"/>
              </w:rPr>
              <w:t>2</w:t>
            </w:r>
          </w:p>
        </w:tc>
      </w:tr>
      <w:tr>
        <w:trPr>
          <w:cantSplit/>
        </w:trPr>
        <w:tc>
          <w:tcPr>
            <w:tcW w:type="dxa" w:w="3061"/>
          </w:tcPr>
          <w:p>
            <w:pPr>
              <w:spacing w:after="20" w:line="254" w:lineRule="auto"/>
            </w:pPr>
            <w:r/>
            <w:r>
              <w:rPr>
                <w:rFonts w:ascii="游ゴシック" w:hAnsi="游ゴシック" w:eastAsia="游ゴシック"/>
                <w:b/>
                <w:sz w:val="19"/>
              </w:rPr>
              <w:t>地域密着型通所介護</w:t>
            </w:r>
          </w:p>
        </w:tc>
        <w:tc>
          <w:tcPr>
            <w:tcW w:type="dxa" w:w="1701"/>
          </w:tcPr>
          <w:p>
            <w:pPr>
              <w:spacing w:after="20" w:line="254" w:lineRule="auto"/>
              <w:jc w:val="center"/>
            </w:pPr>
            <w:r/>
            <w:r>
              <w:rPr>
                <w:rFonts w:ascii="游ゴシック" w:hAnsi="游ゴシック" w:eastAsia="游ゴシック"/>
                <w:b w:val="0"/>
                <w:sz w:val="19"/>
              </w:rPr>
              <w:t>4</w:t>
            </w:r>
          </w:p>
        </w:tc>
        <w:tc>
          <w:tcPr>
            <w:tcW w:type="dxa" w:w="1701"/>
          </w:tcPr>
          <w:p>
            <w:pPr>
              <w:spacing w:after="20" w:line="254" w:lineRule="auto"/>
              <w:jc w:val="center"/>
            </w:pPr>
            <w:r/>
            <w:r>
              <w:rPr>
                <w:rFonts w:ascii="游ゴシック" w:hAnsi="游ゴシック" w:eastAsia="游ゴシック"/>
                <w:b w:val="0"/>
                <w:sz w:val="19"/>
              </w:rPr>
              <w:t>1</w:t>
            </w:r>
          </w:p>
        </w:tc>
        <w:tc>
          <w:tcPr>
            <w:tcW w:type="dxa" w:w="1701"/>
          </w:tcPr>
          <w:p>
            <w:pPr>
              <w:spacing w:after="20" w:line="254" w:lineRule="auto"/>
              <w:jc w:val="center"/>
            </w:pPr>
            <w:r/>
            <w:r>
              <w:rPr>
                <w:rFonts w:ascii="游ゴシック" w:hAnsi="游ゴシック" w:eastAsia="游ゴシック"/>
                <w:b w:val="0"/>
                <w:sz w:val="19"/>
              </w:rPr>
              <w:t>4</w:t>
            </w:r>
          </w:p>
        </w:tc>
        <w:tc>
          <w:tcPr>
            <w:tcW w:type="dxa" w:w="1701"/>
          </w:tcPr>
          <w:p>
            <w:pPr>
              <w:spacing w:after="20" w:line="254" w:lineRule="auto"/>
              <w:jc w:val="center"/>
            </w:pPr>
            <w:r/>
            <w:r>
              <w:rPr>
                <w:rFonts w:ascii="游ゴシック" w:hAnsi="游ゴシック" w:eastAsia="游ゴシック"/>
                <w:b w:val="0"/>
                <w:sz w:val="19"/>
              </w:rPr>
              <w:t>1</w:t>
            </w:r>
          </w:p>
        </w:tc>
      </w:tr>
    </w:tbl>
    <w:p>
      <w:pPr>
        <w:spacing w:before="40" w:after="80" w:line="259" w:lineRule="auto"/>
      </w:pPr>
      <w:r>
        <w:rPr>
          <w:rFonts w:ascii="游ゴシック" w:hAnsi="游ゴシック" w:eastAsia="游ゴシック"/>
          <w:b w:val="0"/>
          <w:sz w:val="16"/>
        </w:rPr>
        <w:t>町の欄は、その町を運営規程の「通常の事業実施地域」としている事業所の数です。資料：北海道「介護保険事業所一覧」（令和8年6月30日〜7月1日現在）。</w:t>
      </w:r>
    </w:p>
    <w:p>
      <w:pPr>
        <w:spacing w:after="80" w:before="0" w:line="276" w:lineRule="auto"/>
      </w:pPr>
      <w:r>
        <w:rPr>
          <w:rFonts w:ascii="游ゴシック" w:hAnsi="游ゴシック" w:eastAsia="游ゴシック"/>
          <w:b w:val="0"/>
          <w:sz w:val="20"/>
        </w:rPr>
        <w:t>圏域内に事業所がないサービスもあります。その場合も圏域外の事業所のサービスを利用できますが、交通費などの実費をご負担いただくことがあります。</w:t>
      </w:r>
    </w:p>
    <w:p>
      <w:pPr>
        <w:spacing w:before="40" w:after="60"/>
        <w:jc w:val="center"/>
      </w:pPr>
      <w:r>
        <w:drawing>
          <wp:inline xmlns:a="http://schemas.openxmlformats.org/drawingml/2006/main" xmlns:pic="http://schemas.openxmlformats.org/drawingml/2006/picture">
            <wp:extent cx="3384000" cy="2125419"/>
            <wp:docPr id="3" name="Picture 3"/>
            <wp:cNvGraphicFramePr>
              <a:graphicFrameLocks noChangeAspect="1"/>
            </wp:cNvGraphicFramePr>
            <a:graphic>
              <a:graphicData uri="http://schemas.openxmlformats.org/drawingml/2006/picture">
                <pic:pic>
                  <pic:nvPicPr>
                    <pic:cNvPr id="0" name="fig24_2_zero.png"/>
                    <pic:cNvPicPr/>
                  </pic:nvPicPr>
                  <pic:blipFill>
                    <a:blip r:embed="rId12"/>
                    <a:stretch>
                      <a:fillRect/>
                    </a:stretch>
                  </pic:blipFill>
                  <pic:spPr>
                    <a:xfrm>
                      <a:off x="0" y="0"/>
                      <a:ext cx="3384000" cy="2125419"/>
                    </a:xfrm>
                    <a:prstGeom prst="rect"/>
                  </pic:spPr>
                </pic:pic>
              </a:graphicData>
            </a:graphic>
          </wp:inline>
        </w:drawing>
      </w:r>
    </w:p>
    <w:tbl>
      <w:tblPr>
        <w:tblStyle w:val="TableGrid"/>
        <w:tblW w:type="auto" w:w="0"/>
        <w:jc w:val="center"/>
        <w:tblLook w:firstColumn="1" w:firstRow="1" w:lastColumn="0" w:lastRow="0" w:noHBand="0" w:noVBand="1" w:val="04A0"/>
      </w:tblPr>
      <w:tblGrid>
        <w:gridCol w:w="9978"/>
      </w:tblGrid>
      <w:tr>
        <w:trPr>
          <w:cantSplit/>
        </w:trPr>
        <w:tc>
          <w:tcPr>
            <w:tcW w:type="dxa" w:w="9978"/>
            <w:shd w:val="clear" w:color="auto" w:fill="FFF2CC"/>
          </w:tcPr>
          <w:p>
            <w:pPr>
              <w:spacing w:after="40"/>
            </w:pPr>
            <w:r/>
            <w:r>
              <w:rPr>
                <w:rFonts w:ascii="游ゴシック" w:hAnsi="游ゴシック" w:eastAsia="游ゴシック"/>
                <w:b/>
                <w:sz w:val="20"/>
              </w:rPr>
              <w:t>【ご意見をお寄せください】論点2　3町の地域差への対応</w:t>
            </w:r>
          </w:p>
          <w:p>
            <w:pPr>
              <w:spacing w:after="0" w:line="264" w:lineRule="auto"/>
            </w:pPr>
            <w:r>
              <w:rPr>
                <w:rFonts w:ascii="游ゴシック" w:hAnsi="游ゴシック" w:eastAsia="游ゴシック"/>
                <w:b w:val="0"/>
                <w:sz w:val="19"/>
              </w:rPr>
              <w:t>一律の整備方針を採らないことの是非</w:t>
            </w:r>
          </w:p>
        </w:tc>
      </w:tr>
    </w:tbl>
    <w:p>
      <w:pPr>
        <w:spacing w:before="120" w:after="0"/>
        <w:jc w:val="right"/>
      </w:pPr>
      <w:r>
        <w:rPr>
          <w:rFonts w:ascii="游ゴシック" w:hAnsi="游ゴシック" w:eastAsia="游ゴシック"/>
          <w:b w:val="0"/>
          <w:sz w:val="17"/>
        </w:rPr>
        <w:t>詳しくは本編をご覧ください（第2章　23頁から55頁）</w:t>
      </w:r>
    </w:p>
    <w:p>
      <w:r>
        <w:br w:type="page"/>
      </w:r>
    </w:p>
    <w:p>
      <w:pPr>
        <w:pStyle w:val="Heading1"/>
        <w:pBdr>
          <w:top w:val="single" w:sz="18" w:space="4" w:color="1F3864"/>
          <w:bottom w:val="single" w:sz="18" w:space="4" w:color="1F3864"/>
        </w:pBdr>
        <w:shd w:val="clear" w:color="auto" w:fill="F2F5FA"/>
        <w:spacing w:before="40" w:after="160"/>
      </w:pPr>
      <w:bookmarkStart w:id="2003" w:name="_Gai_003"/>
      <w:r>
        <w:rPr>
          <w:rFonts w:ascii="游ゴシック" w:hAnsi="游ゴシック" w:eastAsia="游ゴシック"/>
          <w:b/>
          <w:color w:val="1F3864"/>
          <w:sz w:val="29"/>
        </w:rPr>
        <w:t>3　第9期計画（令和6年度〜令和8年度）の振り返り</w:t>
      </w:r>
      <w:bookmarkEnd w:id="2003"/>
    </w:p>
    <w:p>
      <w:pPr>
        <w:spacing w:after="80" w:before="0" w:line="276" w:lineRule="auto"/>
      </w:pPr>
      <w:r>
        <w:rPr>
          <w:rFonts w:ascii="游ゴシック" w:hAnsi="游ゴシック" w:eastAsia="游ゴシック"/>
          <w:b w:val="0"/>
          <w:sz w:val="20"/>
        </w:rPr>
        <w:t>第9期計画で掲げた目標について、どこまで進んだかを点検しました。計画の達成度をはかる指標は4項目でした。</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trPr>
        <w:tc>
          <w:tcPr>
            <w:tcW w:type="dxa" w:w="2608"/>
            <w:shd w:val="clear" w:color="auto" w:fill="DCE6F1"/>
          </w:tcPr>
          <w:p>
            <w:pPr>
              <w:spacing w:after="20"/>
              <w:jc w:val="center"/>
            </w:pPr>
            <w:r/>
            <w:r>
              <w:rPr>
                <w:rFonts w:ascii="游ゴシック" w:hAnsi="游ゴシック" w:eastAsia="游ゴシック"/>
                <w:b/>
                <w:sz w:val="18"/>
              </w:rPr>
              <w:t>指標</w:t>
            </w:r>
          </w:p>
        </w:tc>
        <w:tc>
          <w:tcPr>
            <w:tcW w:type="dxa" w:w="2494"/>
            <w:shd w:val="clear" w:color="auto" w:fill="DCE6F1"/>
          </w:tcPr>
          <w:p>
            <w:pPr>
              <w:spacing w:after="20"/>
              <w:jc w:val="center"/>
            </w:pPr>
            <w:r/>
            <w:r>
              <w:rPr>
                <w:rFonts w:ascii="游ゴシック" w:hAnsi="游ゴシック" w:eastAsia="游ゴシック"/>
                <w:b/>
                <w:sz w:val="18"/>
              </w:rPr>
              <w:t>第9期の目標</w:t>
            </w:r>
          </w:p>
        </w:tc>
        <w:tc>
          <w:tcPr>
            <w:tcW w:type="dxa" w:w="1814"/>
            <w:shd w:val="clear" w:color="auto" w:fill="DCE6F1"/>
          </w:tcPr>
          <w:p>
            <w:pPr>
              <w:spacing w:after="20"/>
              <w:jc w:val="center"/>
            </w:pPr>
            <w:r/>
            <w:r>
              <w:rPr>
                <w:rFonts w:ascii="游ゴシック" w:hAnsi="游ゴシック" w:eastAsia="游ゴシック"/>
                <w:b/>
                <w:sz w:val="18"/>
              </w:rPr>
              <w:t>実績</w:t>
            </w:r>
          </w:p>
        </w:tc>
        <w:tc>
          <w:tcPr>
            <w:tcW w:type="dxa" w:w="1701"/>
            <w:shd w:val="clear" w:color="auto" w:fill="DCE6F1"/>
          </w:tcPr>
          <w:p>
            <w:pPr>
              <w:spacing w:after="20"/>
              <w:jc w:val="center"/>
            </w:pPr>
            <w:r/>
            <w:r>
              <w:rPr>
                <w:rFonts w:ascii="游ゴシック" w:hAnsi="游ゴシック" w:eastAsia="游ゴシック"/>
                <w:b/>
                <w:sz w:val="18"/>
              </w:rPr>
              <w:t>評価</w:t>
            </w:r>
          </w:p>
        </w:tc>
      </w:tr>
      <w:tr>
        <w:trPr>
          <w:cantSplit/>
        </w:trPr>
        <w:tc>
          <w:tcPr>
            <w:tcW w:type="dxa" w:w="2608"/>
          </w:tcPr>
          <w:p>
            <w:pPr>
              <w:spacing w:after="20" w:line="254" w:lineRule="auto"/>
            </w:pPr>
            <w:r/>
            <w:r>
              <w:rPr>
                <w:rFonts w:ascii="游ゴシック" w:hAnsi="游ゴシック" w:eastAsia="游ゴシック"/>
                <w:b/>
                <w:sz w:val="18"/>
              </w:rPr>
              <w:t>介護が必要と認定された方の割合</w:t>
            </w:r>
          </w:p>
        </w:tc>
        <w:tc>
          <w:tcPr>
            <w:tcW w:type="dxa" w:w="2494"/>
          </w:tcPr>
          <w:p>
            <w:pPr>
              <w:spacing w:after="20" w:line="254" w:lineRule="auto"/>
            </w:pPr>
            <w:r/>
            <w:r>
              <w:rPr>
                <w:rFonts w:ascii="游ゴシック" w:hAnsi="游ゴシック" w:eastAsia="游ゴシック"/>
                <w:b w:val="0"/>
                <w:sz w:val="18"/>
              </w:rPr>
              <w:t>R6～R8とも20.8％を維持</w:t>
            </w:r>
          </w:p>
        </w:tc>
        <w:tc>
          <w:tcPr>
            <w:tcW w:type="dxa" w:w="1814"/>
          </w:tcPr>
          <w:p>
            <w:pPr>
              <w:spacing w:after="20" w:line="254" w:lineRule="auto"/>
            </w:pPr>
            <w:r/>
            <w:r>
              <w:rPr>
                <w:rFonts w:ascii="游ゴシック" w:hAnsi="游ゴシック" w:eastAsia="游ゴシック"/>
                <w:b w:val="0"/>
                <w:sz w:val="18"/>
              </w:rPr>
              <w:t>21.8％</w:t>
            </w:r>
          </w:p>
        </w:tc>
        <w:tc>
          <w:tcPr>
            <w:tcW w:type="dxa" w:w="1701"/>
          </w:tcPr>
          <w:p>
            <w:pPr>
              <w:spacing w:after="20" w:line="254" w:lineRule="auto"/>
              <w:jc w:val="center"/>
            </w:pPr>
            <w:r/>
            <w:r>
              <w:rPr>
                <w:rFonts w:ascii="游ゴシック" w:hAnsi="游ゴシック" w:eastAsia="游ゴシック"/>
                <w:b w:val="0"/>
                <w:sz w:val="18"/>
              </w:rPr>
              <w:t>未達</w:t>
            </w:r>
          </w:p>
        </w:tc>
      </w:tr>
      <w:tr>
        <w:trPr>
          <w:cantSplit/>
        </w:trPr>
        <w:tc>
          <w:tcPr>
            <w:tcW w:type="dxa" w:w="2608"/>
          </w:tcPr>
          <w:p>
            <w:pPr>
              <w:spacing w:after="20" w:line="254" w:lineRule="auto"/>
            </w:pPr>
            <w:r/>
            <w:r>
              <w:rPr>
                <w:rFonts w:ascii="游ゴシック" w:hAnsi="游ゴシック" w:eastAsia="游ゴシック"/>
                <w:b/>
                <w:sz w:val="18"/>
              </w:rPr>
              <w:t>重度（要介護3以上）の認定を受けた方の割合</w:t>
            </w:r>
          </w:p>
        </w:tc>
        <w:tc>
          <w:tcPr>
            <w:tcW w:type="dxa" w:w="2494"/>
          </w:tcPr>
          <w:p>
            <w:pPr>
              <w:spacing w:after="20" w:line="254" w:lineRule="auto"/>
            </w:pPr>
            <w:r/>
            <w:r>
              <w:rPr>
                <w:rFonts w:ascii="游ゴシック" w:hAnsi="游ゴシック" w:eastAsia="游ゴシック"/>
                <w:b w:val="0"/>
                <w:sz w:val="18"/>
              </w:rPr>
              <w:t>R6 6.6％</w:t>
            </w:r>
          </w:p>
        </w:tc>
        <w:tc>
          <w:tcPr>
            <w:tcW w:type="dxa" w:w="1814"/>
          </w:tcPr>
          <w:p>
            <w:pPr>
              <w:spacing w:after="20" w:line="254" w:lineRule="auto"/>
            </w:pPr>
            <w:r/>
            <w:r>
              <w:rPr>
                <w:rFonts w:ascii="游ゴシック" w:hAnsi="游ゴシック" w:eastAsia="游ゴシック"/>
                <w:b w:val="0"/>
                <w:sz w:val="18"/>
              </w:rPr>
              <w:t>6.3％</w:t>
            </w:r>
          </w:p>
        </w:tc>
        <w:tc>
          <w:tcPr>
            <w:tcW w:type="dxa" w:w="1701"/>
          </w:tcPr>
          <w:p>
            <w:pPr>
              <w:spacing w:after="20" w:line="254" w:lineRule="auto"/>
              <w:jc w:val="center"/>
            </w:pPr>
            <w:r/>
            <w:r>
              <w:rPr>
                <w:rFonts w:ascii="游ゴシック" w:hAnsi="游ゴシック" w:eastAsia="游ゴシック"/>
                <w:b w:val="0"/>
                <w:sz w:val="18"/>
              </w:rPr>
              <w:t>達成</w:t>
            </w:r>
          </w:p>
        </w:tc>
      </w:tr>
      <w:tr>
        <w:trPr>
          <w:cantSplit/>
        </w:trPr>
        <w:tc>
          <w:tcPr>
            <w:tcW w:type="dxa" w:w="2608"/>
          </w:tcPr>
          <w:p>
            <w:pPr>
              <w:spacing w:after="20" w:line="254" w:lineRule="auto"/>
            </w:pPr>
            <w:r/>
            <w:r>
              <w:rPr>
                <w:rFonts w:ascii="游ゴシック" w:hAnsi="游ゴシック" w:eastAsia="游ゴシック"/>
                <w:b/>
                <w:sz w:val="18"/>
              </w:rPr>
              <w:t>フレイル対象者割合</w:t>
            </w:r>
          </w:p>
        </w:tc>
        <w:tc>
          <w:tcPr>
            <w:tcW w:type="dxa" w:w="2494"/>
          </w:tcPr>
          <w:p>
            <w:pPr>
              <w:spacing w:after="20" w:line="254" w:lineRule="auto"/>
            </w:pPr>
            <w:r/>
            <w:r>
              <w:rPr>
                <w:rFonts w:ascii="游ゴシック" w:hAnsi="游ゴシック" w:eastAsia="游ゴシック"/>
                <w:b w:val="0"/>
                <w:sz w:val="18"/>
              </w:rPr>
              <w:t>R7 18.0％</w:t>
            </w:r>
          </w:p>
        </w:tc>
        <w:tc>
          <w:tcPr>
            <w:tcW w:type="dxa" w:w="1814"/>
          </w:tcPr>
          <w:p>
            <w:pPr>
              <w:spacing w:after="20" w:line="254" w:lineRule="auto"/>
            </w:pPr>
            <w:r/>
            <w:r>
              <w:rPr>
                <w:rFonts w:ascii="游ゴシック" w:hAnsi="游ゴシック" w:eastAsia="游ゴシック"/>
                <w:b w:val="0"/>
                <w:sz w:val="18"/>
              </w:rPr>
              <w:t>19.1％（R7）</w:t>
            </w:r>
          </w:p>
        </w:tc>
        <w:tc>
          <w:tcPr>
            <w:tcW w:type="dxa" w:w="1701"/>
          </w:tcPr>
          <w:p>
            <w:pPr>
              <w:spacing w:after="20" w:line="254" w:lineRule="auto"/>
              <w:jc w:val="center"/>
            </w:pPr>
            <w:r/>
            <w:r>
              <w:rPr>
                <w:rFonts w:ascii="游ゴシック" w:hAnsi="游ゴシック" w:eastAsia="游ゴシック"/>
                <w:b w:val="0"/>
                <w:sz w:val="18"/>
              </w:rPr>
              <w:t>未達</w:t>
            </w:r>
          </w:p>
        </w:tc>
      </w:tr>
      <w:tr>
        <w:trPr>
          <w:cantSplit/>
        </w:trPr>
        <w:tc>
          <w:tcPr>
            <w:tcW w:type="dxa" w:w="2608"/>
          </w:tcPr>
          <w:p>
            <w:pPr>
              <w:spacing w:after="20" w:line="254" w:lineRule="auto"/>
            </w:pPr>
            <w:r/>
            <w:r>
              <w:rPr>
                <w:rFonts w:ascii="游ゴシック" w:hAnsi="游ゴシック" w:eastAsia="游ゴシック"/>
                <w:b/>
                <w:sz w:val="18"/>
              </w:rPr>
              <w:t>通いの場参加率</w:t>
            </w:r>
          </w:p>
        </w:tc>
        <w:tc>
          <w:tcPr>
            <w:tcW w:type="dxa" w:w="2494"/>
          </w:tcPr>
          <w:p>
            <w:pPr>
              <w:spacing w:after="20" w:line="254" w:lineRule="auto"/>
            </w:pPr>
            <w:r/>
            <w:r>
              <w:rPr>
                <w:rFonts w:ascii="游ゴシック" w:hAnsi="游ゴシック" w:eastAsia="游ゴシック"/>
                <w:b w:val="0"/>
                <w:sz w:val="18"/>
              </w:rPr>
              <w:t>R6 8.0％</w:t>
            </w:r>
          </w:p>
        </w:tc>
        <w:tc>
          <w:tcPr>
            <w:tcW w:type="dxa" w:w="1814"/>
          </w:tcPr>
          <w:p>
            <w:pPr>
              <w:spacing w:after="20" w:line="254" w:lineRule="auto"/>
            </w:pPr>
            <w:r/>
            <w:r>
              <w:rPr>
                <w:rFonts w:ascii="游ゴシック" w:hAnsi="游ゴシック" w:eastAsia="游ゴシック"/>
                <w:b w:val="0"/>
                <w:sz w:val="18"/>
              </w:rPr>
              <w:t>8.8％（R7）</w:t>
            </w:r>
          </w:p>
        </w:tc>
        <w:tc>
          <w:tcPr>
            <w:tcW w:type="dxa" w:w="1701"/>
          </w:tcPr>
          <w:p>
            <w:pPr>
              <w:spacing w:after="20" w:line="254" w:lineRule="auto"/>
              <w:jc w:val="center"/>
            </w:pPr>
            <w:r/>
            <w:r>
              <w:rPr>
                <w:rFonts w:ascii="游ゴシック" w:hAnsi="游ゴシック" w:eastAsia="游ゴシック"/>
                <w:b w:val="0"/>
                <w:sz w:val="18"/>
              </w:rPr>
              <w:t>未達</w:t>
            </w:r>
          </w:p>
        </w:tc>
      </w:tr>
    </w:tbl>
    <w:p>
      <w:pPr>
        <w:spacing w:before="40" w:after="80" w:line="259" w:lineRule="auto"/>
      </w:pPr>
      <w:r>
        <w:rPr>
          <w:rFonts w:ascii="游ゴシック" w:hAnsi="游ゴシック" w:eastAsia="游ゴシック"/>
          <w:b w:val="0"/>
          <w:sz w:val="16"/>
        </w:rPr>
        <w:t>介護が必要と認定された方の割合の上昇の幅は、北海道・全国を下回っています。フレイルは加齢により心身の働きが弱まった状態、通いの場は住民の皆様が主体となって運営する集いの場です。</w:t>
      </w:r>
    </w:p>
    <w:p>
      <w:pPr>
        <w:spacing w:before="40" w:after="60"/>
        <w:jc w:val="center"/>
      </w:pPr>
      <w:r>
        <w:drawing>
          <wp:inline xmlns:a="http://schemas.openxmlformats.org/drawingml/2006/main" xmlns:pic="http://schemas.openxmlformats.org/drawingml/2006/picture">
            <wp:extent cx="3816000" cy="2316402"/>
            <wp:docPr id="4" name="Picture 4"/>
            <wp:cNvGraphicFramePr>
              <a:graphicFrameLocks noChangeAspect="1"/>
            </wp:cNvGraphicFramePr>
            <a:graphic>
              <a:graphicData uri="http://schemas.openxmlformats.org/drawingml/2006/picture">
                <pic:pic>
                  <pic:nvPicPr>
                    <pic:cNvPr id="0" name="fig19_kpi.png"/>
                    <pic:cNvPicPr/>
                  </pic:nvPicPr>
                  <pic:blipFill>
                    <a:blip r:embed="rId13"/>
                    <a:stretch>
                      <a:fillRect/>
                    </a:stretch>
                  </pic:blipFill>
                  <pic:spPr>
                    <a:xfrm>
                      <a:off x="0" y="0"/>
                      <a:ext cx="3816000" cy="2316402"/>
                    </a:xfrm>
                    <a:prstGeom prst="rect"/>
                  </pic:spPr>
                </pic:pic>
              </a:graphicData>
            </a:graphic>
          </wp:inline>
        </w:drawing>
      </w:r>
    </w:p>
    <w:p>
      <w:pPr>
        <w:keepNext/>
        <w:spacing w:before="160" w:after="60"/>
      </w:pPr>
      <w:r>
        <w:rPr>
          <w:rFonts w:ascii="游ゴシック" w:hAnsi="游ゴシック" w:eastAsia="游ゴシック"/>
          <w:b/>
          <w:color w:val="1F3864"/>
          <w:sz w:val="23"/>
        </w:rPr>
        <w:t>国の評価でみた強みと弱み</w:t>
      </w:r>
    </w:p>
    <w:p>
      <w:pPr>
        <w:spacing w:after="80" w:before="0" w:line="276" w:lineRule="auto"/>
      </w:pPr>
      <w:r>
        <w:rPr>
          <w:rFonts w:ascii="游ゴシック" w:hAnsi="游ゴシック" w:eastAsia="游ゴシック"/>
          <w:b w:val="0"/>
          <w:sz w:val="20"/>
        </w:rPr>
        <w:t>国は、市町村の取組を評価して交付金を交付しています。3町の評価をみると、要介護度の変化や健康寿命といった「結果」は全国平均を上回る一方、取組の記録や報告が弱いという傾向があります。第10期は、取組の内容を記録し報告する仕組みを整えます。</w:t>
      </w:r>
    </w:p>
    <w:p>
      <w:pPr>
        <w:spacing w:before="40" w:after="60"/>
        <w:jc w:val="center"/>
      </w:pPr>
      <w:r>
        <w:drawing>
          <wp:inline xmlns:a="http://schemas.openxmlformats.org/drawingml/2006/main" xmlns:pic="http://schemas.openxmlformats.org/drawingml/2006/picture">
            <wp:extent cx="3671999" cy="2206847"/>
            <wp:docPr id="5" name="Picture 5"/>
            <wp:cNvGraphicFramePr>
              <a:graphicFrameLocks noChangeAspect="1"/>
            </wp:cNvGraphicFramePr>
            <a:graphic>
              <a:graphicData uri="http://schemas.openxmlformats.org/drawingml/2006/picture">
                <pic:pic>
                  <pic:nvPicPr>
                    <pic:cNvPr id="0" name="fig26_2_shihyogun.png"/>
                    <pic:cNvPicPr/>
                  </pic:nvPicPr>
                  <pic:blipFill>
                    <a:blip r:embed="rId14"/>
                    <a:stretch>
                      <a:fillRect/>
                    </a:stretch>
                  </pic:blipFill>
                  <pic:spPr>
                    <a:xfrm>
                      <a:off x="0" y="0"/>
                      <a:ext cx="3671999" cy="2206847"/>
                    </a:xfrm>
                    <a:prstGeom prst="rect"/>
                  </pic:spPr>
                </pic:pic>
              </a:graphicData>
            </a:graphic>
          </wp:inline>
        </w:drawing>
      </w:r>
    </w:p>
    <w:p>
      <w:pPr>
        <w:keepNext/>
        <w:spacing w:before="160" w:after="60"/>
      </w:pPr>
      <w:r>
        <w:rPr>
          <w:rFonts w:ascii="游ゴシック" w:hAnsi="游ゴシック" w:eastAsia="游ゴシック"/>
          <w:b/>
          <w:color w:val="1F3864"/>
          <w:sz w:val="23"/>
        </w:rPr>
        <w:t>第10期に引き継ぐ課題</w:t>
      </w:r>
    </w:p>
    <w:p>
      <w:pPr>
        <w:pStyle w:val="ListBullet"/>
        <w:spacing w:after="40" w:line="269" w:lineRule="auto"/>
        <w:ind w:left="340"/>
      </w:pPr>
      <w:r>
        <w:rPr>
          <w:rFonts w:ascii="游ゴシック" w:hAnsi="游ゴシック" w:eastAsia="游ゴシック"/>
          <w:b w:val="0"/>
          <w:sz w:val="19"/>
        </w:rPr>
        <w:t>達成度をはかる指標が4項目しかありませんでした。第10期は16項目に増やします。</w:t>
      </w:r>
    </w:p>
    <w:p>
      <w:pPr>
        <w:pStyle w:val="ListBullet"/>
        <w:spacing w:after="40" w:line="269" w:lineRule="auto"/>
        <w:ind w:left="340"/>
      </w:pPr>
      <w:r>
        <w:rPr>
          <w:rFonts w:ascii="游ゴシック" w:hAnsi="游ゴシック" w:eastAsia="游ゴシック"/>
          <w:b w:val="0"/>
          <w:sz w:val="19"/>
        </w:rPr>
        <w:t>毎年度の点検の手順が定まっていませんでした。第10期は毎年度算定して公表します。</w:t>
      </w:r>
    </w:p>
    <w:p>
      <w:pPr>
        <w:pStyle w:val="ListBullet"/>
        <w:spacing w:after="40" w:line="269" w:lineRule="auto"/>
        <w:ind w:left="340"/>
      </w:pPr>
      <w:r>
        <w:rPr>
          <w:rFonts w:ascii="游ゴシック" w:hAnsi="游ゴシック" w:eastAsia="游ゴシック"/>
          <w:b w:val="0"/>
          <w:sz w:val="19"/>
        </w:rPr>
        <w:t>3町の平均でみていたため町ごとの違いが分かりませんでした。第10期は町ごとにみます。</w:t>
      </w:r>
    </w:p>
    <w:tbl>
      <w:tblPr>
        <w:tblStyle w:val="TableGrid"/>
        <w:tblW w:type="auto" w:w="0"/>
        <w:jc w:val="center"/>
        <w:tblLook w:firstColumn="1" w:firstRow="1" w:lastColumn="0" w:lastRow="0" w:noHBand="0" w:noVBand="1" w:val="04A0"/>
      </w:tblPr>
      <w:tblGrid>
        <w:gridCol w:w="9978"/>
      </w:tblGrid>
      <w:tr>
        <w:trPr>
          <w:cantSplit/>
        </w:trPr>
        <w:tc>
          <w:tcPr>
            <w:tcW w:type="dxa" w:w="9978"/>
            <w:shd w:val="clear" w:color="auto" w:fill="FFF2CC"/>
          </w:tcPr>
          <w:p>
            <w:pPr>
              <w:spacing w:after="40"/>
            </w:pPr>
            <w:r/>
            <w:r>
              <w:rPr>
                <w:rFonts w:ascii="游ゴシック" w:hAnsi="游ゴシック" w:eastAsia="游ゴシック"/>
                <w:b/>
                <w:sz w:val="20"/>
              </w:rPr>
              <w:t>【ご意見をお寄せください】論点3　第9期の評価</w:t>
            </w:r>
          </w:p>
          <w:p>
            <w:pPr>
              <w:spacing w:after="0" w:line="264" w:lineRule="auto"/>
            </w:pPr>
            <w:r>
              <w:rPr>
                <w:rFonts w:ascii="游ゴシック" w:hAnsi="游ゴシック" w:eastAsia="游ゴシック"/>
                <w:b w:val="0"/>
                <w:sz w:val="19"/>
              </w:rPr>
              <w:t>未達の施策の続行・見直しの判断</w:t>
            </w:r>
          </w:p>
        </w:tc>
      </w:tr>
    </w:tbl>
    <w:p>
      <w:pPr>
        <w:spacing w:before="120" w:after="0"/>
        <w:jc w:val="right"/>
      </w:pPr>
      <w:r>
        <w:rPr>
          <w:rFonts w:ascii="游ゴシック" w:hAnsi="游ゴシック" w:eastAsia="游ゴシック"/>
          <w:b w:val="0"/>
          <w:sz w:val="17"/>
        </w:rPr>
        <w:t>詳しくは本編をご覧ください（第3章　56頁から67頁）</w:t>
      </w:r>
    </w:p>
    <w:p>
      <w:r>
        <w:br w:type="page"/>
      </w:r>
    </w:p>
    <w:p>
      <w:pPr>
        <w:pStyle w:val="Heading1"/>
        <w:pBdr>
          <w:top w:val="single" w:sz="18" w:space="4" w:color="1F3864"/>
          <w:bottom w:val="single" w:sz="18" w:space="4" w:color="1F3864"/>
        </w:pBdr>
        <w:shd w:val="clear" w:color="auto" w:fill="F2F5FA"/>
        <w:spacing w:before="40" w:after="160"/>
      </w:pPr>
      <w:bookmarkStart w:id="2004" w:name="_Gai_004"/>
      <w:r>
        <w:rPr>
          <w:rFonts w:ascii="游ゴシック" w:hAnsi="游ゴシック" w:eastAsia="游ゴシック"/>
          <w:b/>
          <w:color w:val="1F3864"/>
          <w:sz w:val="29"/>
        </w:rPr>
        <w:t>4　基本理念と5つの基本目標</w:t>
      </w:r>
      <w:bookmarkEnd w:id="2004"/>
    </w:p>
    <w:p>
      <w:pPr>
        <w:spacing w:after="80" w:before="0" w:line="276" w:lineRule="auto"/>
      </w:pPr>
      <w:r>
        <w:rPr>
          <w:rFonts w:ascii="游ゴシック" w:hAnsi="游ゴシック" w:eastAsia="游ゴシック"/>
          <w:b w:val="0"/>
          <w:sz w:val="20"/>
        </w:rPr>
        <w:t>第9期の「地域包括ケアシステムの深化・推進」を引き継ぎ、第10期は『本人の生活の継続』と『サービス提供体制の持続可能性』の両立を目指します。</w:t>
      </w:r>
    </w:p>
    <w:p>
      <w:pPr>
        <w:spacing w:after="160" w:before="0" w:line="312" w:lineRule="auto"/>
        <w:jc w:val="center"/>
      </w:pPr>
      <w:r>
        <w:rPr>
          <w:rFonts w:ascii="游ゴシック" w:hAnsi="游ゴシック" w:eastAsia="游ゴシック"/>
          <w:b/>
          <w:sz w:val="25"/>
        </w:rPr>
        <w:t>住み慣れた地域で、必要な介護と支援を持続的に受けながら、自分らしく暮らし続けられる大雪圏域</w:t>
      </w:r>
    </w:p>
    <w:p>
      <w:pPr>
        <w:spacing w:before="40" w:after="60"/>
        <w:jc w:val="center"/>
      </w:pPr>
      <w:r>
        <w:drawing>
          <wp:inline xmlns:a="http://schemas.openxmlformats.org/drawingml/2006/main" xmlns:pic="http://schemas.openxmlformats.org/drawingml/2006/picture">
            <wp:extent cx="5832000" cy="3401620"/>
            <wp:docPr id="6" name="Picture 6"/>
            <wp:cNvGraphicFramePr>
              <a:graphicFrameLocks noChangeAspect="1"/>
            </wp:cNvGraphicFramePr>
            <a:graphic>
              <a:graphicData uri="http://schemas.openxmlformats.org/drawingml/2006/picture">
                <pic:pic>
                  <pic:nvPicPr>
                    <pic:cNvPr id="0" name="gaiyo_taikei.png"/>
                    <pic:cNvPicPr/>
                  </pic:nvPicPr>
                  <pic:blipFill>
                    <a:blip r:embed="rId15"/>
                    <a:stretch>
                      <a:fillRect/>
                    </a:stretch>
                  </pic:blipFill>
                  <pic:spPr>
                    <a:xfrm>
                      <a:off x="0" y="0"/>
                      <a:ext cx="5832000" cy="3401620"/>
                    </a:xfrm>
                    <a:prstGeom prst="rect"/>
                  </pic:spPr>
                </pic:pic>
              </a:graphicData>
            </a:graphic>
          </wp:inline>
        </w:drawing>
      </w:r>
    </w:p>
    <w:tbl>
      <w:tblPr>
        <w:tblStyle w:val="TableGrid"/>
        <w:tblW w:type="auto" w:w="0"/>
        <w:jc w:val="center"/>
        <w:tblLook w:firstColumn="1" w:firstRow="1" w:lastColumn="0" w:lastRow="0" w:noHBand="0" w:noVBand="1" w:val="04A0"/>
      </w:tblPr>
      <w:tblGrid>
        <w:gridCol w:w="3326"/>
        <w:gridCol w:w="3326"/>
        <w:gridCol w:w="3326"/>
      </w:tblGrid>
      <w:tr>
        <w:trPr>
          <w:cantSplit/>
          <w:tblHeader/>
        </w:trPr>
        <w:tc>
          <w:tcPr>
            <w:tcW w:type="dxa" w:w="1474"/>
            <w:shd w:val="clear" w:color="auto" w:fill="DCE6F1"/>
          </w:tcPr>
          <w:p>
            <w:pPr>
              <w:spacing w:after="20"/>
              <w:jc w:val="center"/>
            </w:pPr>
            <w:r/>
            <w:r>
              <w:rPr>
                <w:rFonts w:ascii="游ゴシック" w:hAnsi="游ゴシック" w:eastAsia="游ゴシック"/>
                <w:b/>
                <w:sz w:val="18"/>
              </w:rPr>
              <w:t>区分</w:t>
            </w:r>
          </w:p>
        </w:tc>
        <w:tc>
          <w:tcPr>
            <w:tcW w:type="dxa" w:w="3742"/>
            <w:shd w:val="clear" w:color="auto" w:fill="DCE6F1"/>
          </w:tcPr>
          <w:p>
            <w:pPr>
              <w:spacing w:after="20"/>
              <w:jc w:val="center"/>
            </w:pPr>
            <w:r/>
            <w:r>
              <w:rPr>
                <w:rFonts w:ascii="游ゴシック" w:hAnsi="游ゴシック" w:eastAsia="游ゴシック"/>
                <w:b/>
                <w:sz w:val="18"/>
              </w:rPr>
              <w:t>基本目標</w:t>
            </w:r>
          </w:p>
        </w:tc>
        <w:tc>
          <w:tcPr>
            <w:tcW w:type="dxa" w:w="4309"/>
            <w:shd w:val="clear" w:color="auto" w:fill="DCE6F1"/>
          </w:tcPr>
          <w:p>
            <w:pPr>
              <w:spacing w:after="20"/>
              <w:jc w:val="center"/>
            </w:pPr>
            <w:r/>
            <w:r>
              <w:rPr>
                <w:rFonts w:ascii="游ゴシック" w:hAnsi="游ゴシック" w:eastAsia="游ゴシック"/>
                <w:b/>
                <w:sz w:val="18"/>
              </w:rPr>
              <w:t>目指す成果</w:t>
            </w:r>
          </w:p>
        </w:tc>
      </w:tr>
      <w:tr>
        <w:trPr>
          <w:cantSplit/>
        </w:trPr>
        <w:tc>
          <w:tcPr>
            <w:tcW w:type="dxa" w:w="1474"/>
          </w:tcPr>
          <w:p>
            <w:pPr>
              <w:spacing w:after="20" w:line="254" w:lineRule="auto"/>
            </w:pPr>
            <w:r/>
            <w:r>
              <w:rPr>
                <w:rFonts w:ascii="游ゴシック" w:hAnsi="游ゴシック" w:eastAsia="游ゴシック"/>
                <w:b/>
                <w:sz w:val="18"/>
              </w:rPr>
              <w:t>基本目標1</w:t>
            </w:r>
          </w:p>
        </w:tc>
        <w:tc>
          <w:tcPr>
            <w:tcW w:type="dxa" w:w="3742"/>
          </w:tcPr>
          <w:p>
            <w:pPr>
              <w:spacing w:after="20" w:line="254" w:lineRule="auto"/>
            </w:pPr>
            <w:r/>
            <w:r>
              <w:rPr>
                <w:rFonts w:ascii="游ゴシック" w:hAnsi="游ゴシック" w:eastAsia="游ゴシック"/>
                <w:b/>
                <w:sz w:val="18"/>
              </w:rPr>
              <w:t>地域包括ケア・相談・医療介護連携</w:t>
            </w:r>
          </w:p>
        </w:tc>
        <w:tc>
          <w:tcPr>
            <w:tcW w:type="dxa" w:w="4309"/>
          </w:tcPr>
          <w:p>
            <w:pPr>
              <w:spacing w:after="20" w:line="254" w:lineRule="auto"/>
            </w:pPr>
            <w:r/>
            <w:r>
              <w:rPr>
                <w:rFonts w:ascii="游ゴシック" w:hAnsi="游ゴシック" w:eastAsia="游ゴシック"/>
                <w:b w:val="0"/>
                <w:sz w:val="18"/>
              </w:rPr>
              <w:t>切れ目のない相談・医療・介護、権利擁護</w:t>
            </w:r>
          </w:p>
        </w:tc>
      </w:tr>
      <w:tr>
        <w:trPr>
          <w:cantSplit/>
        </w:trPr>
        <w:tc>
          <w:tcPr>
            <w:tcW w:type="dxa" w:w="1474"/>
          </w:tcPr>
          <w:p>
            <w:pPr>
              <w:spacing w:after="20" w:line="254" w:lineRule="auto"/>
            </w:pPr>
            <w:r/>
            <w:r>
              <w:rPr>
                <w:rFonts w:ascii="游ゴシック" w:hAnsi="游ゴシック" w:eastAsia="游ゴシック"/>
                <w:b/>
                <w:sz w:val="18"/>
              </w:rPr>
              <w:t>基本目標2</w:t>
            </w:r>
          </w:p>
        </w:tc>
        <w:tc>
          <w:tcPr>
            <w:tcW w:type="dxa" w:w="3742"/>
          </w:tcPr>
          <w:p>
            <w:pPr>
              <w:spacing w:after="20" w:line="254" w:lineRule="auto"/>
            </w:pPr>
            <w:r/>
            <w:r>
              <w:rPr>
                <w:rFonts w:ascii="游ゴシック" w:hAnsi="游ゴシック" w:eastAsia="游ゴシック"/>
                <w:b/>
                <w:sz w:val="18"/>
              </w:rPr>
              <w:t>介護予防・生活支援・認知症・家族支援</w:t>
            </w:r>
          </w:p>
        </w:tc>
        <w:tc>
          <w:tcPr>
            <w:tcW w:type="dxa" w:w="4309"/>
          </w:tcPr>
          <w:p>
            <w:pPr>
              <w:spacing w:after="20" w:line="254" w:lineRule="auto"/>
            </w:pPr>
            <w:r/>
            <w:r>
              <w:rPr>
                <w:rFonts w:ascii="游ゴシック" w:hAnsi="游ゴシック" w:eastAsia="游ゴシック"/>
                <w:b w:val="0"/>
                <w:sz w:val="18"/>
              </w:rPr>
              <w:t>生活機能、社会参加、共生、家族負担軽減</w:t>
            </w:r>
          </w:p>
        </w:tc>
      </w:tr>
      <w:tr>
        <w:trPr>
          <w:cantSplit/>
        </w:trPr>
        <w:tc>
          <w:tcPr>
            <w:tcW w:type="dxa" w:w="1474"/>
          </w:tcPr>
          <w:p>
            <w:pPr>
              <w:spacing w:after="20" w:line="254" w:lineRule="auto"/>
            </w:pPr>
            <w:r/>
            <w:r>
              <w:rPr>
                <w:rFonts w:ascii="游ゴシック" w:hAnsi="游ゴシック" w:eastAsia="游ゴシック"/>
                <w:b/>
                <w:sz w:val="18"/>
              </w:rPr>
              <w:t>基本目標3</w:t>
            </w:r>
          </w:p>
        </w:tc>
        <w:tc>
          <w:tcPr>
            <w:tcW w:type="dxa" w:w="3742"/>
          </w:tcPr>
          <w:p>
            <w:pPr>
              <w:spacing w:after="20" w:line="254" w:lineRule="auto"/>
            </w:pPr>
            <w:r/>
            <w:r>
              <w:rPr>
                <w:rFonts w:ascii="游ゴシック" w:hAnsi="游ゴシック" w:eastAsia="游ゴシック"/>
                <w:b/>
                <w:sz w:val="18"/>
              </w:rPr>
              <w:t>持続可能なサービス提供・住まい</w:t>
            </w:r>
          </w:p>
        </w:tc>
        <w:tc>
          <w:tcPr>
            <w:tcW w:type="dxa" w:w="4309"/>
          </w:tcPr>
          <w:p>
            <w:pPr>
              <w:spacing w:after="20" w:line="254" w:lineRule="auto"/>
            </w:pPr>
            <w:r/>
            <w:r>
              <w:rPr>
                <w:rFonts w:ascii="游ゴシック" w:hAnsi="游ゴシック" w:eastAsia="游ゴシック"/>
                <w:b w:val="0"/>
                <w:sz w:val="18"/>
              </w:rPr>
              <w:t>需要に応じた供給、住まい、身寄りなし支援</w:t>
            </w:r>
          </w:p>
        </w:tc>
      </w:tr>
      <w:tr>
        <w:trPr>
          <w:cantSplit/>
        </w:trPr>
        <w:tc>
          <w:tcPr>
            <w:tcW w:type="dxa" w:w="1474"/>
          </w:tcPr>
          <w:p>
            <w:pPr>
              <w:spacing w:after="20" w:line="254" w:lineRule="auto"/>
            </w:pPr>
            <w:r/>
            <w:r>
              <w:rPr>
                <w:rFonts w:ascii="游ゴシック" w:hAnsi="游ゴシック" w:eastAsia="游ゴシック"/>
                <w:b/>
                <w:sz w:val="18"/>
              </w:rPr>
              <w:t>基本目標4</w:t>
            </w:r>
          </w:p>
        </w:tc>
        <w:tc>
          <w:tcPr>
            <w:tcW w:type="dxa" w:w="3742"/>
          </w:tcPr>
          <w:p>
            <w:pPr>
              <w:spacing w:after="20" w:line="254" w:lineRule="auto"/>
            </w:pPr>
            <w:r/>
            <w:r>
              <w:rPr>
                <w:rFonts w:ascii="游ゴシック" w:hAnsi="游ゴシック" w:eastAsia="游ゴシック"/>
                <w:b/>
                <w:sz w:val="18"/>
              </w:rPr>
              <w:t>介護人材・生産性・質・経営支援</w:t>
            </w:r>
          </w:p>
        </w:tc>
        <w:tc>
          <w:tcPr>
            <w:tcW w:type="dxa" w:w="4309"/>
          </w:tcPr>
          <w:p>
            <w:pPr>
              <w:spacing w:after="20" w:line="254" w:lineRule="auto"/>
            </w:pPr>
            <w:r/>
            <w:r>
              <w:rPr>
                <w:rFonts w:ascii="游ゴシック" w:hAnsi="游ゴシック" w:eastAsia="游ゴシック"/>
                <w:b w:val="0"/>
                <w:sz w:val="18"/>
              </w:rPr>
              <w:t>採用定着、職場改善、質、安全、事業継続</w:t>
            </w:r>
          </w:p>
        </w:tc>
      </w:tr>
      <w:tr>
        <w:trPr>
          <w:cantSplit/>
        </w:trPr>
        <w:tc>
          <w:tcPr>
            <w:tcW w:type="dxa" w:w="1474"/>
          </w:tcPr>
          <w:p>
            <w:pPr>
              <w:spacing w:after="20" w:line="254" w:lineRule="auto"/>
            </w:pPr>
            <w:r/>
            <w:r>
              <w:rPr>
                <w:rFonts w:ascii="游ゴシック" w:hAnsi="游ゴシック" w:eastAsia="游ゴシック"/>
                <w:b/>
                <w:sz w:val="18"/>
              </w:rPr>
              <w:t>基本目標5</w:t>
            </w:r>
          </w:p>
        </w:tc>
        <w:tc>
          <w:tcPr>
            <w:tcW w:type="dxa" w:w="3742"/>
          </w:tcPr>
          <w:p>
            <w:pPr>
              <w:spacing w:after="20" w:line="254" w:lineRule="auto"/>
            </w:pPr>
            <w:r/>
            <w:r>
              <w:rPr>
                <w:rFonts w:ascii="游ゴシック" w:hAnsi="游ゴシック" w:eastAsia="游ゴシック"/>
                <w:b/>
                <w:sz w:val="18"/>
              </w:rPr>
              <w:t>保険運営・レジリエンス・PDCA</w:t>
            </w:r>
          </w:p>
        </w:tc>
        <w:tc>
          <w:tcPr>
            <w:tcW w:type="dxa" w:w="4309"/>
          </w:tcPr>
          <w:p>
            <w:pPr>
              <w:spacing w:after="20" w:line="254" w:lineRule="auto"/>
            </w:pPr>
            <w:r/>
            <w:r>
              <w:rPr>
                <w:rFonts w:ascii="游ゴシック" w:hAnsi="游ゴシック" w:eastAsia="游ゴシック"/>
                <w:b w:val="0"/>
                <w:sz w:val="18"/>
              </w:rPr>
              <w:t>財政安定、給付適正化、BCP、評価公表、改善</w:t>
            </w:r>
          </w:p>
        </w:tc>
      </w:tr>
    </w:tbl>
    <w:p>
      <w:pPr>
        <w:spacing w:before="40" w:after="80" w:line="259" w:lineRule="auto"/>
      </w:pPr>
      <w:r>
        <w:rPr>
          <w:rFonts w:ascii="游ゴシック" w:hAnsi="游ゴシック" w:eastAsia="游ゴシック"/>
          <w:b w:val="0"/>
          <w:sz w:val="16"/>
        </w:rPr>
        <w:t>基本理念及び基本目標の名称は、本編と同じ表現としています。レジリエンスは災害や感染症が起きても必要なサービスを続けられる力、PDCAは計画・実施・点検・改善を繰り返す進め方、BCPは災害や感染症が起きても事業を続けるための計画をいいます。</w:t>
      </w:r>
    </w:p>
    <w:p>
      <w:pPr>
        <w:keepNext/>
        <w:spacing w:before="160" w:after="60"/>
      </w:pPr>
      <w:r>
        <w:rPr>
          <w:rFonts w:ascii="游ゴシック" w:hAnsi="游ゴシック" w:eastAsia="游ゴシック"/>
          <w:b/>
          <w:color w:val="1F3864"/>
          <w:sz w:val="23"/>
        </w:rPr>
        <w:t>達成度のはかり方</w:t>
      </w:r>
    </w:p>
    <w:p>
      <w:pPr>
        <w:spacing w:after="80" w:before="0" w:line="276" w:lineRule="auto"/>
      </w:pPr>
      <w:r>
        <w:rPr>
          <w:rFonts w:ascii="游ゴシック" w:hAnsi="游ゴシック" w:eastAsia="游ゴシック"/>
          <w:b w:val="0"/>
          <w:sz w:val="20"/>
        </w:rPr>
        <w:t>計画の達成度は、16項目の指標ではかります。うち12項目を本文に掲げ、4項目は補いの指標とします。毎年度その値を算定して点検し、結果を公表します。現時点で数値を定められない指標は、令和9年度にもとになる値を把握してから目標を置きます。</w:t>
      </w:r>
    </w:p>
    <w:tbl>
      <w:tblPr>
        <w:tblStyle w:val="TableGrid"/>
        <w:tblW w:type="auto" w:w="0"/>
        <w:jc w:val="center"/>
        <w:tblLook w:firstColumn="1" w:firstRow="1" w:lastColumn="0" w:lastRow="0" w:noHBand="0" w:noVBand="1" w:val="04A0"/>
      </w:tblPr>
      <w:tblGrid>
        <w:gridCol w:w="9978"/>
      </w:tblGrid>
      <w:tr>
        <w:trPr>
          <w:cantSplit/>
        </w:trPr>
        <w:tc>
          <w:tcPr>
            <w:tcW w:type="dxa" w:w="9978"/>
            <w:shd w:val="clear" w:color="auto" w:fill="FFF2CC"/>
          </w:tcPr>
          <w:p>
            <w:pPr>
              <w:spacing w:after="40"/>
            </w:pPr>
            <w:r/>
            <w:r>
              <w:rPr>
                <w:rFonts w:ascii="游ゴシック" w:hAnsi="游ゴシック" w:eastAsia="游ゴシック"/>
                <w:b/>
                <w:sz w:val="20"/>
              </w:rPr>
              <w:t>【ご意見をお寄せください】論点4　基本理念と基本目標</w:t>
            </w:r>
          </w:p>
          <w:p>
            <w:pPr>
              <w:spacing w:after="0" w:line="264" w:lineRule="auto"/>
            </w:pPr>
            <w:r>
              <w:rPr>
                <w:rFonts w:ascii="游ゴシック" w:hAnsi="游ゴシック" w:eastAsia="游ゴシック"/>
                <w:b w:val="0"/>
                <w:sz w:val="19"/>
              </w:rPr>
              <w:t>第9期からの継承と変更</w:t>
            </w:r>
          </w:p>
        </w:tc>
      </w:tr>
    </w:tbl>
    <w:p>
      <w:pPr>
        <w:spacing w:before="120" w:after="0"/>
        <w:jc w:val="right"/>
      </w:pPr>
      <w:r>
        <w:rPr>
          <w:rFonts w:ascii="游ゴシック" w:hAnsi="游ゴシック" w:eastAsia="游ゴシック"/>
          <w:b w:val="0"/>
          <w:sz w:val="17"/>
        </w:rPr>
        <w:t>詳しくは本編をご覧ください（第4章　68頁から71頁）</w:t>
      </w:r>
    </w:p>
    <w:p>
      <w:r>
        <w:br w:type="page"/>
      </w:r>
    </w:p>
    <w:p>
      <w:pPr>
        <w:pStyle w:val="Heading1"/>
        <w:pBdr>
          <w:top w:val="single" w:sz="18" w:space="4" w:color="1F3864"/>
          <w:bottom w:val="single" w:sz="18" w:space="4" w:color="1F3864"/>
        </w:pBdr>
        <w:shd w:val="clear" w:color="auto" w:fill="F2F5FA"/>
        <w:spacing w:before="40" w:after="160"/>
      </w:pPr>
      <w:bookmarkStart w:id="2005" w:name="_Gai_005"/>
      <w:r>
        <w:rPr>
          <w:rFonts w:ascii="游ゴシック" w:hAnsi="游ゴシック" w:eastAsia="游ゴシック"/>
          <w:b/>
          <w:color w:val="1F3864"/>
          <w:sz w:val="29"/>
        </w:rPr>
        <w:t>5　第10期の主な取組</w:t>
      </w:r>
      <w:bookmarkEnd w:id="2005"/>
    </w:p>
    <w:p>
      <w:pPr>
        <w:spacing w:after="80" w:before="0" w:line="276" w:lineRule="auto"/>
      </w:pPr>
      <w:r>
        <w:rPr>
          <w:rFonts w:ascii="游ゴシック" w:hAnsi="游ゴシック" w:eastAsia="游ゴシック"/>
          <w:b w:val="0"/>
          <w:sz w:val="20"/>
        </w:rPr>
        <w:t>5つの基本目標ごとに、主な取組と達成目標をお示しします。ここに掲げたのは主なものです。それぞれの基本目標の取組の全体と、達成目標のもとになる値は本編に掲げています。</w:t>
      </w:r>
    </w:p>
    <w:p>
      <w:pPr>
        <w:keepNext/>
        <w:spacing w:before="160" w:after="60"/>
      </w:pPr>
      <w:r>
        <w:rPr>
          <w:rFonts w:ascii="游ゴシック" w:hAnsi="游ゴシック" w:eastAsia="游ゴシック"/>
          <w:b/>
          <w:color w:val="1F3864"/>
          <w:sz w:val="23"/>
        </w:rPr>
        <w:t>基本目標1　地域包括ケア・相談・医療介護連携</w:t>
      </w:r>
    </w:p>
    <w:p>
      <w:pPr>
        <w:pStyle w:val="ListBullet"/>
        <w:spacing w:after="20" w:line="269" w:lineRule="auto"/>
        <w:ind w:left="340"/>
      </w:pPr>
      <w:r>
        <w:rPr>
          <w:rFonts w:ascii="游ゴシック" w:hAnsi="游ゴシック" w:eastAsia="游ゴシック"/>
          <w:b w:val="0"/>
          <w:sz w:val="18"/>
        </w:rPr>
        <w:t>在宅医療・介護連携推進事業（8項目）</w:t>
      </w:r>
    </w:p>
    <w:p>
      <w:pPr>
        <w:pStyle w:val="ListBullet"/>
        <w:spacing w:after="20" w:line="269" w:lineRule="auto"/>
        <w:ind w:left="340"/>
      </w:pPr>
      <w:r>
        <w:rPr>
          <w:rFonts w:ascii="游ゴシック" w:hAnsi="游ゴシック" w:eastAsia="游ゴシック"/>
          <w:b w:val="0"/>
          <w:sz w:val="18"/>
        </w:rPr>
        <w:t>介護情報基盤の活用</w:t>
      </w:r>
    </w:p>
    <w:p>
      <w:pPr>
        <w:pStyle w:val="ListBullet"/>
        <w:spacing w:after="20" w:line="269" w:lineRule="auto"/>
        <w:ind w:left="340"/>
      </w:pPr>
      <w:r>
        <w:rPr>
          <w:rFonts w:ascii="游ゴシック" w:hAnsi="游ゴシック" w:eastAsia="游ゴシック"/>
          <w:b w:val="0"/>
          <w:sz w:val="18"/>
        </w:rPr>
        <w:t>入退院支援の共通様式整備</w:t>
      </w:r>
    </w:p>
    <w:p>
      <w:pPr>
        <w:spacing w:after="40" w:before="0" w:line="276" w:lineRule="auto"/>
        <w:ind w:left="340"/>
      </w:pPr>
      <w:r>
        <w:rPr>
          <w:rFonts w:ascii="游ゴシック" w:hAnsi="游ゴシック" w:eastAsia="游ゴシック"/>
          <w:b w:val="0"/>
          <w:sz w:val="18"/>
        </w:rPr>
        <w:t>達成目標　退院時支援調整実施率　→　令和11年度 検討中</w:t>
      </w:r>
    </w:p>
    <w:p>
      <w:pPr>
        <w:keepNext/>
        <w:spacing w:before="160" w:after="60"/>
      </w:pPr>
      <w:r>
        <w:rPr>
          <w:rFonts w:ascii="游ゴシック" w:hAnsi="游ゴシック" w:eastAsia="游ゴシック"/>
          <w:b/>
          <w:color w:val="1F3864"/>
          <w:sz w:val="23"/>
        </w:rPr>
        <w:t>基本目標2　介護予防・生活支援・認知症・家族支援</w:t>
      </w:r>
    </w:p>
    <w:p>
      <w:pPr>
        <w:pStyle w:val="ListBullet"/>
        <w:spacing w:after="20" w:line="269" w:lineRule="auto"/>
        <w:ind w:left="340"/>
      </w:pPr>
      <w:r>
        <w:rPr>
          <w:rFonts w:ascii="游ゴシック" w:hAnsi="游ゴシック" w:eastAsia="游ゴシック"/>
          <w:b w:val="0"/>
          <w:sz w:val="18"/>
        </w:rPr>
        <w:t>通いの場の立ち上げ・運営支援</w:t>
      </w:r>
    </w:p>
    <w:p>
      <w:pPr>
        <w:pStyle w:val="ListBullet"/>
        <w:spacing w:after="20" w:line="269" w:lineRule="auto"/>
        <w:ind w:left="340"/>
      </w:pPr>
      <w:r>
        <w:rPr>
          <w:rFonts w:ascii="游ゴシック" w:hAnsi="游ゴシック" w:eastAsia="游ゴシック"/>
          <w:b w:val="0"/>
          <w:sz w:val="18"/>
        </w:rPr>
        <w:t>農作業型の通いの場の推進</w:t>
      </w:r>
    </w:p>
    <w:p>
      <w:pPr>
        <w:pStyle w:val="ListBullet"/>
        <w:spacing w:after="20" w:line="269" w:lineRule="auto"/>
        <w:ind w:left="340"/>
      </w:pPr>
      <w:r>
        <w:rPr>
          <w:rFonts w:ascii="游ゴシック" w:hAnsi="游ゴシック" w:eastAsia="游ゴシック"/>
          <w:b w:val="0"/>
          <w:sz w:val="18"/>
        </w:rPr>
        <w:t>アウトリーチ事業</w:t>
      </w:r>
    </w:p>
    <w:p>
      <w:pPr>
        <w:spacing w:after="40" w:before="0" w:line="276" w:lineRule="auto"/>
        <w:ind w:left="340"/>
      </w:pPr>
      <w:r>
        <w:rPr>
          <w:rFonts w:ascii="游ゴシック" w:hAnsi="游ゴシック" w:eastAsia="游ゴシック"/>
          <w:b w:val="0"/>
          <w:sz w:val="18"/>
        </w:rPr>
        <w:t>達成目標　フレイル該当割合　→　令和11年度 改善又は現在の水準の維持</w:t>
      </w:r>
    </w:p>
    <w:p>
      <w:pPr>
        <w:keepNext/>
        <w:spacing w:before="160" w:after="60"/>
      </w:pPr>
      <w:r>
        <w:rPr>
          <w:rFonts w:ascii="游ゴシック" w:hAnsi="游ゴシック" w:eastAsia="游ゴシック"/>
          <w:b/>
          <w:color w:val="1F3864"/>
          <w:sz w:val="23"/>
        </w:rPr>
        <w:t>基本目標3　持続可能なサービス提供・住まい</w:t>
      </w:r>
    </w:p>
    <w:p>
      <w:pPr>
        <w:pStyle w:val="ListBullet"/>
        <w:spacing w:after="20" w:line="269" w:lineRule="auto"/>
        <w:ind w:left="340"/>
      </w:pPr>
      <w:r>
        <w:rPr>
          <w:rFonts w:ascii="游ゴシック" w:hAnsi="游ゴシック" w:eastAsia="游ゴシック"/>
          <w:b w:val="0"/>
          <w:sz w:val="18"/>
        </w:rPr>
        <w:t>24時間対応サービスの確保</w:t>
      </w:r>
    </w:p>
    <w:p>
      <w:pPr>
        <w:pStyle w:val="ListBullet"/>
        <w:spacing w:after="20" w:line="269" w:lineRule="auto"/>
        <w:ind w:left="340"/>
      </w:pPr>
      <w:r>
        <w:rPr>
          <w:rFonts w:ascii="游ゴシック" w:hAnsi="游ゴシック" w:eastAsia="游ゴシック"/>
          <w:b w:val="0"/>
          <w:sz w:val="18"/>
        </w:rPr>
        <w:t>入所率・稼働率の把握</w:t>
      </w:r>
    </w:p>
    <w:p>
      <w:pPr>
        <w:pStyle w:val="ListBullet"/>
        <w:spacing w:after="20" w:line="269" w:lineRule="auto"/>
        <w:ind w:left="340"/>
      </w:pPr>
      <w:r>
        <w:rPr>
          <w:rFonts w:ascii="游ゴシック" w:hAnsi="游ゴシック" w:eastAsia="游ゴシック"/>
          <w:b w:val="0"/>
          <w:sz w:val="18"/>
        </w:rPr>
        <w:t>未利用認定者の把握</w:t>
      </w:r>
    </w:p>
    <w:p>
      <w:pPr>
        <w:spacing w:after="40" w:before="0" w:line="276" w:lineRule="auto"/>
        <w:ind w:left="340"/>
      </w:pPr>
      <w:r>
        <w:rPr>
          <w:rFonts w:ascii="游ゴシック" w:hAnsi="游ゴシック" w:eastAsia="游ゴシック"/>
          <w:b w:val="0"/>
          <w:sz w:val="18"/>
        </w:rPr>
        <w:t>達成目標　在宅生活継続困難割合　→　令和11年度 検討中</w:t>
      </w:r>
    </w:p>
    <w:p>
      <w:pPr>
        <w:keepNext/>
        <w:spacing w:before="160" w:after="60"/>
      </w:pPr>
      <w:r>
        <w:rPr>
          <w:rFonts w:ascii="游ゴシック" w:hAnsi="游ゴシック" w:eastAsia="游ゴシック"/>
          <w:b/>
          <w:color w:val="1F3864"/>
          <w:sz w:val="23"/>
        </w:rPr>
        <w:t>基本目標4　介護人材・生産性・質・経営支援</w:t>
      </w:r>
    </w:p>
    <w:p>
      <w:pPr>
        <w:pStyle w:val="ListBullet"/>
        <w:spacing w:after="20" w:line="269" w:lineRule="auto"/>
        <w:ind w:left="340"/>
      </w:pPr>
      <w:r>
        <w:rPr>
          <w:rFonts w:ascii="游ゴシック" w:hAnsi="游ゴシック" w:eastAsia="游ゴシック"/>
          <w:b w:val="0"/>
          <w:sz w:val="18"/>
        </w:rPr>
        <w:t>介護の仕事の魅力発信</w:t>
      </w:r>
    </w:p>
    <w:p>
      <w:pPr>
        <w:pStyle w:val="ListBullet"/>
        <w:spacing w:after="20" w:line="269" w:lineRule="auto"/>
        <w:ind w:left="340"/>
      </w:pPr>
      <w:r>
        <w:rPr>
          <w:rFonts w:ascii="游ゴシック" w:hAnsi="游ゴシック" w:eastAsia="游ゴシック"/>
          <w:b w:val="0"/>
          <w:sz w:val="18"/>
        </w:rPr>
        <w:t>人材の定着・資質向上</w:t>
      </w:r>
    </w:p>
    <w:p>
      <w:pPr>
        <w:pStyle w:val="ListBullet"/>
        <w:spacing w:after="20" w:line="269" w:lineRule="auto"/>
        <w:ind w:left="340"/>
      </w:pPr>
      <w:r>
        <w:rPr>
          <w:rFonts w:ascii="游ゴシック" w:hAnsi="游ゴシック" w:eastAsia="游ゴシック"/>
          <w:b w:val="0"/>
          <w:sz w:val="18"/>
        </w:rPr>
        <w:t>介護支援専門員への研修</w:t>
      </w:r>
    </w:p>
    <w:p>
      <w:pPr>
        <w:spacing w:after="40" w:before="0" w:line="276" w:lineRule="auto"/>
        <w:ind w:left="340"/>
      </w:pPr>
      <w:r>
        <w:rPr>
          <w:rFonts w:ascii="游ゴシック" w:hAnsi="游ゴシック" w:eastAsia="游ゴシック"/>
          <w:b w:val="0"/>
          <w:sz w:val="18"/>
        </w:rPr>
        <w:t>達成目標　職種別従事者数の推移　→　令和11年度 水準の維持</w:t>
      </w:r>
    </w:p>
    <w:p>
      <w:pPr>
        <w:keepNext/>
        <w:spacing w:before="160" w:after="60"/>
      </w:pPr>
      <w:r>
        <w:rPr>
          <w:rFonts w:ascii="游ゴシック" w:hAnsi="游ゴシック" w:eastAsia="游ゴシック"/>
          <w:b/>
          <w:color w:val="1F3864"/>
          <w:sz w:val="23"/>
        </w:rPr>
        <w:t>基本目標5　保険運営・レジリエンス・PDCA</w:t>
      </w:r>
    </w:p>
    <w:p>
      <w:pPr>
        <w:pStyle w:val="ListBullet"/>
        <w:spacing w:after="20" w:line="269" w:lineRule="auto"/>
        <w:ind w:left="340"/>
      </w:pPr>
      <w:r>
        <w:rPr>
          <w:rFonts w:ascii="游ゴシック" w:hAnsi="游ゴシック" w:eastAsia="游ゴシック"/>
          <w:b w:val="0"/>
          <w:sz w:val="18"/>
        </w:rPr>
        <w:t>要介護認定の適正化</w:t>
      </w:r>
    </w:p>
    <w:p>
      <w:pPr>
        <w:pStyle w:val="ListBullet"/>
        <w:spacing w:after="20" w:line="269" w:lineRule="auto"/>
        <w:ind w:left="340"/>
      </w:pPr>
      <w:r>
        <w:rPr>
          <w:rFonts w:ascii="游ゴシック" w:hAnsi="游ゴシック" w:eastAsia="游ゴシック"/>
          <w:b w:val="0"/>
          <w:sz w:val="18"/>
        </w:rPr>
        <w:t>ケアプランの点検</w:t>
      </w:r>
    </w:p>
    <w:p>
      <w:pPr>
        <w:pStyle w:val="ListBullet"/>
        <w:spacing w:after="20" w:line="269" w:lineRule="auto"/>
        <w:ind w:left="340"/>
      </w:pPr>
      <w:r>
        <w:rPr>
          <w:rFonts w:ascii="游ゴシック" w:hAnsi="游ゴシック" w:eastAsia="游ゴシック"/>
          <w:b w:val="0"/>
          <w:sz w:val="18"/>
        </w:rPr>
        <w:t>医療情報との突合・縦覧点検</w:t>
      </w:r>
    </w:p>
    <w:p>
      <w:pPr>
        <w:spacing w:after="40" w:before="0" w:line="276" w:lineRule="auto"/>
        <w:ind w:left="340"/>
      </w:pPr>
      <w:r>
        <w:rPr>
          <w:rFonts w:ascii="游ゴシック" w:hAnsi="游ゴシック" w:eastAsia="游ゴシック"/>
          <w:b w:val="0"/>
          <w:sz w:val="18"/>
        </w:rPr>
        <w:t>達成目標　給付費の計画乖離率　→　令和11年度 ±5％以内</w:t>
      </w:r>
    </w:p>
    <w:p>
      <w:pPr>
        <w:spacing w:before="40" w:after="80" w:line="259" w:lineRule="auto"/>
      </w:pPr>
      <w:r>
        <w:rPr>
          <w:rFonts w:ascii="游ゴシック" w:hAnsi="游ゴシック" w:eastAsia="游ゴシック"/>
          <w:b w:val="0"/>
          <w:sz w:val="16"/>
        </w:rPr>
        <w:t>「検討中」は、目標の値をこれから定めるものです。もとになる値を令和9年度に把握してから、令和10年度・令和11年度の目標を置きます。アウトリーチ事業は認定を受けながらサービスを利用していない方のお宅へ伺い、状況をお聞きする取組、医療情報との突合・縦覧点検は医療と介護の請求の内容を照らし合わせて誤りを見つける取組、給付費の計画乖離率は計画で見込んだ費用と実際の費用との差の割合をいいます。</w:t>
      </w:r>
    </w:p>
    <w:tbl>
      <w:tblPr>
        <w:tblStyle w:val="TableGrid"/>
        <w:tblW w:type="auto" w:w="0"/>
        <w:jc w:val="center"/>
        <w:tblLook w:firstColumn="1" w:firstRow="1" w:lastColumn="0" w:lastRow="0" w:noHBand="0" w:noVBand="1" w:val="04A0"/>
      </w:tblPr>
      <w:tblGrid>
        <w:gridCol w:w="9978"/>
      </w:tblGrid>
      <w:tr>
        <w:trPr>
          <w:cantSplit/>
        </w:trPr>
        <w:tc>
          <w:tcPr>
            <w:tcW w:type="dxa" w:w="9978"/>
            <w:shd w:val="clear" w:color="auto" w:fill="FFF2CC"/>
          </w:tcPr>
          <w:p>
            <w:pPr>
              <w:spacing w:after="40"/>
            </w:pPr>
            <w:r/>
            <w:r>
              <w:rPr>
                <w:rFonts w:ascii="游ゴシック" w:hAnsi="游ゴシック" w:eastAsia="游ゴシック"/>
                <w:b/>
                <w:sz w:val="20"/>
              </w:rPr>
              <w:t>【ご意見をお寄せください】論点5　施策の内容</w:t>
            </w:r>
          </w:p>
          <w:p>
            <w:pPr>
              <w:spacing w:after="0" w:line="264" w:lineRule="auto"/>
            </w:pPr>
            <w:r>
              <w:rPr>
                <w:rFonts w:ascii="游ゴシック" w:hAnsi="游ゴシック" w:eastAsia="游ゴシック"/>
                <w:b w:val="0"/>
                <w:sz w:val="19"/>
              </w:rPr>
              <w:t>優先して進めるべき取組</w:t>
            </w:r>
          </w:p>
        </w:tc>
      </w:tr>
    </w:tbl>
    <w:p>
      <w:pPr>
        <w:spacing w:before="120" w:after="0"/>
        <w:jc w:val="right"/>
      </w:pPr>
      <w:r>
        <w:rPr>
          <w:rFonts w:ascii="游ゴシック" w:hAnsi="游ゴシック" w:eastAsia="游ゴシック"/>
          <w:b w:val="0"/>
          <w:sz w:val="17"/>
        </w:rPr>
        <w:t>詳しくは本編をご覧ください（第5章　72頁から85頁）</w:t>
      </w:r>
    </w:p>
    <w:p>
      <w:r>
        <w:br w:type="page"/>
      </w:r>
    </w:p>
    <w:p>
      <w:pPr>
        <w:pStyle w:val="Heading1"/>
        <w:pBdr>
          <w:top w:val="single" w:sz="18" w:space="4" w:color="1F3864"/>
          <w:bottom w:val="single" w:sz="18" w:space="4" w:color="1F3864"/>
        </w:pBdr>
        <w:shd w:val="clear" w:color="auto" w:fill="F2F5FA"/>
        <w:spacing w:before="40" w:after="160"/>
      </w:pPr>
      <w:bookmarkStart w:id="2006" w:name="_Gai_006"/>
      <w:r>
        <w:rPr>
          <w:rFonts w:ascii="游ゴシック" w:hAnsi="游ゴシック" w:eastAsia="游ゴシック"/>
          <w:b/>
          <w:color w:val="1F3864"/>
          <w:sz w:val="29"/>
        </w:rPr>
        <w:t>6　サービスの見込みと保険料</w:t>
      </w:r>
      <w:bookmarkEnd w:id="2006"/>
    </w:p>
    <w:p>
      <w:pPr>
        <w:keepNext/>
        <w:spacing w:before="160" w:after="60"/>
      </w:pPr>
      <w:r>
        <w:rPr>
          <w:rFonts w:ascii="游ゴシック" w:hAnsi="游ゴシック" w:eastAsia="游ゴシック"/>
          <w:b/>
          <w:color w:val="1F3864"/>
          <w:sz w:val="23"/>
        </w:rPr>
        <w:t>介護が必要と認定される方の見込み</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cantSplit/>
          <w:tblHeader/>
        </w:trPr>
        <w:tc>
          <w:tcPr>
            <w:tcW w:type="dxa" w:w="1928"/>
            <w:shd w:val="clear" w:color="auto" w:fill="DCE6F1"/>
          </w:tcPr>
          <w:p>
            <w:pPr>
              <w:spacing w:after="20"/>
              <w:jc w:val="center"/>
            </w:pPr>
            <w:r/>
            <w:r>
              <w:rPr>
                <w:rFonts w:ascii="游ゴシック" w:hAnsi="游ゴシック" w:eastAsia="游ゴシック"/>
                <w:b/>
                <w:sz w:val="18"/>
              </w:rPr>
              <w:t>区分</w:t>
            </w:r>
          </w:p>
        </w:tc>
        <w:tc>
          <w:tcPr>
            <w:tcW w:type="dxa" w:w="1757"/>
            <w:shd w:val="clear" w:color="auto" w:fill="DCE6F1"/>
          </w:tcPr>
          <w:p>
            <w:pPr>
              <w:spacing w:after="20"/>
              <w:jc w:val="center"/>
            </w:pPr>
            <w:r/>
            <w:r>
              <w:rPr>
                <w:rFonts w:ascii="游ゴシック" w:hAnsi="游ゴシック" w:eastAsia="游ゴシック"/>
                <w:b/>
                <w:sz w:val="18"/>
              </w:rPr>
              <w:t>令和9年度</w:t>
            </w:r>
          </w:p>
        </w:tc>
        <w:tc>
          <w:tcPr>
            <w:tcW w:type="dxa" w:w="1757"/>
            <w:shd w:val="clear" w:color="auto" w:fill="DCE6F1"/>
          </w:tcPr>
          <w:p>
            <w:pPr>
              <w:spacing w:after="20"/>
              <w:jc w:val="center"/>
            </w:pPr>
            <w:r/>
            <w:r>
              <w:rPr>
                <w:rFonts w:ascii="游ゴシック" w:hAnsi="游ゴシック" w:eastAsia="游ゴシック"/>
                <w:b/>
                <w:sz w:val="18"/>
              </w:rPr>
              <w:t>令和10年度</w:t>
            </w:r>
          </w:p>
        </w:tc>
        <w:tc>
          <w:tcPr>
            <w:tcW w:type="dxa" w:w="1757"/>
            <w:shd w:val="clear" w:color="auto" w:fill="DCE6F1"/>
          </w:tcPr>
          <w:p>
            <w:pPr>
              <w:spacing w:after="20"/>
              <w:jc w:val="center"/>
            </w:pPr>
            <w:r/>
            <w:r>
              <w:rPr>
                <w:rFonts w:ascii="游ゴシック" w:hAnsi="游ゴシック" w:eastAsia="游ゴシック"/>
                <w:b/>
                <w:sz w:val="18"/>
              </w:rPr>
              <w:t>令和11年度</w:t>
            </w:r>
          </w:p>
        </w:tc>
        <w:tc>
          <w:tcPr>
            <w:tcW w:type="dxa" w:w="1928"/>
            <w:shd w:val="clear" w:color="auto" w:fill="DCE6F1"/>
          </w:tcPr>
          <w:p>
            <w:pPr>
              <w:spacing w:after="20"/>
              <w:jc w:val="center"/>
            </w:pPr>
            <w:r/>
            <w:r>
              <w:rPr>
                <w:rFonts w:ascii="游ゴシック" w:hAnsi="游ゴシック" w:eastAsia="游ゴシック"/>
                <w:b/>
                <w:sz w:val="18"/>
              </w:rPr>
              <w:t>令和22年度</w:t>
            </w:r>
          </w:p>
        </w:tc>
      </w:tr>
      <w:tr>
        <w:trPr>
          <w:cantSplit/>
        </w:trPr>
        <w:tc>
          <w:tcPr>
            <w:tcW w:type="dxa" w:w="1928"/>
          </w:tcPr>
          <w:p>
            <w:pPr>
              <w:spacing w:after="20" w:line="254" w:lineRule="auto"/>
            </w:pPr>
            <w:r/>
            <w:r>
              <w:rPr>
                <w:rFonts w:ascii="游ゴシック" w:hAnsi="游ゴシック" w:eastAsia="游ゴシック"/>
                <w:b/>
                <w:sz w:val="18"/>
              </w:rPr>
              <w:t>総人口</w:t>
            </w:r>
          </w:p>
        </w:tc>
        <w:tc>
          <w:tcPr>
            <w:tcW w:type="dxa" w:w="1757"/>
          </w:tcPr>
          <w:p>
            <w:pPr>
              <w:spacing w:after="20" w:line="254" w:lineRule="auto"/>
              <w:jc w:val="center"/>
            </w:pPr>
            <w:r/>
            <w:r>
              <w:rPr>
                <w:rFonts w:ascii="游ゴシック" w:hAnsi="游ゴシック" w:eastAsia="游ゴシック"/>
                <w:b w:val="0"/>
                <w:sz w:val="18"/>
              </w:rPr>
              <w:t>26,779</w:t>
            </w:r>
          </w:p>
        </w:tc>
        <w:tc>
          <w:tcPr>
            <w:tcW w:type="dxa" w:w="1757"/>
          </w:tcPr>
          <w:p>
            <w:pPr>
              <w:spacing w:after="20" w:line="254" w:lineRule="auto"/>
              <w:jc w:val="center"/>
            </w:pPr>
            <w:r/>
            <w:r>
              <w:rPr>
                <w:rFonts w:ascii="游ゴシック" w:hAnsi="游ゴシック" w:eastAsia="游ゴシック"/>
                <w:b w:val="0"/>
                <w:sz w:val="18"/>
              </w:rPr>
              <w:t>26,619</w:t>
            </w:r>
          </w:p>
        </w:tc>
        <w:tc>
          <w:tcPr>
            <w:tcW w:type="dxa" w:w="1757"/>
          </w:tcPr>
          <w:p>
            <w:pPr>
              <w:spacing w:after="20" w:line="254" w:lineRule="auto"/>
              <w:jc w:val="center"/>
            </w:pPr>
            <w:r/>
            <w:r>
              <w:rPr>
                <w:rFonts w:ascii="游ゴシック" w:hAnsi="游ゴシック" w:eastAsia="游ゴシック"/>
                <w:b w:val="0"/>
                <w:sz w:val="18"/>
              </w:rPr>
              <w:t>26,460</w:t>
            </w:r>
          </w:p>
        </w:tc>
        <w:tc>
          <w:tcPr>
            <w:tcW w:type="dxa" w:w="1928"/>
          </w:tcPr>
          <w:p>
            <w:pPr>
              <w:spacing w:after="20" w:line="254" w:lineRule="auto"/>
              <w:jc w:val="center"/>
            </w:pPr>
            <w:r/>
            <w:r>
              <w:rPr>
                <w:rFonts w:ascii="游ゴシック" w:hAnsi="游ゴシック" w:eastAsia="游ゴシック"/>
                <w:b w:val="0"/>
                <w:sz w:val="18"/>
              </w:rPr>
              <w:t>23,821</w:t>
            </w:r>
          </w:p>
        </w:tc>
      </w:tr>
      <w:tr>
        <w:trPr>
          <w:cantSplit/>
        </w:trPr>
        <w:tc>
          <w:tcPr>
            <w:tcW w:type="dxa" w:w="1928"/>
          </w:tcPr>
          <w:p>
            <w:pPr>
              <w:spacing w:after="20" w:line="254" w:lineRule="auto"/>
            </w:pPr>
            <w:r/>
            <w:r>
              <w:rPr>
                <w:rFonts w:ascii="游ゴシック" w:hAnsi="游ゴシック" w:eastAsia="游ゴシック"/>
                <w:b/>
                <w:sz w:val="18"/>
              </w:rPr>
              <w:t>65歳以上</w:t>
            </w:r>
          </w:p>
        </w:tc>
        <w:tc>
          <w:tcPr>
            <w:tcW w:type="dxa" w:w="1757"/>
          </w:tcPr>
          <w:p>
            <w:pPr>
              <w:spacing w:after="20" w:line="254" w:lineRule="auto"/>
              <w:jc w:val="center"/>
            </w:pPr>
            <w:r/>
            <w:r>
              <w:rPr>
                <w:rFonts w:ascii="游ゴシック" w:hAnsi="游ゴシック" w:eastAsia="游ゴシック"/>
                <w:b w:val="0"/>
                <w:sz w:val="18"/>
              </w:rPr>
              <w:t>9,147</w:t>
            </w:r>
          </w:p>
        </w:tc>
        <w:tc>
          <w:tcPr>
            <w:tcW w:type="dxa" w:w="1757"/>
          </w:tcPr>
          <w:p>
            <w:pPr>
              <w:spacing w:after="20" w:line="254" w:lineRule="auto"/>
              <w:jc w:val="center"/>
            </w:pPr>
            <w:r/>
            <w:r>
              <w:rPr>
                <w:rFonts w:ascii="游ゴシック" w:hAnsi="游ゴシック" w:eastAsia="游ゴシック"/>
                <w:b w:val="0"/>
                <w:sz w:val="18"/>
              </w:rPr>
              <w:t>9,179</w:t>
            </w:r>
          </w:p>
        </w:tc>
        <w:tc>
          <w:tcPr>
            <w:tcW w:type="dxa" w:w="1757"/>
          </w:tcPr>
          <w:p>
            <w:pPr>
              <w:spacing w:after="20" w:line="254" w:lineRule="auto"/>
              <w:jc w:val="center"/>
            </w:pPr>
            <w:r/>
            <w:r>
              <w:rPr>
                <w:rFonts w:ascii="游ゴシック" w:hAnsi="游ゴシック" w:eastAsia="游ゴシック"/>
                <w:b w:val="0"/>
                <w:sz w:val="18"/>
              </w:rPr>
              <w:t>9,213</w:t>
            </w:r>
          </w:p>
        </w:tc>
        <w:tc>
          <w:tcPr>
            <w:tcW w:type="dxa" w:w="1928"/>
          </w:tcPr>
          <w:p>
            <w:pPr>
              <w:spacing w:after="20" w:line="254" w:lineRule="auto"/>
              <w:jc w:val="center"/>
            </w:pPr>
            <w:r/>
            <w:r>
              <w:rPr>
                <w:rFonts w:ascii="游ゴシック" w:hAnsi="游ゴシック" w:eastAsia="游ゴシック"/>
                <w:b w:val="0"/>
                <w:sz w:val="18"/>
              </w:rPr>
              <w:t>9,491</w:t>
            </w:r>
          </w:p>
        </w:tc>
      </w:tr>
      <w:tr>
        <w:trPr>
          <w:cantSplit/>
        </w:trPr>
        <w:tc>
          <w:tcPr>
            <w:tcW w:type="dxa" w:w="1928"/>
          </w:tcPr>
          <w:p>
            <w:pPr>
              <w:spacing w:after="20" w:line="254" w:lineRule="auto"/>
            </w:pPr>
            <w:r/>
            <w:r>
              <w:rPr>
                <w:rFonts w:ascii="游ゴシック" w:hAnsi="游ゴシック" w:eastAsia="游ゴシック"/>
                <w:b/>
                <w:sz w:val="18"/>
              </w:rPr>
              <w:t>うち85歳以上</w:t>
            </w:r>
          </w:p>
        </w:tc>
        <w:tc>
          <w:tcPr>
            <w:tcW w:type="dxa" w:w="1757"/>
          </w:tcPr>
          <w:p>
            <w:pPr>
              <w:spacing w:after="20" w:line="254" w:lineRule="auto"/>
              <w:jc w:val="center"/>
            </w:pPr>
            <w:r/>
            <w:r>
              <w:rPr>
                <w:rFonts w:ascii="游ゴシック" w:hAnsi="游ゴシック" w:eastAsia="游ゴシック"/>
                <w:b w:val="0"/>
                <w:sz w:val="18"/>
              </w:rPr>
              <w:t>2,070</w:t>
            </w:r>
          </w:p>
        </w:tc>
        <w:tc>
          <w:tcPr>
            <w:tcW w:type="dxa" w:w="1757"/>
          </w:tcPr>
          <w:p>
            <w:pPr>
              <w:spacing w:after="20" w:line="254" w:lineRule="auto"/>
              <w:jc w:val="center"/>
            </w:pPr>
            <w:r/>
            <w:r>
              <w:rPr>
                <w:rFonts w:ascii="游ゴシック" w:hAnsi="游ゴシック" w:eastAsia="游ゴシック"/>
                <w:b w:val="0"/>
                <w:sz w:val="18"/>
              </w:rPr>
              <w:t>2,111</w:t>
            </w:r>
          </w:p>
        </w:tc>
        <w:tc>
          <w:tcPr>
            <w:tcW w:type="dxa" w:w="1757"/>
          </w:tcPr>
          <w:p>
            <w:pPr>
              <w:spacing w:after="20" w:line="254" w:lineRule="auto"/>
              <w:jc w:val="center"/>
            </w:pPr>
            <w:r/>
            <w:r>
              <w:rPr>
                <w:rFonts w:ascii="游ゴシック" w:hAnsi="游ゴシック" w:eastAsia="游ゴシック"/>
                <w:b w:val="0"/>
                <w:sz w:val="18"/>
              </w:rPr>
              <w:t>2,152</w:t>
            </w:r>
          </w:p>
        </w:tc>
        <w:tc>
          <w:tcPr>
            <w:tcW w:type="dxa" w:w="1928"/>
          </w:tcPr>
          <w:p>
            <w:pPr>
              <w:spacing w:after="20" w:line="254" w:lineRule="auto"/>
              <w:jc w:val="center"/>
            </w:pPr>
            <w:r/>
            <w:r>
              <w:rPr>
                <w:rFonts w:ascii="游ゴシック" w:hAnsi="游ゴシック" w:eastAsia="游ゴシック"/>
                <w:b w:val="0"/>
                <w:sz w:val="18"/>
              </w:rPr>
              <w:t>2,681</w:t>
            </w:r>
          </w:p>
        </w:tc>
      </w:tr>
      <w:tr>
        <w:trPr>
          <w:cantSplit/>
        </w:trPr>
        <w:tc>
          <w:tcPr>
            <w:tcW w:type="dxa" w:w="1928"/>
          </w:tcPr>
          <w:p>
            <w:pPr>
              <w:spacing w:after="20" w:line="254" w:lineRule="auto"/>
            </w:pPr>
            <w:r/>
            <w:r>
              <w:rPr>
                <w:rFonts w:ascii="游ゴシック" w:hAnsi="游ゴシック" w:eastAsia="游ゴシック"/>
                <w:b/>
                <w:sz w:val="18"/>
              </w:rPr>
              <w:t>認定者数</w:t>
            </w:r>
          </w:p>
        </w:tc>
        <w:tc>
          <w:tcPr>
            <w:tcW w:type="dxa" w:w="1757"/>
          </w:tcPr>
          <w:p>
            <w:pPr>
              <w:spacing w:after="20" w:line="254" w:lineRule="auto"/>
              <w:jc w:val="center"/>
            </w:pPr>
            <w:r/>
            <w:r>
              <w:rPr>
                <w:rFonts w:ascii="游ゴシック" w:hAnsi="游ゴシック" w:eastAsia="游ゴシック"/>
                <w:b w:val="0"/>
                <w:sz w:val="18"/>
              </w:rPr>
              <w:t>2,025</w:t>
            </w:r>
          </w:p>
        </w:tc>
        <w:tc>
          <w:tcPr>
            <w:tcW w:type="dxa" w:w="1757"/>
          </w:tcPr>
          <w:p>
            <w:pPr>
              <w:spacing w:after="20" w:line="254" w:lineRule="auto"/>
              <w:jc w:val="center"/>
            </w:pPr>
            <w:r/>
            <w:r>
              <w:rPr>
                <w:rFonts w:ascii="游ゴシック" w:hAnsi="游ゴシック" w:eastAsia="游ゴシック"/>
                <w:b w:val="0"/>
                <w:sz w:val="18"/>
              </w:rPr>
              <w:t>2,046</w:t>
            </w:r>
          </w:p>
        </w:tc>
        <w:tc>
          <w:tcPr>
            <w:tcW w:type="dxa" w:w="1757"/>
          </w:tcPr>
          <w:p>
            <w:pPr>
              <w:spacing w:after="20" w:line="254" w:lineRule="auto"/>
              <w:jc w:val="center"/>
            </w:pPr>
            <w:r/>
            <w:r>
              <w:rPr>
                <w:rFonts w:ascii="游ゴシック" w:hAnsi="游ゴシック" w:eastAsia="游ゴシック"/>
                <w:b w:val="0"/>
                <w:sz w:val="18"/>
              </w:rPr>
              <w:t>2,067</w:t>
            </w:r>
          </w:p>
        </w:tc>
        <w:tc>
          <w:tcPr>
            <w:tcW w:type="dxa" w:w="1928"/>
          </w:tcPr>
          <w:p>
            <w:pPr>
              <w:spacing w:after="20" w:line="254" w:lineRule="auto"/>
              <w:jc w:val="center"/>
            </w:pPr>
            <w:r/>
            <w:r>
              <w:rPr>
                <w:rFonts w:ascii="游ゴシック" w:hAnsi="游ゴシック" w:eastAsia="游ゴシック"/>
                <w:b w:val="0"/>
                <w:sz w:val="18"/>
              </w:rPr>
              <w:t>2,288</w:t>
            </w:r>
          </w:p>
        </w:tc>
      </w:tr>
      <w:tr>
        <w:trPr>
          <w:cantSplit/>
        </w:trPr>
        <w:tc>
          <w:tcPr>
            <w:tcW w:type="dxa" w:w="1928"/>
          </w:tcPr>
          <w:p>
            <w:pPr>
              <w:spacing w:after="20" w:line="254" w:lineRule="auto"/>
            </w:pPr>
            <w:r/>
            <w:r>
              <w:rPr>
                <w:rFonts w:ascii="游ゴシック" w:hAnsi="游ゴシック" w:eastAsia="游ゴシック"/>
                <w:b/>
                <w:sz w:val="18"/>
              </w:rPr>
              <w:t>認定率</w:t>
            </w:r>
          </w:p>
        </w:tc>
        <w:tc>
          <w:tcPr>
            <w:tcW w:type="dxa" w:w="1757"/>
          </w:tcPr>
          <w:p>
            <w:pPr>
              <w:spacing w:after="20" w:line="254" w:lineRule="auto"/>
              <w:jc w:val="center"/>
            </w:pPr>
            <w:r/>
            <w:r>
              <w:rPr>
                <w:rFonts w:ascii="游ゴシック" w:hAnsi="游ゴシック" w:eastAsia="游ゴシック"/>
                <w:b w:val="0"/>
                <w:sz w:val="18"/>
              </w:rPr>
              <w:t>22.1％</w:t>
            </w:r>
          </w:p>
        </w:tc>
        <w:tc>
          <w:tcPr>
            <w:tcW w:type="dxa" w:w="1757"/>
          </w:tcPr>
          <w:p>
            <w:pPr>
              <w:spacing w:after="20" w:line="254" w:lineRule="auto"/>
              <w:jc w:val="center"/>
            </w:pPr>
            <w:r/>
            <w:r>
              <w:rPr>
                <w:rFonts w:ascii="游ゴシック" w:hAnsi="游ゴシック" w:eastAsia="游ゴシック"/>
                <w:b w:val="0"/>
                <w:sz w:val="18"/>
              </w:rPr>
              <w:t>22.3％</w:t>
            </w:r>
          </w:p>
        </w:tc>
        <w:tc>
          <w:tcPr>
            <w:tcW w:type="dxa" w:w="1757"/>
          </w:tcPr>
          <w:p>
            <w:pPr>
              <w:spacing w:after="20" w:line="254" w:lineRule="auto"/>
              <w:jc w:val="center"/>
            </w:pPr>
            <w:r/>
            <w:r>
              <w:rPr>
                <w:rFonts w:ascii="游ゴシック" w:hAnsi="游ゴシック" w:eastAsia="游ゴシック"/>
                <w:b w:val="0"/>
                <w:sz w:val="18"/>
              </w:rPr>
              <w:t>22.4％</w:t>
            </w:r>
          </w:p>
        </w:tc>
        <w:tc>
          <w:tcPr>
            <w:tcW w:type="dxa" w:w="1928"/>
          </w:tcPr>
          <w:p>
            <w:pPr>
              <w:spacing w:after="20" w:line="254" w:lineRule="auto"/>
              <w:jc w:val="center"/>
            </w:pPr>
            <w:r/>
            <w:r>
              <w:rPr>
                <w:rFonts w:ascii="游ゴシック" w:hAnsi="游ゴシック" w:eastAsia="游ゴシック"/>
                <w:b w:val="0"/>
                <w:sz w:val="18"/>
              </w:rPr>
              <w:t>24.1％</w:t>
            </w:r>
          </w:p>
        </w:tc>
      </w:tr>
    </w:tbl>
    <w:p>
      <w:pPr>
        <w:keepNext/>
        <w:spacing w:before="160" w:after="60"/>
      </w:pPr>
      <w:r>
        <w:rPr>
          <w:rFonts w:ascii="游ゴシック" w:hAnsi="游ゴシック" w:eastAsia="游ゴシック"/>
          <w:b/>
          <w:color w:val="1F3864"/>
          <w:sz w:val="23"/>
        </w:rPr>
        <w:t>主なサービスの見込み（1か月あたりの利用者数）</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cantSplit/>
          <w:tblHeader/>
        </w:trPr>
        <w:tc>
          <w:tcPr>
            <w:tcW w:type="dxa" w:w="3175"/>
            <w:shd w:val="clear" w:color="auto" w:fill="DCE6F1"/>
          </w:tcPr>
          <w:p>
            <w:pPr>
              <w:spacing w:after="20"/>
              <w:jc w:val="center"/>
            </w:pPr>
            <w:r/>
            <w:r>
              <w:rPr>
                <w:rFonts w:ascii="游ゴシック" w:hAnsi="游ゴシック" w:eastAsia="游ゴシック"/>
                <w:b/>
                <w:sz w:val="18"/>
              </w:rPr>
              <w:t>サービス</w:t>
            </w:r>
          </w:p>
        </w:tc>
        <w:tc>
          <w:tcPr>
            <w:tcW w:type="dxa" w:w="1814"/>
            <w:shd w:val="clear" w:color="auto" w:fill="DCE6F1"/>
          </w:tcPr>
          <w:p>
            <w:pPr>
              <w:spacing w:after="20"/>
              <w:jc w:val="center"/>
            </w:pPr>
            <w:r/>
            <w:r>
              <w:rPr>
                <w:rFonts w:ascii="游ゴシック" w:hAnsi="游ゴシック" w:eastAsia="游ゴシック"/>
                <w:b/>
                <w:sz w:val="18"/>
              </w:rPr>
              <w:t>令和7年度（実績）</w:t>
            </w:r>
          </w:p>
        </w:tc>
        <w:tc>
          <w:tcPr>
            <w:tcW w:type="dxa" w:w="1587"/>
            <w:shd w:val="clear" w:color="auto" w:fill="DCE6F1"/>
          </w:tcPr>
          <w:p>
            <w:pPr>
              <w:spacing w:after="20"/>
              <w:jc w:val="center"/>
            </w:pPr>
            <w:r/>
            <w:r>
              <w:rPr>
                <w:rFonts w:ascii="游ゴシック" w:hAnsi="游ゴシック" w:eastAsia="游ゴシック"/>
                <w:b/>
                <w:sz w:val="18"/>
              </w:rPr>
              <w:t>令和9年度</w:t>
            </w:r>
          </w:p>
        </w:tc>
        <w:tc>
          <w:tcPr>
            <w:tcW w:type="dxa" w:w="1587"/>
            <w:shd w:val="clear" w:color="auto" w:fill="DCE6F1"/>
          </w:tcPr>
          <w:p>
            <w:pPr>
              <w:spacing w:after="20"/>
              <w:jc w:val="center"/>
            </w:pPr>
            <w:r/>
            <w:r>
              <w:rPr>
                <w:rFonts w:ascii="游ゴシック" w:hAnsi="游ゴシック" w:eastAsia="游ゴシック"/>
                <w:b/>
                <w:sz w:val="18"/>
              </w:rPr>
              <w:t>令和10年度</w:t>
            </w:r>
          </w:p>
        </w:tc>
        <w:tc>
          <w:tcPr>
            <w:tcW w:type="dxa" w:w="1587"/>
            <w:shd w:val="clear" w:color="auto" w:fill="DCE6F1"/>
          </w:tcPr>
          <w:p>
            <w:pPr>
              <w:spacing w:after="20"/>
              <w:jc w:val="center"/>
            </w:pPr>
            <w:r/>
            <w:r>
              <w:rPr>
                <w:rFonts w:ascii="游ゴシック" w:hAnsi="游ゴシック" w:eastAsia="游ゴシック"/>
                <w:b/>
                <w:sz w:val="18"/>
              </w:rPr>
              <w:t>令和11年度</w:t>
            </w:r>
          </w:p>
        </w:tc>
      </w:tr>
      <w:tr>
        <w:trPr>
          <w:cantSplit/>
        </w:trPr>
        <w:tc>
          <w:tcPr>
            <w:tcW w:type="dxa" w:w="3175"/>
          </w:tcPr>
          <w:p>
            <w:pPr>
              <w:spacing w:after="20" w:line="254" w:lineRule="auto"/>
            </w:pPr>
            <w:r/>
            <w:r>
              <w:rPr>
                <w:rFonts w:ascii="游ゴシック" w:hAnsi="游ゴシック" w:eastAsia="游ゴシック"/>
                <w:b/>
                <w:sz w:val="18"/>
              </w:rPr>
              <w:t>介護老人福祉施設</w:t>
            </w:r>
          </w:p>
        </w:tc>
        <w:tc>
          <w:tcPr>
            <w:tcW w:type="dxa" w:w="1814"/>
          </w:tcPr>
          <w:p>
            <w:pPr>
              <w:spacing w:after="20" w:line="254" w:lineRule="auto"/>
              <w:jc w:val="center"/>
            </w:pPr>
            <w:r/>
            <w:r>
              <w:rPr>
                <w:rFonts w:ascii="游ゴシック" w:hAnsi="游ゴシック" w:eastAsia="游ゴシック"/>
                <w:b w:val="0"/>
                <w:sz w:val="18"/>
              </w:rPr>
              <w:t>138.2</w:t>
            </w:r>
          </w:p>
        </w:tc>
        <w:tc>
          <w:tcPr>
            <w:tcW w:type="dxa" w:w="1587"/>
          </w:tcPr>
          <w:p>
            <w:pPr>
              <w:spacing w:after="20" w:line="254" w:lineRule="auto"/>
              <w:jc w:val="center"/>
            </w:pPr>
            <w:r/>
            <w:r>
              <w:rPr>
                <w:rFonts w:ascii="游ゴシック" w:hAnsi="游ゴシック" w:eastAsia="游ゴシック"/>
                <w:b w:val="0"/>
                <w:sz w:val="18"/>
              </w:rPr>
              <w:t>141.4</w:t>
            </w:r>
          </w:p>
        </w:tc>
        <w:tc>
          <w:tcPr>
            <w:tcW w:type="dxa" w:w="1587"/>
          </w:tcPr>
          <w:p>
            <w:pPr>
              <w:spacing w:after="20" w:line="254" w:lineRule="auto"/>
              <w:jc w:val="center"/>
            </w:pPr>
            <w:r/>
            <w:r>
              <w:rPr>
                <w:rFonts w:ascii="游ゴシック" w:hAnsi="游ゴシック" w:eastAsia="游ゴシック"/>
                <w:b w:val="0"/>
                <w:sz w:val="18"/>
              </w:rPr>
              <w:t>143.0</w:t>
            </w:r>
          </w:p>
        </w:tc>
        <w:tc>
          <w:tcPr>
            <w:tcW w:type="dxa" w:w="1587"/>
          </w:tcPr>
          <w:p>
            <w:pPr>
              <w:spacing w:after="20" w:line="254" w:lineRule="auto"/>
              <w:jc w:val="center"/>
            </w:pPr>
            <w:r/>
            <w:r>
              <w:rPr>
                <w:rFonts w:ascii="游ゴシック" w:hAnsi="游ゴシック" w:eastAsia="游ゴシック"/>
                <w:b w:val="0"/>
                <w:sz w:val="18"/>
              </w:rPr>
              <w:t>144.6</w:t>
            </w:r>
          </w:p>
        </w:tc>
      </w:tr>
      <w:tr>
        <w:trPr>
          <w:cantSplit/>
        </w:trPr>
        <w:tc>
          <w:tcPr>
            <w:tcW w:type="dxa" w:w="3175"/>
          </w:tcPr>
          <w:p>
            <w:pPr>
              <w:spacing w:after="20" w:line="254" w:lineRule="auto"/>
            </w:pPr>
            <w:r/>
            <w:r>
              <w:rPr>
                <w:rFonts w:ascii="游ゴシック" w:hAnsi="游ゴシック" w:eastAsia="游ゴシック"/>
                <w:b/>
                <w:sz w:val="18"/>
              </w:rPr>
              <w:t>介護老人保健施設</w:t>
            </w:r>
          </w:p>
        </w:tc>
        <w:tc>
          <w:tcPr>
            <w:tcW w:type="dxa" w:w="1814"/>
          </w:tcPr>
          <w:p>
            <w:pPr>
              <w:spacing w:after="20" w:line="254" w:lineRule="auto"/>
              <w:jc w:val="center"/>
            </w:pPr>
            <w:r/>
            <w:r>
              <w:rPr>
                <w:rFonts w:ascii="游ゴシック" w:hAnsi="游ゴシック" w:eastAsia="游ゴシック"/>
                <w:b w:val="0"/>
                <w:sz w:val="18"/>
              </w:rPr>
              <w:t>134.1</w:t>
            </w:r>
          </w:p>
        </w:tc>
        <w:tc>
          <w:tcPr>
            <w:tcW w:type="dxa" w:w="1587"/>
          </w:tcPr>
          <w:p>
            <w:pPr>
              <w:spacing w:after="20" w:line="254" w:lineRule="auto"/>
              <w:jc w:val="center"/>
            </w:pPr>
            <w:r/>
            <w:r>
              <w:rPr>
                <w:rFonts w:ascii="游ゴシック" w:hAnsi="游ゴシック" w:eastAsia="游ゴシック"/>
                <w:b w:val="0"/>
                <w:sz w:val="18"/>
              </w:rPr>
              <w:t>137.0</w:t>
            </w:r>
          </w:p>
        </w:tc>
        <w:tc>
          <w:tcPr>
            <w:tcW w:type="dxa" w:w="1587"/>
          </w:tcPr>
          <w:p>
            <w:pPr>
              <w:spacing w:after="20" w:line="254" w:lineRule="auto"/>
              <w:jc w:val="center"/>
            </w:pPr>
            <w:r/>
            <w:r>
              <w:rPr>
                <w:rFonts w:ascii="游ゴシック" w:hAnsi="游ゴシック" w:eastAsia="游ゴシック"/>
                <w:b w:val="0"/>
                <w:sz w:val="18"/>
              </w:rPr>
              <w:t>138.5</w:t>
            </w:r>
          </w:p>
        </w:tc>
        <w:tc>
          <w:tcPr>
            <w:tcW w:type="dxa" w:w="1587"/>
          </w:tcPr>
          <w:p>
            <w:pPr>
              <w:spacing w:after="20" w:line="254" w:lineRule="auto"/>
              <w:jc w:val="center"/>
            </w:pPr>
            <w:r/>
            <w:r>
              <w:rPr>
                <w:rFonts w:ascii="游ゴシック" w:hAnsi="游ゴシック" w:eastAsia="游ゴシック"/>
                <w:b w:val="0"/>
                <w:sz w:val="18"/>
              </w:rPr>
              <w:t>140.1</w:t>
            </w:r>
          </w:p>
        </w:tc>
      </w:tr>
      <w:tr>
        <w:trPr>
          <w:cantSplit/>
        </w:trPr>
        <w:tc>
          <w:tcPr>
            <w:tcW w:type="dxa" w:w="3175"/>
          </w:tcPr>
          <w:p>
            <w:pPr>
              <w:spacing w:after="20" w:line="254" w:lineRule="auto"/>
            </w:pPr>
            <w:r/>
            <w:r>
              <w:rPr>
                <w:rFonts w:ascii="游ゴシック" w:hAnsi="游ゴシック" w:eastAsia="游ゴシック"/>
                <w:b/>
                <w:sz w:val="18"/>
              </w:rPr>
              <w:t>特定施設入居者生活介護</w:t>
            </w:r>
          </w:p>
        </w:tc>
        <w:tc>
          <w:tcPr>
            <w:tcW w:type="dxa" w:w="1814"/>
          </w:tcPr>
          <w:p>
            <w:pPr>
              <w:spacing w:after="20" w:line="254" w:lineRule="auto"/>
              <w:jc w:val="center"/>
            </w:pPr>
            <w:r/>
            <w:r>
              <w:rPr>
                <w:rFonts w:ascii="游ゴシック" w:hAnsi="游ゴシック" w:eastAsia="游ゴシック"/>
                <w:b w:val="0"/>
                <w:sz w:val="18"/>
              </w:rPr>
              <w:t>61.5</w:t>
            </w:r>
          </w:p>
        </w:tc>
        <w:tc>
          <w:tcPr>
            <w:tcW w:type="dxa" w:w="1587"/>
          </w:tcPr>
          <w:p>
            <w:pPr>
              <w:spacing w:after="20" w:line="254" w:lineRule="auto"/>
              <w:jc w:val="center"/>
            </w:pPr>
            <w:r/>
            <w:r>
              <w:rPr>
                <w:rFonts w:ascii="游ゴシック" w:hAnsi="游ゴシック" w:eastAsia="游ゴシック"/>
                <w:b w:val="0"/>
                <w:sz w:val="18"/>
              </w:rPr>
              <w:t>62.8</w:t>
            </w:r>
          </w:p>
        </w:tc>
        <w:tc>
          <w:tcPr>
            <w:tcW w:type="dxa" w:w="1587"/>
          </w:tcPr>
          <w:p>
            <w:pPr>
              <w:spacing w:after="20" w:line="254" w:lineRule="auto"/>
              <w:jc w:val="center"/>
            </w:pPr>
            <w:r/>
            <w:r>
              <w:rPr>
                <w:rFonts w:ascii="游ゴシック" w:hAnsi="游ゴシック" w:eastAsia="游ゴシック"/>
                <w:b w:val="0"/>
                <w:sz w:val="18"/>
              </w:rPr>
              <w:t>63.5</w:t>
            </w:r>
          </w:p>
        </w:tc>
        <w:tc>
          <w:tcPr>
            <w:tcW w:type="dxa" w:w="1587"/>
          </w:tcPr>
          <w:p>
            <w:pPr>
              <w:spacing w:after="20" w:line="254" w:lineRule="auto"/>
              <w:jc w:val="center"/>
            </w:pPr>
            <w:r/>
            <w:r>
              <w:rPr>
                <w:rFonts w:ascii="游ゴシック" w:hAnsi="游ゴシック" w:eastAsia="游ゴシック"/>
                <w:b w:val="0"/>
                <w:sz w:val="18"/>
              </w:rPr>
              <w:t>64.1</w:t>
            </w:r>
          </w:p>
        </w:tc>
      </w:tr>
      <w:tr>
        <w:trPr>
          <w:cantSplit/>
        </w:trPr>
        <w:tc>
          <w:tcPr>
            <w:tcW w:type="dxa" w:w="3175"/>
          </w:tcPr>
          <w:p>
            <w:pPr>
              <w:spacing w:after="20" w:line="254" w:lineRule="auto"/>
            </w:pPr>
            <w:r/>
            <w:r>
              <w:rPr>
                <w:rFonts w:ascii="游ゴシック" w:hAnsi="游ゴシック" w:eastAsia="游ゴシック"/>
                <w:b/>
                <w:sz w:val="18"/>
              </w:rPr>
              <w:t>認知症対応型共同生活介護</w:t>
            </w:r>
          </w:p>
        </w:tc>
        <w:tc>
          <w:tcPr>
            <w:tcW w:type="dxa" w:w="1814"/>
          </w:tcPr>
          <w:p>
            <w:pPr>
              <w:spacing w:after="20" w:line="254" w:lineRule="auto"/>
              <w:jc w:val="center"/>
            </w:pPr>
            <w:r/>
            <w:r>
              <w:rPr>
                <w:rFonts w:ascii="游ゴシック" w:hAnsi="游ゴシック" w:eastAsia="游ゴシック"/>
                <w:b w:val="0"/>
                <w:sz w:val="18"/>
              </w:rPr>
              <w:t>81.6</w:t>
            </w:r>
          </w:p>
        </w:tc>
        <w:tc>
          <w:tcPr>
            <w:tcW w:type="dxa" w:w="1587"/>
          </w:tcPr>
          <w:p>
            <w:pPr>
              <w:spacing w:after="20" w:line="254" w:lineRule="auto"/>
              <w:jc w:val="center"/>
            </w:pPr>
            <w:r/>
            <w:r>
              <w:rPr>
                <w:rFonts w:ascii="游ゴシック" w:hAnsi="游ゴシック" w:eastAsia="游ゴシック"/>
                <w:b w:val="0"/>
                <w:sz w:val="18"/>
              </w:rPr>
              <w:t>83.4</w:t>
            </w:r>
          </w:p>
        </w:tc>
        <w:tc>
          <w:tcPr>
            <w:tcW w:type="dxa" w:w="1587"/>
          </w:tcPr>
          <w:p>
            <w:pPr>
              <w:spacing w:after="20" w:line="254" w:lineRule="auto"/>
              <w:jc w:val="center"/>
            </w:pPr>
            <w:r/>
            <w:r>
              <w:rPr>
                <w:rFonts w:ascii="游ゴシック" w:hAnsi="游ゴシック" w:eastAsia="游ゴシック"/>
                <w:b w:val="0"/>
                <w:sz w:val="18"/>
              </w:rPr>
              <w:t>84.3</w:t>
            </w:r>
          </w:p>
        </w:tc>
        <w:tc>
          <w:tcPr>
            <w:tcW w:type="dxa" w:w="1587"/>
          </w:tcPr>
          <w:p>
            <w:pPr>
              <w:spacing w:after="20" w:line="254" w:lineRule="auto"/>
              <w:jc w:val="center"/>
            </w:pPr>
            <w:r/>
            <w:r>
              <w:rPr>
                <w:rFonts w:ascii="游ゴシック" w:hAnsi="游ゴシック" w:eastAsia="游ゴシック"/>
                <w:b w:val="0"/>
                <w:sz w:val="18"/>
              </w:rPr>
              <w:t>85.2</w:t>
            </w:r>
          </w:p>
        </w:tc>
      </w:tr>
      <w:tr>
        <w:trPr>
          <w:cantSplit/>
        </w:trPr>
        <w:tc>
          <w:tcPr>
            <w:tcW w:type="dxa" w:w="3175"/>
          </w:tcPr>
          <w:p>
            <w:pPr>
              <w:spacing w:after="20" w:line="254" w:lineRule="auto"/>
            </w:pPr>
            <w:r/>
            <w:r>
              <w:rPr>
                <w:rFonts w:ascii="游ゴシック" w:hAnsi="游ゴシック" w:eastAsia="游ゴシック"/>
                <w:b/>
                <w:sz w:val="18"/>
              </w:rPr>
              <w:t>訪問介護</w:t>
            </w:r>
          </w:p>
        </w:tc>
        <w:tc>
          <w:tcPr>
            <w:tcW w:type="dxa" w:w="1814"/>
          </w:tcPr>
          <w:p>
            <w:pPr>
              <w:spacing w:after="20" w:line="254" w:lineRule="auto"/>
              <w:jc w:val="center"/>
            </w:pPr>
            <w:r/>
            <w:r>
              <w:rPr>
                <w:rFonts w:ascii="游ゴシック" w:hAnsi="游ゴシック" w:eastAsia="游ゴシック"/>
                <w:b w:val="0"/>
                <w:sz w:val="18"/>
              </w:rPr>
              <w:t>270.1</w:t>
            </w:r>
          </w:p>
        </w:tc>
        <w:tc>
          <w:tcPr>
            <w:tcW w:type="dxa" w:w="1587"/>
          </w:tcPr>
          <w:p>
            <w:pPr>
              <w:spacing w:after="20" w:line="254" w:lineRule="auto"/>
              <w:jc w:val="center"/>
            </w:pPr>
            <w:r/>
            <w:r>
              <w:rPr>
                <w:rFonts w:ascii="游ゴシック" w:hAnsi="游ゴシック" w:eastAsia="游ゴシック"/>
                <w:b w:val="0"/>
                <w:sz w:val="18"/>
              </w:rPr>
              <w:t>275.9</w:t>
            </w:r>
          </w:p>
        </w:tc>
        <w:tc>
          <w:tcPr>
            <w:tcW w:type="dxa" w:w="1587"/>
          </w:tcPr>
          <w:p>
            <w:pPr>
              <w:spacing w:after="20" w:line="254" w:lineRule="auto"/>
              <w:jc w:val="center"/>
            </w:pPr>
            <w:r/>
            <w:r>
              <w:rPr>
                <w:rFonts w:ascii="游ゴシック" w:hAnsi="游ゴシック" w:eastAsia="游ゴシック"/>
                <w:b w:val="0"/>
                <w:sz w:val="18"/>
              </w:rPr>
              <w:t>278.8</w:t>
            </w:r>
          </w:p>
        </w:tc>
        <w:tc>
          <w:tcPr>
            <w:tcW w:type="dxa" w:w="1587"/>
          </w:tcPr>
          <w:p>
            <w:pPr>
              <w:spacing w:after="20" w:line="254" w:lineRule="auto"/>
              <w:jc w:val="center"/>
            </w:pPr>
            <w:r/>
            <w:r>
              <w:rPr>
                <w:rFonts w:ascii="游ゴシック" w:hAnsi="游ゴシック" w:eastAsia="游ゴシック"/>
                <w:b w:val="0"/>
                <w:sz w:val="18"/>
              </w:rPr>
              <w:t>281.8</w:t>
            </w:r>
          </w:p>
        </w:tc>
      </w:tr>
      <w:tr>
        <w:trPr>
          <w:cantSplit/>
        </w:trPr>
        <w:tc>
          <w:tcPr>
            <w:tcW w:type="dxa" w:w="3175"/>
          </w:tcPr>
          <w:p>
            <w:pPr>
              <w:spacing w:after="20" w:line="254" w:lineRule="auto"/>
            </w:pPr>
            <w:r/>
            <w:r>
              <w:rPr>
                <w:rFonts w:ascii="游ゴシック" w:hAnsi="游ゴシック" w:eastAsia="游ゴシック"/>
                <w:b/>
                <w:sz w:val="18"/>
              </w:rPr>
              <w:t>通所介護</w:t>
            </w:r>
          </w:p>
        </w:tc>
        <w:tc>
          <w:tcPr>
            <w:tcW w:type="dxa" w:w="1814"/>
          </w:tcPr>
          <w:p>
            <w:pPr>
              <w:spacing w:after="20" w:line="254" w:lineRule="auto"/>
              <w:jc w:val="center"/>
            </w:pPr>
            <w:r/>
            <w:r>
              <w:rPr>
                <w:rFonts w:ascii="游ゴシック" w:hAnsi="游ゴシック" w:eastAsia="游ゴシック"/>
                <w:b w:val="0"/>
                <w:sz w:val="18"/>
              </w:rPr>
              <w:t>97.3</w:t>
            </w:r>
          </w:p>
        </w:tc>
        <w:tc>
          <w:tcPr>
            <w:tcW w:type="dxa" w:w="1587"/>
          </w:tcPr>
          <w:p>
            <w:pPr>
              <w:spacing w:after="20" w:line="254" w:lineRule="auto"/>
              <w:jc w:val="center"/>
            </w:pPr>
            <w:r/>
            <w:r>
              <w:rPr>
                <w:rFonts w:ascii="游ゴシック" w:hAnsi="游ゴシック" w:eastAsia="游ゴシック"/>
                <w:b w:val="0"/>
                <w:sz w:val="18"/>
              </w:rPr>
              <w:t>99.4</w:t>
            </w:r>
          </w:p>
        </w:tc>
        <w:tc>
          <w:tcPr>
            <w:tcW w:type="dxa" w:w="1587"/>
          </w:tcPr>
          <w:p>
            <w:pPr>
              <w:spacing w:after="20" w:line="254" w:lineRule="auto"/>
              <w:jc w:val="center"/>
            </w:pPr>
            <w:r/>
            <w:r>
              <w:rPr>
                <w:rFonts w:ascii="游ゴシック" w:hAnsi="游ゴシック" w:eastAsia="游ゴシック"/>
                <w:b w:val="0"/>
                <w:sz w:val="18"/>
              </w:rPr>
              <w:t>100.4</w:t>
            </w:r>
          </w:p>
        </w:tc>
        <w:tc>
          <w:tcPr>
            <w:tcW w:type="dxa" w:w="1587"/>
          </w:tcPr>
          <w:p>
            <w:pPr>
              <w:spacing w:after="20" w:line="254" w:lineRule="auto"/>
              <w:jc w:val="center"/>
            </w:pPr>
            <w:r/>
            <w:r>
              <w:rPr>
                <w:rFonts w:ascii="游ゴシック" w:hAnsi="游ゴシック" w:eastAsia="游ゴシック"/>
                <w:b w:val="0"/>
                <w:sz w:val="18"/>
              </w:rPr>
              <w:t>101.5</w:t>
            </w:r>
          </w:p>
        </w:tc>
      </w:tr>
    </w:tbl>
    <w:p>
      <w:pPr>
        <w:spacing w:before="40" w:after="80" w:line="259" w:lineRule="auto"/>
      </w:pPr>
      <w:r>
        <w:rPr>
          <w:rFonts w:ascii="游ゴシック" w:hAnsi="游ゴシック" w:eastAsia="游ゴシック"/>
          <w:b w:val="0"/>
          <w:sz w:val="16"/>
        </w:rPr>
        <w:t>資料：介護保険事業状況報告（令和7年度）及び本計画の推計。ほかのサービスの見込みは本編 第6章第2節に掲げています。</w:t>
      </w:r>
    </w:p>
    <w:p>
      <w:pPr>
        <w:keepNext/>
        <w:spacing w:before="160" w:after="60"/>
      </w:pPr>
      <w:r>
        <w:rPr>
          <w:rFonts w:ascii="游ゴシック" w:hAnsi="游ゴシック" w:eastAsia="游ゴシック"/>
          <w:b/>
          <w:color w:val="1F3864"/>
          <w:sz w:val="23"/>
        </w:rPr>
        <w:t>サービスにかかる費用の見込み</w:t>
      </w:r>
    </w:p>
    <w:p>
      <w:pPr>
        <w:spacing w:after="80" w:before="0" w:line="276" w:lineRule="auto"/>
      </w:pPr>
      <w:r>
        <w:rPr>
          <w:rFonts w:ascii="游ゴシック" w:hAnsi="游ゴシック" w:eastAsia="游ゴシック"/>
          <w:b w:val="0"/>
          <w:sz w:val="20"/>
        </w:rPr>
        <w:t>3年間にかかる介護サービスの費用（総給付費）は90.4億円と見込んでいます（令和9年度29.8億円・令和10年度30.1億円・令和11年度30.4億円）。令和7年度の29.2億円から4.4％増える見込みです。</w:t>
      </w:r>
    </w:p>
    <w:p>
      <w:pPr>
        <w:keepNext/>
        <w:spacing w:before="160" w:after="60"/>
      </w:pPr>
      <w:r>
        <w:rPr>
          <w:rFonts w:ascii="游ゴシック" w:hAnsi="游ゴシック" w:eastAsia="游ゴシック"/>
          <w:b/>
          <w:color w:val="1F3864"/>
          <w:sz w:val="23"/>
        </w:rPr>
        <w:t>介護保険料（試算）</w:t>
      </w:r>
    </w:p>
    <w:p>
      <w:pPr>
        <w:spacing w:after="80" w:before="0" w:line="276" w:lineRule="auto"/>
      </w:pPr>
      <w:r>
        <w:rPr>
          <w:rFonts w:ascii="游ゴシック" w:hAnsi="游ゴシック" w:eastAsia="游ゴシック"/>
          <w:b/>
          <w:sz w:val="20"/>
        </w:rPr>
        <w:t>65歳以上の方にご負担いただく保険料の基準額は、現時点の試算で月額6,400円程度と見込んでいます。第9期の6,400円と同じ水準です。</w:t>
      </w:r>
    </w:p>
    <w:p>
      <w:pPr>
        <w:spacing w:after="80" w:before="0" w:line="276" w:lineRule="auto"/>
      </w:pPr>
      <w:r>
        <w:rPr>
          <w:rFonts w:ascii="游ゴシック" w:hAnsi="游ゴシック" w:eastAsia="游ゴシック"/>
          <w:b w:val="0"/>
          <w:sz w:val="20"/>
        </w:rPr>
        <w:t>この試算は、令和7年度の実績をもとに、介護報酬の改定を見込まず、積立金（介護保険の積立金）を取り崩さないものとして計算したものです。次のことが決まると金額は変わります。</w:t>
      </w:r>
    </w:p>
    <w:p>
      <w:pPr>
        <w:pStyle w:val="ListBullet"/>
        <w:spacing w:after="40" w:line="269" w:lineRule="auto"/>
        <w:ind w:left="340"/>
      </w:pPr>
      <w:r>
        <w:rPr>
          <w:rFonts w:ascii="游ゴシック" w:hAnsi="游ゴシック" w:eastAsia="游ゴシック"/>
          <w:b w:val="0"/>
          <w:sz w:val="19"/>
        </w:rPr>
        <w:t>介護報酬が改定されると上がります（1％の改定で月額およそ61円）</w:t>
      </w:r>
    </w:p>
    <w:p>
      <w:pPr>
        <w:pStyle w:val="ListBullet"/>
        <w:spacing w:after="40" w:line="269" w:lineRule="auto"/>
        <w:ind w:left="340"/>
      </w:pPr>
      <w:r>
        <w:rPr>
          <w:rFonts w:ascii="游ゴシック" w:hAnsi="游ゴシック" w:eastAsia="游ゴシック"/>
          <w:b w:val="0"/>
          <w:sz w:val="19"/>
        </w:rPr>
        <w:t>お一人が1か月に使うサービスの費用がこれまでと同じ割合で伸びると、月額245円から327円上がります</w:t>
      </w:r>
    </w:p>
    <w:p>
      <w:pPr>
        <w:pStyle w:val="ListBullet"/>
        <w:spacing w:after="40" w:line="269" w:lineRule="auto"/>
        <w:ind w:left="340"/>
      </w:pPr>
      <w:r>
        <w:rPr>
          <w:rFonts w:ascii="游ゴシック" w:hAnsi="游ゴシック" w:eastAsia="游ゴシック"/>
          <w:b w:val="0"/>
          <w:sz w:val="19"/>
        </w:rPr>
        <w:t>積立金を取り崩すと下がります（1億円の取崩しで月額およそ310円）</w:t>
      </w:r>
    </w:p>
    <w:p>
      <w:pPr>
        <w:spacing w:before="40" w:after="80" w:line="259" w:lineRule="auto"/>
      </w:pPr>
      <w:r>
        <w:rPr>
          <w:rFonts w:ascii="游ゴシック" w:hAnsi="游ゴシック" w:eastAsia="游ゴシック"/>
          <w:b w:val="0"/>
          <w:sz w:val="16"/>
        </w:rPr>
        <w:t>保険料の基準額は、国が定める介護報酬の改定率、令和8年度末の積立金の残高及び政令の改正が確定したのちに、広域連合議会の議決を経て決まります。上の金額は確定したものではありません。</w:t>
      </w:r>
    </w:p>
    <w:tbl>
      <w:tblPr>
        <w:tblStyle w:val="TableGrid"/>
        <w:tblW w:type="auto" w:w="0"/>
        <w:jc w:val="center"/>
        <w:tblLook w:firstColumn="1" w:firstRow="1" w:lastColumn="0" w:lastRow="0" w:noHBand="0" w:noVBand="1" w:val="04A0"/>
      </w:tblPr>
      <w:tblGrid>
        <w:gridCol w:w="9978"/>
      </w:tblGrid>
      <w:tr>
        <w:trPr>
          <w:cantSplit/>
        </w:trPr>
        <w:tc>
          <w:tcPr>
            <w:tcW w:type="dxa" w:w="9978"/>
            <w:shd w:val="clear" w:color="auto" w:fill="FFF2CC"/>
          </w:tcPr>
          <w:p>
            <w:pPr>
              <w:spacing w:after="40"/>
            </w:pPr>
            <w:r/>
            <w:r>
              <w:rPr>
                <w:rFonts w:ascii="游ゴシック" w:hAnsi="游ゴシック" w:eastAsia="游ゴシック"/>
                <w:b/>
                <w:sz w:val="20"/>
              </w:rPr>
              <w:t>【ご意見をお寄せください】論点6　保険料の水準</w:t>
            </w:r>
          </w:p>
          <w:p>
            <w:pPr>
              <w:spacing w:after="0" w:line="264" w:lineRule="auto"/>
            </w:pPr>
            <w:r>
              <w:rPr>
                <w:rFonts w:ascii="游ゴシック" w:hAnsi="游ゴシック" w:eastAsia="游ゴシック"/>
                <w:b w:val="0"/>
                <w:sz w:val="19"/>
              </w:rPr>
              <w:t>基金の取崩しの規模</w:t>
            </w:r>
          </w:p>
        </w:tc>
      </w:tr>
    </w:tbl>
    <w:p>
      <w:pPr>
        <w:spacing w:before="120" w:after="0"/>
        <w:jc w:val="right"/>
      </w:pPr>
      <w:r>
        <w:rPr>
          <w:rFonts w:ascii="游ゴシック" w:hAnsi="游ゴシック" w:eastAsia="游ゴシック"/>
          <w:b w:val="0"/>
          <w:sz w:val="17"/>
        </w:rPr>
        <w:t>詳しくは本編をご覧ください（第6章　86頁から114頁）</w:t>
      </w:r>
    </w:p>
    <w:p>
      <w:r>
        <w:br w:type="page"/>
      </w:r>
    </w:p>
    <w:p>
      <w:pPr>
        <w:pStyle w:val="Heading1"/>
        <w:pBdr>
          <w:top w:val="single" w:sz="18" w:space="4" w:color="1F3864"/>
          <w:bottom w:val="single" w:sz="18" w:space="4" w:color="1F3864"/>
        </w:pBdr>
        <w:shd w:val="clear" w:color="auto" w:fill="F2F5FA"/>
        <w:spacing w:before="40" w:after="160"/>
      </w:pPr>
      <w:bookmarkStart w:id="2007" w:name="_Gai_007"/>
      <w:r>
        <w:rPr>
          <w:rFonts w:ascii="游ゴシック" w:hAnsi="游ゴシック" w:eastAsia="游ゴシック"/>
          <w:b/>
          <w:color w:val="1F3864"/>
          <w:sz w:val="29"/>
        </w:rPr>
        <w:t>ご意見をお寄せください</w:t>
      </w:r>
      <w:bookmarkEnd w:id="2007"/>
    </w:p>
    <w:p>
      <w:pPr>
        <w:spacing w:after="80" w:before="0" w:line="276" w:lineRule="auto"/>
      </w:pPr>
      <w:r>
        <w:rPr>
          <w:rFonts w:ascii="游ゴシック" w:hAnsi="游ゴシック" w:eastAsia="游ゴシック"/>
          <w:b w:val="0"/>
          <w:sz w:val="20"/>
        </w:rPr>
        <w:t>この計画（素案）について、住民の皆様のご意見を募集します。いただいたご意見は、計画をまとめる際の参考とし、ご意見の概要と広域連合の考え方を後日公表します。</w:t>
      </w:r>
    </w:p>
    <w:tbl>
      <w:tblPr>
        <w:tblStyle w:val="TableGrid"/>
        <w:tblW w:type="auto" w:w="0"/>
        <w:jc w:val="center"/>
        <w:tblLook w:firstColumn="1" w:firstRow="1" w:lastColumn="0" w:lastRow="0" w:noHBand="0" w:noVBand="1" w:val="04A0"/>
      </w:tblPr>
      <w:tblGrid>
        <w:gridCol w:w="4989"/>
        <w:gridCol w:w="4989"/>
      </w:tblGrid>
      <w:tr>
        <w:trPr>
          <w:cantSplit/>
          <w:tblHeader/>
        </w:trPr>
        <w:tc>
          <w:tcPr>
            <w:tcW w:type="dxa" w:w="1928"/>
            <w:shd w:val="clear" w:color="auto" w:fill="DCE6F1"/>
          </w:tcPr>
          <w:p>
            <w:pPr>
              <w:spacing w:after="20"/>
              <w:jc w:val="center"/>
            </w:pPr>
            <w:r/>
            <w:r>
              <w:rPr>
                <w:rFonts w:ascii="游ゴシック" w:hAnsi="游ゴシック" w:eastAsia="游ゴシック"/>
                <w:b/>
                <w:sz w:val="19"/>
              </w:rPr>
              <w:t>項目</w:t>
            </w:r>
          </w:p>
        </w:tc>
        <w:tc>
          <w:tcPr>
            <w:tcW w:type="dxa" w:w="7370"/>
            <w:shd w:val="clear" w:color="auto" w:fill="DCE6F1"/>
          </w:tcPr>
          <w:p>
            <w:pPr>
              <w:spacing w:after="20"/>
              <w:jc w:val="center"/>
            </w:pPr>
            <w:r/>
            <w:r>
              <w:rPr>
                <w:rFonts w:ascii="游ゴシック" w:hAnsi="游ゴシック" w:eastAsia="游ゴシック"/>
                <w:b/>
                <w:sz w:val="19"/>
              </w:rPr>
              <w:t>内容</w:t>
            </w:r>
          </w:p>
        </w:tc>
      </w:tr>
      <w:tr>
        <w:trPr>
          <w:cantSplit/>
        </w:trPr>
        <w:tc>
          <w:tcPr>
            <w:tcW w:type="dxa" w:w="1928"/>
          </w:tcPr>
          <w:p>
            <w:pPr>
              <w:spacing w:after="20" w:line="254" w:lineRule="auto"/>
            </w:pPr>
            <w:r/>
            <w:r>
              <w:rPr>
                <w:rFonts w:ascii="游ゴシック" w:hAnsi="游ゴシック" w:eastAsia="游ゴシック"/>
                <w:b/>
                <w:sz w:val="19"/>
              </w:rPr>
              <w:t>募集の期間</w:t>
            </w:r>
          </w:p>
        </w:tc>
        <w:tc>
          <w:tcPr>
            <w:tcW w:type="dxa" w:w="7370"/>
          </w:tcPr>
          <w:p>
            <w:pPr>
              <w:spacing w:after="20" w:line="254" w:lineRule="auto"/>
            </w:pPr>
            <w:r/>
            <w:r>
              <w:rPr>
                <w:rFonts w:ascii="游ゴシック" w:hAnsi="游ゴシック" w:eastAsia="游ゴシック"/>
                <w:b w:val="0"/>
                <w:sz w:val="19"/>
              </w:rPr>
              <w:t>令和9年1月〔　〕日から〔　〕日まで（2週間）</w:t>
            </w:r>
          </w:p>
        </w:tc>
      </w:tr>
      <w:tr>
        <w:trPr>
          <w:cantSplit/>
        </w:trPr>
        <w:tc>
          <w:tcPr>
            <w:tcW w:type="dxa" w:w="1928"/>
          </w:tcPr>
          <w:p>
            <w:pPr>
              <w:spacing w:after="20" w:line="254" w:lineRule="auto"/>
            </w:pPr>
            <w:r/>
            <w:r>
              <w:rPr>
                <w:rFonts w:ascii="游ゴシック" w:hAnsi="游ゴシック" w:eastAsia="游ゴシック"/>
                <w:b/>
                <w:sz w:val="19"/>
              </w:rPr>
              <w:t>資料の閲覧</w:t>
            </w:r>
          </w:p>
        </w:tc>
        <w:tc>
          <w:tcPr>
            <w:tcW w:type="dxa" w:w="7370"/>
          </w:tcPr>
          <w:p>
            <w:pPr>
              <w:spacing w:after="20" w:line="254" w:lineRule="auto"/>
            </w:pPr>
            <w:r/>
            <w:r>
              <w:rPr>
                <w:rFonts w:ascii="游ゴシック" w:hAnsi="游ゴシック" w:eastAsia="游ゴシック"/>
                <w:b w:val="0"/>
                <w:sz w:val="19"/>
              </w:rPr>
              <w:t>大雪地区広域連合のホームページ、広域連合事務局及び構成3町の担当窓口</w:t>
            </w:r>
          </w:p>
        </w:tc>
      </w:tr>
      <w:tr>
        <w:trPr>
          <w:cantSplit/>
        </w:trPr>
        <w:tc>
          <w:tcPr>
            <w:tcW w:type="dxa" w:w="1928"/>
          </w:tcPr>
          <w:p>
            <w:pPr>
              <w:spacing w:after="20" w:line="254" w:lineRule="auto"/>
            </w:pPr>
            <w:r/>
            <w:r>
              <w:rPr>
                <w:rFonts w:ascii="游ゴシック" w:hAnsi="游ゴシック" w:eastAsia="游ゴシック"/>
                <w:b/>
                <w:sz w:val="19"/>
              </w:rPr>
              <w:t>提出の方法</w:t>
            </w:r>
          </w:p>
        </w:tc>
        <w:tc>
          <w:tcPr>
            <w:tcW w:type="dxa" w:w="7370"/>
          </w:tcPr>
          <w:p>
            <w:pPr>
              <w:spacing w:after="20" w:line="254" w:lineRule="auto"/>
            </w:pPr>
            <w:r/>
            <w:r>
              <w:rPr>
                <w:rFonts w:ascii="游ゴシック" w:hAnsi="游ゴシック" w:eastAsia="游ゴシック"/>
                <w:b w:val="0"/>
                <w:sz w:val="19"/>
              </w:rPr>
              <w:t>ホームページの入力欄、電子メール、郵送又は持参</w:t>
            </w:r>
          </w:p>
        </w:tc>
      </w:tr>
      <w:tr>
        <w:trPr>
          <w:cantSplit/>
        </w:trPr>
        <w:tc>
          <w:tcPr>
            <w:tcW w:type="dxa" w:w="1928"/>
          </w:tcPr>
          <w:p>
            <w:pPr>
              <w:spacing w:after="20" w:line="254" w:lineRule="auto"/>
            </w:pPr>
            <w:r/>
            <w:r>
              <w:rPr>
                <w:rFonts w:ascii="游ゴシック" w:hAnsi="游ゴシック" w:eastAsia="游ゴシック"/>
                <w:b/>
                <w:sz w:val="19"/>
              </w:rPr>
              <w:t>提出先</w:t>
            </w:r>
          </w:p>
        </w:tc>
        <w:tc>
          <w:tcPr>
            <w:tcW w:type="dxa" w:w="7370"/>
          </w:tcPr>
          <w:p>
            <w:pPr>
              <w:spacing w:after="20" w:line="254" w:lineRule="auto"/>
            </w:pPr>
            <w:r/>
            <w:r>
              <w:rPr>
                <w:rFonts w:ascii="游ゴシック" w:hAnsi="游ゴシック" w:eastAsia="游ゴシック"/>
                <w:b w:val="0"/>
                <w:sz w:val="19"/>
              </w:rPr>
              <w:t>〔　　　　　　　　　　　　　　　　　　　　　〕</w:t>
            </w:r>
          </w:p>
        </w:tc>
      </w:tr>
      <w:tr>
        <w:trPr>
          <w:cantSplit/>
        </w:trPr>
        <w:tc>
          <w:tcPr>
            <w:tcW w:type="dxa" w:w="1928"/>
          </w:tcPr>
          <w:p>
            <w:pPr>
              <w:spacing w:after="20" w:line="254" w:lineRule="auto"/>
            </w:pPr>
            <w:r/>
            <w:r>
              <w:rPr>
                <w:rFonts w:ascii="游ゴシック" w:hAnsi="游ゴシック" w:eastAsia="游ゴシック"/>
                <w:b/>
                <w:sz w:val="19"/>
              </w:rPr>
              <w:t>お問合せ</w:t>
            </w:r>
          </w:p>
        </w:tc>
        <w:tc>
          <w:tcPr>
            <w:tcW w:type="dxa" w:w="7370"/>
          </w:tcPr>
          <w:p>
            <w:pPr>
              <w:spacing w:after="20" w:line="254" w:lineRule="auto"/>
            </w:pPr>
            <w:r/>
            <w:r>
              <w:rPr>
                <w:rFonts w:ascii="游ゴシック" w:hAnsi="游ゴシック" w:eastAsia="游ゴシック"/>
                <w:b w:val="0"/>
                <w:sz w:val="19"/>
              </w:rPr>
              <w:t>大雪地区広域連合〔　　　　　　　　　　　　　〕</w:t>
            </w:r>
          </w:p>
        </w:tc>
      </w:tr>
    </w:tbl>
    <w:p>
      <w:pPr>
        <w:spacing w:before="40" w:after="80" w:line="259" w:lineRule="auto"/>
      </w:pPr>
      <w:r>
        <w:rPr>
          <w:rFonts w:ascii="游ゴシック" w:hAnsi="游ゴシック" w:eastAsia="游ゴシック"/>
          <w:b w:val="0"/>
          <w:sz w:val="16"/>
        </w:rPr>
        <w:t>〔　〕は決定後に記入します。期間・提出先・問合せ先は、パブリックコメントの実施要領により定まります。</w:t>
      </w:r>
    </w:p>
    <w:p>
      <w:pPr>
        <w:keepNext/>
        <w:spacing w:before="160" w:after="60"/>
      </w:pPr>
      <w:r>
        <w:rPr>
          <w:rFonts w:ascii="游ゴシック" w:hAnsi="游ゴシック" w:eastAsia="游ゴシック"/>
          <w:b/>
          <w:color w:val="1F3864"/>
          <w:sz w:val="23"/>
        </w:rPr>
        <w:t>計画を定めた後の進め方</w:t>
      </w:r>
    </w:p>
    <w:p>
      <w:pPr>
        <w:spacing w:after="80" w:before="0" w:line="276" w:lineRule="auto"/>
      </w:pPr>
      <w:r>
        <w:rPr>
          <w:rFonts w:ascii="游ゴシック" w:hAnsi="游ゴシック" w:eastAsia="游ゴシック"/>
          <w:b w:val="0"/>
          <w:sz w:val="20"/>
        </w:rPr>
        <w:t>計画は、定めて終わるものではありません。毎年度、指標の値を算定して達成状況を点検し、結果を会議にお示しして公表します。必要があれば、計画期間の途中でも見直します。</w:t>
      </w:r>
    </w:p>
    <w:p>
      <w:pPr>
        <w:keepNext/>
        <w:spacing w:before="160" w:after="60"/>
      </w:pPr>
      <w:r>
        <w:rPr>
          <w:rFonts w:ascii="游ゴシック" w:hAnsi="游ゴシック" w:eastAsia="游ゴシック"/>
          <w:b/>
          <w:color w:val="1F3864"/>
          <w:sz w:val="23"/>
        </w:rPr>
        <w:t>用語の説明</w:t>
      </w:r>
    </w:p>
    <w:tbl>
      <w:tblPr>
        <w:tblStyle w:val="TableGrid"/>
        <w:tblW w:type="auto" w:w="0"/>
        <w:jc w:val="center"/>
        <w:tblLook w:firstColumn="1" w:firstRow="1" w:lastColumn="0" w:lastRow="0" w:noHBand="0" w:noVBand="1" w:val="04A0"/>
      </w:tblPr>
      <w:tblGrid>
        <w:gridCol w:w="4989"/>
        <w:gridCol w:w="4989"/>
      </w:tblGrid>
      <w:tr>
        <w:trPr>
          <w:cantSplit/>
          <w:tblHeader/>
        </w:trPr>
        <w:tc>
          <w:tcPr>
            <w:tcW w:type="dxa" w:w="2381"/>
            <w:shd w:val="clear" w:color="auto" w:fill="DCE6F1"/>
          </w:tcPr>
          <w:p>
            <w:pPr>
              <w:spacing w:after="20"/>
              <w:jc w:val="center"/>
            </w:pPr>
            <w:r/>
            <w:r>
              <w:rPr>
                <w:rFonts w:ascii="游ゴシック" w:hAnsi="游ゴシック" w:eastAsia="游ゴシック"/>
                <w:b/>
                <w:sz w:val="18"/>
              </w:rPr>
              <w:t>用語</w:t>
            </w:r>
          </w:p>
        </w:tc>
        <w:tc>
          <w:tcPr>
            <w:tcW w:type="dxa" w:w="6917"/>
            <w:shd w:val="clear" w:color="auto" w:fill="DCE6F1"/>
          </w:tcPr>
          <w:p>
            <w:pPr>
              <w:spacing w:after="20"/>
              <w:jc w:val="center"/>
            </w:pPr>
            <w:r/>
            <w:r>
              <w:rPr>
                <w:rFonts w:ascii="游ゴシック" w:hAnsi="游ゴシック" w:eastAsia="游ゴシック"/>
                <w:b/>
                <w:sz w:val="18"/>
              </w:rPr>
              <w:t>意味</w:t>
            </w:r>
          </w:p>
        </w:tc>
      </w:tr>
      <w:tr>
        <w:trPr>
          <w:cantSplit/>
        </w:trPr>
        <w:tc>
          <w:tcPr>
            <w:tcW w:type="dxa" w:w="2381"/>
          </w:tcPr>
          <w:p>
            <w:pPr>
              <w:spacing w:after="20" w:line="254" w:lineRule="auto"/>
            </w:pPr>
            <w:r/>
            <w:r>
              <w:rPr>
                <w:rFonts w:ascii="游ゴシック" w:hAnsi="游ゴシック" w:eastAsia="游ゴシック"/>
                <w:b/>
                <w:sz w:val="18"/>
              </w:rPr>
              <w:t>要介護認定</w:t>
            </w:r>
          </w:p>
        </w:tc>
        <w:tc>
          <w:tcPr>
            <w:tcW w:type="dxa" w:w="6917"/>
          </w:tcPr>
          <w:p>
            <w:pPr>
              <w:spacing w:after="20" w:line="254" w:lineRule="auto"/>
            </w:pPr>
            <w:r/>
            <w:r>
              <w:rPr>
                <w:rFonts w:ascii="游ゴシック" w:hAnsi="游ゴシック" w:eastAsia="游ゴシック"/>
                <w:b w:val="0"/>
                <w:sz w:val="18"/>
              </w:rPr>
              <w:t>介護サービスを利用しようとする方について、どの程度の介護を必要とする状態かを判定する手続です。認定調査と主治医意見書をもとに介護認定審査会が審査判定し、要支援1・2、要介護1から5までの7段階又は非該当に区分されます。</w:t>
            </w:r>
          </w:p>
        </w:tc>
      </w:tr>
      <w:tr>
        <w:trPr>
          <w:cantSplit/>
        </w:trPr>
        <w:tc>
          <w:tcPr>
            <w:tcW w:type="dxa" w:w="2381"/>
          </w:tcPr>
          <w:p>
            <w:pPr>
              <w:spacing w:after="20" w:line="254" w:lineRule="auto"/>
            </w:pPr>
            <w:r/>
            <w:r>
              <w:rPr>
                <w:rFonts w:ascii="游ゴシック" w:hAnsi="游ゴシック" w:eastAsia="游ゴシック"/>
                <w:b/>
                <w:sz w:val="18"/>
              </w:rPr>
              <w:t>日常生活圏域</w:t>
            </w:r>
          </w:p>
        </w:tc>
        <w:tc>
          <w:tcPr>
            <w:tcW w:type="dxa" w:w="6917"/>
          </w:tcPr>
          <w:p>
            <w:pPr>
              <w:spacing w:after="20" w:line="254" w:lineRule="auto"/>
            </w:pPr>
            <w:r/>
            <w:r>
              <w:rPr>
                <w:rFonts w:ascii="游ゴシック" w:hAnsi="游ゴシック" w:eastAsia="游ゴシック"/>
                <w:b w:val="0"/>
                <w:sz w:val="18"/>
              </w:rPr>
              <w:t>住民が日常生活を営んでいる地域として、地理的条件、人口、交通事情その他の社会的条件、介護給付等対象サービスを提供するための施設の整備の状況その他の条件を総合的に勘案して定める区域です。</w:t>
            </w:r>
          </w:p>
        </w:tc>
      </w:tr>
      <w:tr>
        <w:trPr>
          <w:cantSplit/>
        </w:trPr>
        <w:tc>
          <w:tcPr>
            <w:tcW w:type="dxa" w:w="2381"/>
          </w:tcPr>
          <w:p>
            <w:pPr>
              <w:spacing w:after="20" w:line="254" w:lineRule="auto"/>
            </w:pPr>
            <w:r/>
            <w:r>
              <w:rPr>
                <w:rFonts w:ascii="游ゴシック" w:hAnsi="游ゴシック" w:eastAsia="游ゴシック"/>
                <w:b/>
                <w:sz w:val="18"/>
              </w:rPr>
              <w:t>地域包括ケアシステム</w:t>
            </w:r>
          </w:p>
        </w:tc>
        <w:tc>
          <w:tcPr>
            <w:tcW w:type="dxa" w:w="6917"/>
          </w:tcPr>
          <w:p>
            <w:pPr>
              <w:spacing w:after="20" w:line="254" w:lineRule="auto"/>
            </w:pPr>
            <w:r/>
            <w:r>
              <w:rPr>
                <w:rFonts w:ascii="游ゴシック" w:hAnsi="游ゴシック" w:eastAsia="游ゴシック"/>
                <w:b w:val="0"/>
                <w:sz w:val="18"/>
              </w:rPr>
              <w:t>重度な要介護状態となっても住み慣れた地域で自分らしい暮らしを人生の最後まで続けることができるよう、医療・介護・予防・住まい・生活支援が包括的に確保される体制をいいます。</w:t>
            </w:r>
          </w:p>
        </w:tc>
      </w:tr>
      <w:tr>
        <w:trPr>
          <w:cantSplit/>
        </w:trPr>
        <w:tc>
          <w:tcPr>
            <w:tcW w:type="dxa" w:w="2381"/>
          </w:tcPr>
          <w:p>
            <w:pPr>
              <w:spacing w:after="20" w:line="254" w:lineRule="auto"/>
            </w:pPr>
            <w:r/>
            <w:r>
              <w:rPr>
                <w:rFonts w:ascii="游ゴシック" w:hAnsi="游ゴシック" w:eastAsia="游ゴシック"/>
                <w:b/>
                <w:sz w:val="18"/>
              </w:rPr>
              <w:t>介護予防・日常生活支援総合事業</w:t>
            </w:r>
          </w:p>
        </w:tc>
        <w:tc>
          <w:tcPr>
            <w:tcW w:type="dxa" w:w="6917"/>
          </w:tcPr>
          <w:p>
            <w:pPr>
              <w:spacing w:after="20" w:line="254" w:lineRule="auto"/>
            </w:pPr>
            <w:r/>
            <w:r>
              <w:rPr>
                <w:rFonts w:ascii="游ゴシック" w:hAnsi="游ゴシック" w:eastAsia="游ゴシック"/>
                <w:b w:val="0"/>
                <w:sz w:val="18"/>
              </w:rPr>
              <w:t>要支援の方及び基本チェックリストにより事業対象者となった方に対する訪問型サービス・通所型サービス等と、65歳以上の方全体を対象とする一般介護予防事業から成る事業です。総合事業ともいいます。</w:t>
            </w:r>
          </w:p>
        </w:tc>
      </w:tr>
      <w:tr>
        <w:trPr>
          <w:cantSplit/>
        </w:trPr>
        <w:tc>
          <w:tcPr>
            <w:tcW w:type="dxa" w:w="2381"/>
          </w:tcPr>
          <w:p>
            <w:pPr>
              <w:spacing w:after="20" w:line="254" w:lineRule="auto"/>
            </w:pPr>
            <w:r/>
            <w:r>
              <w:rPr>
                <w:rFonts w:ascii="游ゴシック" w:hAnsi="游ゴシック" w:eastAsia="游ゴシック"/>
                <w:b/>
                <w:sz w:val="18"/>
              </w:rPr>
              <w:t>地域包括支援センター</w:t>
            </w:r>
          </w:p>
        </w:tc>
        <w:tc>
          <w:tcPr>
            <w:tcW w:type="dxa" w:w="6917"/>
          </w:tcPr>
          <w:p>
            <w:pPr>
              <w:spacing w:after="20" w:line="254" w:lineRule="auto"/>
            </w:pPr>
            <w:r/>
            <w:r>
              <w:rPr>
                <w:rFonts w:ascii="游ゴシック" w:hAnsi="游ゴシック" w:eastAsia="游ゴシック"/>
                <w:b w:val="0"/>
                <w:sz w:val="18"/>
              </w:rPr>
              <w:t>保健師、社会福祉士、主任介護支援専門員等が配置され、高齢者の総合相談、権利擁護、包括的・継続的ケアマネジメント支援、介護予防ケアマネジメントを行う機関です。</w:t>
            </w:r>
          </w:p>
        </w:tc>
      </w:tr>
      <w:tr>
        <w:trPr>
          <w:cantSplit/>
        </w:trPr>
        <w:tc>
          <w:tcPr>
            <w:tcW w:type="dxa" w:w="2381"/>
          </w:tcPr>
          <w:p>
            <w:pPr>
              <w:spacing w:after="20" w:line="254" w:lineRule="auto"/>
            </w:pPr>
            <w:r/>
            <w:r>
              <w:rPr>
                <w:rFonts w:ascii="游ゴシック" w:hAnsi="游ゴシック" w:eastAsia="游ゴシック"/>
                <w:b/>
                <w:sz w:val="18"/>
              </w:rPr>
              <w:t>保険料基準額</w:t>
            </w:r>
          </w:p>
        </w:tc>
        <w:tc>
          <w:tcPr>
            <w:tcW w:type="dxa" w:w="6917"/>
          </w:tcPr>
          <w:p>
            <w:pPr>
              <w:spacing w:after="20" w:line="254" w:lineRule="auto"/>
            </w:pPr>
            <w:r/>
            <w:r>
              <w:rPr>
                <w:rFonts w:ascii="游ゴシック" w:hAnsi="游ゴシック" w:eastAsia="游ゴシック"/>
                <w:b w:val="0"/>
                <w:sz w:val="18"/>
              </w:rPr>
              <w:t>65歳以上の方の保険料を定める際の基準となる額です。所得の段階に応じてこの額に一定の割合を乗じた額が各人の保険料となります。</w:t>
            </w:r>
          </w:p>
        </w:tc>
      </w:tr>
      <w:tr>
        <w:trPr>
          <w:cantSplit/>
        </w:trPr>
        <w:tc>
          <w:tcPr>
            <w:tcW w:type="dxa" w:w="2381"/>
          </w:tcPr>
          <w:p>
            <w:pPr>
              <w:spacing w:after="20" w:line="254" w:lineRule="auto"/>
            </w:pPr>
            <w:r/>
            <w:r>
              <w:rPr>
                <w:rFonts w:ascii="游ゴシック" w:hAnsi="游ゴシック" w:eastAsia="游ゴシック"/>
                <w:b/>
                <w:sz w:val="18"/>
              </w:rPr>
              <w:t>介護給付費準備基金</w:t>
            </w:r>
          </w:p>
        </w:tc>
        <w:tc>
          <w:tcPr>
            <w:tcW w:type="dxa" w:w="6917"/>
          </w:tcPr>
          <w:p>
            <w:pPr>
              <w:spacing w:after="20" w:line="254" w:lineRule="auto"/>
            </w:pPr>
            <w:r/>
            <w:r>
              <w:rPr>
                <w:rFonts w:ascii="游ゴシック" w:hAnsi="游ゴシック" w:eastAsia="游ゴシック"/>
                <w:b w:val="0"/>
                <w:sz w:val="18"/>
              </w:rPr>
              <w:t>計画期間中に生じた保険料の剰余を積み立て、不足が生じた場合等に取り崩すための基金です。</w:t>
            </w:r>
          </w:p>
        </w:tc>
      </w:tr>
      <w:tr>
        <w:trPr>
          <w:cantSplit/>
        </w:trPr>
        <w:tc>
          <w:tcPr>
            <w:tcW w:type="dxa" w:w="2381"/>
          </w:tcPr>
          <w:p>
            <w:pPr>
              <w:spacing w:after="20" w:line="254" w:lineRule="auto"/>
            </w:pPr>
            <w:r/>
            <w:r>
              <w:rPr>
                <w:rFonts w:ascii="游ゴシック" w:hAnsi="游ゴシック" w:eastAsia="游ゴシック"/>
                <w:b/>
                <w:sz w:val="18"/>
              </w:rPr>
              <w:t>保険者機能強化推進交付金・介護保険保険者努力支援交付金</w:t>
            </w:r>
          </w:p>
        </w:tc>
        <w:tc>
          <w:tcPr>
            <w:tcW w:type="dxa" w:w="6917"/>
          </w:tcPr>
          <w:p>
            <w:pPr>
              <w:spacing w:after="20" w:line="254" w:lineRule="auto"/>
            </w:pPr>
            <w:r/>
            <w:r>
              <w:rPr>
                <w:rFonts w:ascii="游ゴシック" w:hAnsi="游ゴシック" w:eastAsia="游ゴシック"/>
                <w:b w:val="0"/>
                <w:sz w:val="18"/>
              </w:rPr>
              <w:t>自立支援・重度化防止等に向けた市町村及び都道府県の取組を評価指標により採点し、その結果に応じて交付される交付金です。</w:t>
            </w:r>
          </w:p>
        </w:tc>
      </w:tr>
    </w:tbl>
    <w:p>
      <w:pPr>
        <w:spacing w:before="40" w:after="80" w:line="259" w:lineRule="auto"/>
      </w:pPr>
      <w:r>
        <w:rPr>
          <w:rFonts w:ascii="游ゴシック" w:hAnsi="游ゴシック" w:eastAsia="游ゴシック"/>
          <w:b w:val="0"/>
          <w:sz w:val="16"/>
        </w:rPr>
        <w:t>このほかの用語は本編の巻末に掲げています。</w:t>
      </w:r>
    </w:p>
    <w:sectPr w:rsidR="00FC693F" w:rsidRPr="0006063C" w:rsidSect="00034616">
      <w:footerReference w:type="default" r:id="rId10"/>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t xml:space="preserve">－ </w:t>
    </w:r>
    <w:r>
      <w:rPr>
        <w:rFonts w:ascii="游ゴシック" w:hAnsi="游ゴシック" w:eastAsia="游ゴシック"/>
        <w:b w:val="0"/>
        <w:sz w:val="18"/>
      </w:rPr>
      <w:fldChar w:fldCharType="begin"/>
      <w:instrText xml:space="preserve"> PAGE </w:instrText>
      <w:fldChar w:fldCharType="end"/>
    </w:r>
    <w:r>
      <w:rPr>
        <w:rFonts w:ascii="游ゴシック" w:hAnsi="游ゴシック" w:eastAsia="游ゴシック"/>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