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第2版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keepNext/>
        <w:spacing w:before="240" w:after="100"/>
      </w:pPr>
      <w:bookmarkStart w:id="101" w:name="_Toc_001"/>
      <w:r>
        <w:rPr>
          <w:rFonts w:ascii="游ゴシック" w:hAnsi="游ゴシック" w:eastAsia="游ゴシック"/>
          <w:b/>
          <w:i w:val="0"/>
          <w:color w:val="2E74B5"/>
          <w:sz w:val="30"/>
        </w:rPr>
        <w:t>第1部　総論</w:t>
      </w:r>
      <w:bookmarkEnd w:id="101"/>
    </w:p>
    <w:p>
      <w:pPr>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spacing w:before="20" w:after="20"/>
            </w:pPr>
            <w:r>
              <w:rPr>
                <w:rFonts w:ascii="游ゴシック" w:hAnsi="游ゴシック" w:eastAsia="游ゴシック"/>
                <w:b w:val="0"/>
                <w:i w:val="0"/>
                <w:sz w:val="17"/>
              </w:rPr>
              <w:t>5　策定体制</w:t>
            </w:r>
          </w:p>
        </w:tc>
        <w:tc>
          <w:tcPr>
            <w:tcW w:type="dxa" w:w="7361"/>
            <w:vAlign w:val="center"/>
          </w:tcPr>
          <w:p>
            <w:pPr>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82"/>
        <w:gridCol w:w="1803"/>
        <w:gridCol w:w="4766"/>
      </w:tblGrid>
      <w:tr>
        <w:tc>
          <w:tcPr>
            <w:tcW w:type="dxa" w:w="3182"/>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766"/>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3182"/>
            <w:vAlign w:val="center"/>
          </w:tcPr>
          <w:p>
            <w:pPr>
              <w:spacing w:before="20" w:after="20"/>
            </w:pPr>
            <w:r>
              <w:rPr>
                <w:rFonts w:ascii="游ゴシック" w:hAnsi="游ゴシック" w:eastAsia="游ゴシック"/>
                <w:b w:val="0"/>
                <w:i w:val="0"/>
                <w:sz w:val="17"/>
              </w:rPr>
              <w:t>小野町第3期地域福祉計画（令和8〜12年度）</w:t>
            </w:r>
          </w:p>
        </w:tc>
        <w:tc>
          <w:tcPr>
            <w:tcW w:type="dxa" w:w="1803"/>
            <w:vAlign w:val="center"/>
          </w:tcPr>
          <w:p>
            <w:pPr>
              <w:spacing w:before="20" w:after="20"/>
            </w:pPr>
            <w:r>
              <w:rPr>
                <w:rFonts w:ascii="游ゴシック" w:hAnsi="游ゴシック" w:eastAsia="游ゴシック"/>
                <w:b w:val="0"/>
                <w:i w:val="0"/>
                <w:sz w:val="17"/>
              </w:rPr>
              <w:t>上位計画</w:t>
            </w:r>
          </w:p>
        </w:tc>
        <w:tc>
          <w:tcPr>
            <w:tcW w:type="dxa" w:w="4766"/>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3182"/>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803"/>
            <w:vAlign w:val="center"/>
          </w:tcPr>
          <w:p>
            <w:pPr>
              <w:spacing w:before="20" w:after="20"/>
            </w:pPr>
            <w:r>
              <w:rPr>
                <w:rFonts w:ascii="游ゴシック" w:hAnsi="游ゴシック" w:eastAsia="游ゴシック"/>
                <w:b w:val="0"/>
                <w:i w:val="0"/>
                <w:sz w:val="17"/>
              </w:rPr>
              <w:t>関連計画（同時策定）</w:t>
            </w:r>
          </w:p>
        </w:tc>
        <w:tc>
          <w:tcPr>
            <w:tcW w:type="dxa" w:w="4766"/>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3182"/>
            <w:vAlign w:val="center"/>
          </w:tcPr>
          <w:p>
            <w:pPr>
              <w:spacing w:before="20" w:after="20"/>
            </w:pPr>
            <w:r>
              <w:rPr>
                <w:rFonts w:ascii="游ゴシック" w:hAnsi="游ゴシック" w:eastAsia="游ゴシック"/>
                <w:b w:val="0"/>
                <w:i w:val="0"/>
                <w:sz w:val="17"/>
              </w:rPr>
              <w:t>小野町こども計画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3182"/>
            <w:vAlign w:val="center"/>
          </w:tcPr>
          <w:p>
            <w:pPr>
              <w:spacing w:before="20" w:after="20"/>
            </w:pPr>
            <w:r>
              <w:rPr>
                <w:rFonts w:ascii="游ゴシック" w:hAnsi="游ゴシック" w:eastAsia="游ゴシック"/>
                <w:b w:val="0"/>
                <w:i w:val="0"/>
                <w:sz w:val="17"/>
              </w:rPr>
              <w:t>小野町総合計画・地域公共交通計画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移動支援、外出支援、公共交通との連携</w:t>
            </w:r>
          </w:p>
        </w:tc>
      </w:tr>
      <w:tr>
        <w:tc>
          <w:tcPr>
            <w:tcW w:type="dxa" w:w="3182"/>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803"/>
            <w:vAlign w:val="center"/>
          </w:tcPr>
          <w:p>
            <w:pPr>
              <w:spacing w:before="20" w:after="20"/>
            </w:pPr>
            <w:r>
              <w:rPr>
                <w:rFonts w:ascii="游ゴシック" w:hAnsi="游ゴシック" w:eastAsia="游ゴシック"/>
                <w:b w:val="0"/>
                <w:i w:val="0"/>
                <w:sz w:val="17"/>
              </w:rPr>
              <w:t>県計画</w:t>
            </w:r>
          </w:p>
        </w:tc>
        <w:tc>
          <w:tcPr>
            <w:tcW w:type="dxa" w:w="4766"/>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bl>
    <w:p>
      <w:pPr>
        <w:spacing w:after="40"/>
      </w:pPr>
    </w:p>
    <w:p>
      <w:pPr>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8　アンケート調査の結果</w:t>
            </w:r>
          </w:p>
        </w:tc>
        <w:tc>
          <w:tcPr>
            <w:tcW w:type="dxa" w:w="3945"/>
            <w:vAlign w:val="center"/>
          </w:tcPr>
          <w:p>
            <w:pPr>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spacing w:before="20" w:after="20"/>
            </w:pPr>
            <w:r>
              <w:rPr>
                <w:rFonts w:ascii="游ゴシック" w:hAnsi="游ゴシック" w:eastAsia="游ゴシック"/>
                <w:b w:val="0"/>
                <w:i w:val="0"/>
                <w:sz w:val="17"/>
              </w:rPr>
              <w:t>3　分野別施策の取組状況</w:t>
            </w:r>
          </w:p>
        </w:tc>
        <w:tc>
          <w:tcPr>
            <w:tcW w:type="dxa" w:w="5653"/>
            <w:vAlign w:val="center"/>
          </w:tcPr>
          <w:p>
            <w:pPr>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spacing w:before="20" w:after="20"/>
            </w:pPr>
            <w:r>
              <w:rPr>
                <w:rFonts w:ascii="游ゴシック" w:hAnsi="游ゴシック" w:eastAsia="游ゴシック"/>
                <w:b w:val="0"/>
                <w:i w:val="0"/>
                <w:sz w:val="17"/>
              </w:rPr>
              <w:t>第9章</w:t>
            </w:r>
          </w:p>
        </w:tc>
        <w:tc>
          <w:tcPr>
            <w:tcW w:type="dxa" w:w="2656"/>
            <w:vAlign w:val="center"/>
          </w:tcPr>
          <w:p>
            <w:pPr>
              <w:spacing w:before="20" w:after="20"/>
            </w:pPr>
            <w:r>
              <w:rPr>
                <w:rFonts w:ascii="游ゴシック" w:hAnsi="游ゴシック" w:eastAsia="游ゴシック"/>
                <w:b w:val="0"/>
                <w:i w:val="0"/>
                <w:sz w:val="17"/>
              </w:rPr>
              <w:t>雇用・就業の促進</w:t>
            </w:r>
          </w:p>
        </w:tc>
        <w:tc>
          <w:tcPr>
            <w:tcW w:type="dxa" w:w="5624"/>
            <w:vAlign w:val="center"/>
          </w:tcPr>
          <w:p>
            <w:pPr>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56"/>
        <w:gridCol w:w="2923"/>
        <w:gridCol w:w="2356"/>
        <w:gridCol w:w="2517"/>
      </w:tblGrid>
      <w:tr>
        <w:tc>
          <w:tcPr>
            <w:tcW w:type="dxa" w:w="19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3"/>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17"/>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56"/>
            <w:vAlign w:val="center"/>
          </w:tcPr>
          <w:p>
            <w:pPr>
              <w:spacing w:before="20" w:after="20"/>
            </w:pPr>
            <w:r>
              <w:rPr>
                <w:rFonts w:ascii="游ゴシック" w:hAnsi="游ゴシック" w:eastAsia="游ゴシック"/>
                <w:b w:val="0"/>
                <w:i w:val="0"/>
                <w:sz w:val="17"/>
              </w:rPr>
              <w:t>① 施設入所者の地域生活移行</w:t>
            </w:r>
          </w:p>
        </w:tc>
        <w:tc>
          <w:tcPr>
            <w:tcW w:type="dxa" w:w="2923"/>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56"/>
            <w:vAlign w:val="center"/>
          </w:tcPr>
          <w:p>
            <w:pPr>
              <w:spacing w:before="20" w:after="20"/>
            </w:pPr>
            <w:r>
              <w:rPr>
                <w:rFonts w:ascii="游ゴシック" w:hAnsi="游ゴシック" w:eastAsia="游ゴシック"/>
                <w:b w:val="0"/>
                <w:i w:val="0"/>
                <w:sz w:val="17"/>
              </w:rPr>
              <w:t>令和4年度末26人を基準に設定</w:t>
            </w:r>
          </w:p>
        </w:tc>
        <w:tc>
          <w:tcPr>
            <w:tcW w:type="dxa" w:w="2517"/>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56"/>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3"/>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56"/>
            <w:vAlign w:val="center"/>
          </w:tcPr>
          <w:p>
            <w:pPr>
              <w:spacing w:before="20" w:after="20"/>
            </w:pPr>
            <w:r>
              <w:rPr>
                <w:rFonts w:ascii="游ゴシック" w:hAnsi="游ゴシック" w:eastAsia="游ゴシック"/>
                <w:b w:val="0"/>
                <w:i w:val="0"/>
                <w:sz w:val="17"/>
              </w:rPr>
              <w:t>設定なし</w:t>
            </w:r>
          </w:p>
        </w:tc>
        <w:tc>
          <w:tcPr>
            <w:tcW w:type="dxa" w:w="2517"/>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56"/>
            <w:vAlign w:val="center"/>
          </w:tcPr>
          <w:p>
            <w:pPr>
              <w:spacing w:before="20" w:after="20"/>
            </w:pPr>
            <w:r>
              <w:rPr>
                <w:rFonts w:ascii="游ゴシック" w:hAnsi="游ゴシック" w:eastAsia="游ゴシック"/>
                <w:b w:val="0"/>
                <w:i w:val="0"/>
                <w:sz w:val="17"/>
              </w:rPr>
              <w:t>③ 地域生活支援の充実</w:t>
            </w:r>
          </w:p>
        </w:tc>
        <w:tc>
          <w:tcPr>
            <w:tcW w:type="dxa" w:w="2923"/>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56"/>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17"/>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56"/>
            <w:vAlign w:val="center"/>
          </w:tcPr>
          <w:p>
            <w:pPr>
              <w:spacing w:before="20" w:after="20"/>
            </w:pPr>
            <w:r>
              <w:rPr>
                <w:rFonts w:ascii="游ゴシック" w:hAnsi="游ゴシック" w:eastAsia="游ゴシック"/>
                <w:b w:val="0"/>
                <w:i w:val="0"/>
                <w:sz w:val="17"/>
              </w:rPr>
              <w:t>④ 福祉施設から一般就労への移行等</w:t>
            </w:r>
          </w:p>
        </w:tc>
        <w:tc>
          <w:tcPr>
            <w:tcW w:type="dxa" w:w="2923"/>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56"/>
            <w:vAlign w:val="center"/>
          </w:tcPr>
          <w:p>
            <w:pPr>
              <w:spacing w:before="20" w:after="20"/>
            </w:pPr>
            <w:r>
              <w:rPr>
                <w:rFonts w:ascii="游ゴシック" w:hAnsi="游ゴシック" w:eastAsia="游ゴシック"/>
                <w:b w:val="0"/>
                <w:i w:val="0"/>
                <w:sz w:val="17"/>
              </w:rPr>
              <w:t>移行者数・定着支援利用者数を設定</w:t>
            </w:r>
          </w:p>
        </w:tc>
        <w:tc>
          <w:tcPr>
            <w:tcW w:type="dxa" w:w="2517"/>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56"/>
            <w:vAlign w:val="center"/>
          </w:tcPr>
          <w:p>
            <w:pPr>
              <w:spacing w:before="20" w:after="20"/>
            </w:pPr>
            <w:r>
              <w:rPr>
                <w:rFonts w:ascii="游ゴシック" w:hAnsi="游ゴシック" w:eastAsia="游ゴシック"/>
                <w:b w:val="0"/>
                <w:i w:val="0"/>
                <w:sz w:val="17"/>
              </w:rPr>
              <w:t>⑤ 相談支援体制の充実・強化等</w:t>
            </w:r>
          </w:p>
        </w:tc>
        <w:tc>
          <w:tcPr>
            <w:tcW w:type="dxa" w:w="2923"/>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56"/>
            <w:vAlign w:val="center"/>
          </w:tcPr>
          <w:p>
            <w:pPr>
              <w:spacing w:before="20" w:after="20"/>
            </w:pPr>
            <w:r>
              <w:rPr>
                <w:rFonts w:ascii="游ゴシック" w:hAnsi="游ゴシック" w:eastAsia="游ゴシック"/>
                <w:b w:val="0"/>
                <w:i w:val="0"/>
                <w:sz w:val="17"/>
              </w:rPr>
              <w:t>設置維持、指導・助言件数</w:t>
            </w:r>
          </w:p>
        </w:tc>
        <w:tc>
          <w:tcPr>
            <w:tcW w:type="dxa" w:w="2517"/>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56"/>
            <w:vAlign w:val="center"/>
          </w:tcPr>
          <w:p>
            <w:pPr>
              <w:spacing w:before="20" w:after="20"/>
            </w:pPr>
            <w:r>
              <w:rPr>
                <w:rFonts w:ascii="游ゴシック" w:hAnsi="游ゴシック" w:eastAsia="游ゴシック"/>
                <w:b w:val="0"/>
                <w:i w:val="0"/>
                <w:sz w:val="17"/>
              </w:rPr>
              <w:t>⑥ 障害福祉サービス等の質の向上</w:t>
            </w:r>
          </w:p>
        </w:tc>
        <w:tc>
          <w:tcPr>
            <w:tcW w:type="dxa" w:w="2923"/>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56"/>
            <w:vAlign w:val="center"/>
          </w:tcPr>
          <w:p>
            <w:pPr>
              <w:spacing w:before="20" w:after="20"/>
            </w:pPr>
            <w:r>
              <w:rPr>
                <w:rFonts w:ascii="游ゴシック" w:hAnsi="游ゴシック" w:eastAsia="游ゴシック"/>
                <w:b w:val="0"/>
                <w:i w:val="0"/>
                <w:sz w:val="17"/>
              </w:rPr>
              <w:t>県研修への参加等</w:t>
            </w:r>
          </w:p>
        </w:tc>
        <w:tc>
          <w:tcPr>
            <w:tcW w:type="dxa" w:w="2517"/>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56"/>
            <w:vAlign w:val="center"/>
          </w:tcPr>
          <w:p>
            <w:pPr>
              <w:spacing w:before="20" w:after="20"/>
            </w:pPr>
            <w:r>
              <w:rPr>
                <w:rFonts w:ascii="游ゴシック" w:hAnsi="游ゴシック" w:eastAsia="游ゴシック"/>
                <w:b w:val="0"/>
                <w:i w:val="0"/>
                <w:sz w:val="17"/>
              </w:rPr>
              <w:t>⑦ 障害福祉人材の確保・定着、生産性向上</w:t>
            </w:r>
          </w:p>
        </w:tc>
        <w:tc>
          <w:tcPr>
            <w:tcW w:type="dxa" w:w="2923"/>
            <w:vAlign w:val="center"/>
          </w:tcPr>
          <w:p>
            <w:pPr>
              <w:spacing w:before="20" w:after="20"/>
            </w:pPr>
            <w:r>
              <w:rPr>
                <w:rFonts w:ascii="游ゴシック" w:hAnsi="游ゴシック" w:eastAsia="游ゴシック"/>
                <w:b w:val="0"/>
                <w:i w:val="0"/>
                <w:sz w:val="17"/>
              </w:rPr>
              <w:t>人材確保、生産性向上の取組</w:t>
            </w:r>
          </w:p>
        </w:tc>
        <w:tc>
          <w:tcPr>
            <w:tcW w:type="dxa" w:w="2356"/>
            <w:vAlign w:val="center"/>
          </w:tcPr>
          <w:p>
            <w:pPr>
              <w:spacing w:before="20" w:after="20"/>
            </w:pPr>
            <w:r>
              <w:rPr>
                <w:rFonts w:ascii="游ゴシック" w:hAnsi="游ゴシック" w:eastAsia="游ゴシック"/>
                <w:b w:val="0"/>
                <w:i w:val="0"/>
                <w:sz w:val="17"/>
              </w:rPr>
              <w:t>（新規の柱）</w:t>
            </w:r>
          </w:p>
        </w:tc>
        <w:tc>
          <w:tcPr>
            <w:tcW w:type="dxa" w:w="2517"/>
            <w:vAlign w:val="center"/>
          </w:tcPr>
          <w:p>
            <w:pPr>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56"/>
            <w:vAlign w:val="center"/>
          </w:tcPr>
          <w:p>
            <w:pPr>
              <w:spacing w:before="20" w:after="20"/>
            </w:pPr>
            <w:r>
              <w:rPr>
                <w:rFonts w:ascii="游ゴシック" w:hAnsi="游ゴシック" w:eastAsia="游ゴシック"/>
                <w:b w:val="0"/>
                <w:i w:val="0"/>
                <w:sz w:val="17"/>
              </w:rPr>
              <w:t>⑧ 障害児支援の提供体制の整備等</w:t>
            </w:r>
          </w:p>
        </w:tc>
        <w:tc>
          <w:tcPr>
            <w:tcW w:type="dxa" w:w="2923"/>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児童発達支援センター、保育所等訪問支援、重症心身障がい児対応事業所、医療的ケア児コーディネーター、インクルージョン推進のための協議の場</w:t>
            </w:r>
          </w:p>
        </w:tc>
        <w:tc>
          <w:tcPr>
            <w:tcW w:type="dxa" w:w="2356"/>
            <w:vAlign w:val="center"/>
          </w:tcPr>
          <w:p>
            <w:pPr>
              <w:spacing w:before="20" w:after="20"/>
            </w:pPr>
            <w:r>
              <w:rPr>
                <w:rFonts w:ascii="游ゴシック" w:hAnsi="游ゴシック" w:eastAsia="游ゴシック"/>
                <w:b w:val="0"/>
                <w:i w:val="0"/>
                <w:sz w:val="17"/>
              </w:rPr>
              <w:t>センター等各1か所の維持、重症心身障がい児対応・医療的ケア児コーディネーターの整備</w:t>
            </w:r>
          </w:p>
        </w:tc>
        <w:tc>
          <w:tcPr>
            <w:tcW w:type="dxa" w:w="2517"/>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spacing w:before="20" w:after="20"/>
            </w:pPr>
            <w:r>
              <w:rPr>
                <w:rFonts w:ascii="游ゴシック" w:hAnsi="游ゴシック" w:eastAsia="游ゴシック"/>
                <w:b w:val="0"/>
                <w:i w:val="0"/>
                <w:sz w:val="17"/>
              </w:rPr>
              <w:t>5 障がい児支援</w:t>
            </w:r>
          </w:p>
        </w:tc>
        <w:tc>
          <w:tcPr>
            <w:tcW w:type="dxa" w:w="3105"/>
            <w:vAlign w:val="center"/>
          </w:tcPr>
          <w:p>
            <w:pPr>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4"/>
        <w:gridCol w:w="5057"/>
        <w:gridCol w:w="3170"/>
      </w:tblGrid>
      <w:tr>
        <w:tc>
          <w:tcPr>
            <w:tcW w:type="dxa" w:w="15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05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170"/>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3170"/>
            <w:vAlign w:val="center"/>
          </w:tcPr>
          <w:p>
            <w:pPr>
              <w:spacing w:before="20" w:after="20"/>
            </w:pPr>
            <w:r>
              <w:rPr>
                <w:rFonts w:ascii="游ゴシック" w:hAnsi="游ゴシック" w:eastAsia="游ゴシック"/>
                <w:b w:val="0"/>
                <w:i w:val="0"/>
                <w:sz w:val="17"/>
              </w:rPr>
              <w:t>第1部第2章5、第3部第2章</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3170"/>
            <w:vAlign w:val="center"/>
          </w:tcPr>
          <w:p>
            <w:pPr>
              <w:spacing w:before="20" w:after="20"/>
            </w:pPr>
            <w:r>
              <w:rPr>
                <w:rFonts w:ascii="游ゴシック" w:hAnsi="游ゴシック" w:eastAsia="游ゴシック"/>
                <w:b w:val="0"/>
                <w:i w:val="0"/>
                <w:sz w:val="17"/>
              </w:rPr>
              <w:t>第1部第2章5、第3部第2章</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3170"/>
            <w:vAlign w:val="center"/>
          </w:tcPr>
          <w:p>
            <w:pPr>
              <w:spacing w:before="20" w:after="20"/>
            </w:pPr>
            <w:r>
              <w:rPr>
                <w:rFonts w:ascii="游ゴシック" w:hAnsi="游ゴシック" w:eastAsia="游ゴシック"/>
                <w:b w:val="0"/>
                <w:i w:val="0"/>
                <w:sz w:val="17"/>
              </w:rPr>
              <w:t>第1部第2章7、第3部第3章</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3170"/>
            <w:vAlign w:val="center"/>
          </w:tcPr>
          <w:p>
            <w:pPr>
              <w:spacing w:before="20" w:after="20"/>
            </w:pPr>
            <w:r>
              <w:rPr>
                <w:rFonts w:ascii="游ゴシック" w:hAnsi="游ゴシック" w:eastAsia="游ゴシック"/>
                <w:b w:val="0"/>
                <w:i w:val="0"/>
                <w:sz w:val="17"/>
              </w:rPr>
              <w:t>第3部第1章⑤、第3部第2章4</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3170"/>
            <w:vAlign w:val="center"/>
          </w:tcPr>
          <w:p>
            <w:pPr>
              <w:spacing w:before="20" w:after="20"/>
            </w:pPr>
            <w:r>
              <w:rPr>
                <w:rFonts w:ascii="游ゴシック" w:hAnsi="游ゴシック" w:eastAsia="游ゴシック"/>
                <w:b w:val="0"/>
                <w:i w:val="0"/>
                <w:sz w:val="17"/>
              </w:rPr>
              <w:t>第1部第3章1</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施設入所者数の令和7年度末確定値</w:t>
            </w:r>
          </w:p>
        </w:tc>
        <w:tc>
          <w:tcPr>
            <w:tcW w:type="dxa" w:w="3170"/>
            <w:vAlign w:val="center"/>
          </w:tcPr>
          <w:p>
            <w:pPr>
              <w:spacing w:before="20" w:after="20"/>
            </w:pPr>
            <w:r>
              <w:rPr>
                <w:rFonts w:ascii="游ゴシック" w:hAnsi="游ゴシック" w:eastAsia="游ゴシック"/>
                <w:b w:val="0"/>
                <w:i w:val="0"/>
                <w:sz w:val="17"/>
              </w:rPr>
              <w:t>第3部第1章①</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3170"/>
            <w:vAlign w:val="center"/>
          </w:tcPr>
          <w:p>
            <w:pPr>
              <w:spacing w:before="20" w:after="20"/>
            </w:pPr>
            <w:r>
              <w:rPr>
                <w:rFonts w:ascii="游ゴシック" w:hAnsi="游ゴシック" w:eastAsia="游ゴシック"/>
                <w:b w:val="0"/>
                <w:i w:val="0"/>
                <w:sz w:val="17"/>
              </w:rPr>
              <w:t>第1部第2章8</w:t>
            </w:r>
          </w:p>
        </w:tc>
      </w:tr>
      <w:tr>
        <w:tc>
          <w:tcPr>
            <w:tcW w:type="dxa" w:w="1524"/>
            <w:vAlign w:val="center"/>
          </w:tcPr>
          <w:p>
            <w:pPr>
              <w:spacing w:before="20" w:after="20"/>
            </w:pPr>
            <w:r>
              <w:rPr>
                <w:rFonts w:ascii="游ゴシック" w:hAnsi="游ゴシック" w:eastAsia="游ゴシック"/>
                <w:b w:val="0"/>
                <w:i w:val="0"/>
                <w:sz w:val="17"/>
              </w:rPr>
              <w:t>高</w:t>
            </w:r>
          </w:p>
        </w:tc>
        <w:tc>
          <w:tcPr>
            <w:tcW w:type="dxa" w:w="5057"/>
            <w:vAlign w:val="center"/>
          </w:tcPr>
          <w:p>
            <w:pPr>
              <w:spacing w:before="20" w:after="20"/>
            </w:pPr>
            <w:r>
              <w:rPr>
                <w:rFonts w:ascii="游ゴシック" w:hAnsi="游ゴシック" w:eastAsia="游ゴシック"/>
                <w:b w:val="0"/>
                <w:i w:val="0"/>
                <w:sz w:val="17"/>
              </w:rPr>
              <w:t>関係者団体等ヒアリングの結果</w:t>
            </w:r>
          </w:p>
        </w:tc>
        <w:tc>
          <w:tcPr>
            <w:tcW w:type="dxa" w:w="3170"/>
            <w:vAlign w:val="center"/>
          </w:tcPr>
          <w:p>
            <w:pPr>
              <w:spacing w:before="20" w:after="20"/>
            </w:pPr>
            <w:r>
              <w:rPr>
                <w:rFonts w:ascii="游ゴシック" w:hAnsi="游ゴシック" w:eastAsia="游ゴシック"/>
                <w:b w:val="0"/>
                <w:i w:val="0"/>
                <w:sz w:val="17"/>
              </w:rPr>
              <w:t>第1部第2章9</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3170"/>
            <w:vAlign w:val="center"/>
          </w:tcPr>
          <w:p>
            <w:pPr>
              <w:spacing w:before="20" w:after="20"/>
            </w:pPr>
            <w:r>
              <w:rPr>
                <w:rFonts w:ascii="游ゴシック" w:hAnsi="游ゴシック" w:eastAsia="游ゴシック"/>
                <w:b w:val="0"/>
                <w:i w:val="0"/>
                <w:sz w:val="17"/>
              </w:rPr>
              <w:t>第1部第2章3・4</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3170"/>
            <w:vAlign w:val="center"/>
          </w:tcPr>
          <w:p>
            <w:pPr>
              <w:spacing w:before="20" w:after="20"/>
            </w:pPr>
            <w:r>
              <w:rPr>
                <w:rFonts w:ascii="游ゴシック" w:hAnsi="游ゴシック" w:eastAsia="游ゴシック"/>
                <w:b w:val="0"/>
                <w:i w:val="0"/>
                <w:sz w:val="17"/>
              </w:rPr>
              <w:t>第1部第2章6、第3部第2章2</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医療的ケア児の人数と状況、医療的ケア児コーディネーターの配置状況</w:t>
            </w:r>
          </w:p>
        </w:tc>
        <w:tc>
          <w:tcPr>
            <w:tcW w:type="dxa" w:w="3170"/>
            <w:vAlign w:val="center"/>
          </w:tcPr>
          <w:p>
            <w:pPr>
              <w:spacing w:before="20" w:after="20"/>
            </w:pPr>
            <w:r>
              <w:rPr>
                <w:rFonts w:ascii="游ゴシック" w:hAnsi="游ゴシック" w:eastAsia="游ゴシック"/>
                <w:b w:val="0"/>
                <w:i w:val="0"/>
                <w:sz w:val="17"/>
              </w:rPr>
              <w:t>第1部第2章6、第3部第1章⑧</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3170"/>
            <w:vAlign w:val="center"/>
          </w:tcPr>
          <w:p>
            <w:pPr>
              <w:spacing w:before="20" w:after="20"/>
            </w:pPr>
            <w:r>
              <w:rPr>
                <w:rFonts w:ascii="游ゴシック" w:hAnsi="游ゴシック" w:eastAsia="游ゴシック"/>
                <w:b w:val="0"/>
                <w:i w:val="0"/>
                <w:sz w:val="17"/>
              </w:rPr>
              <w:t>第1部第2章2</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3170"/>
            <w:vAlign w:val="center"/>
          </w:tcPr>
          <w:p>
            <w:pPr>
              <w:spacing w:before="20" w:after="20"/>
            </w:pPr>
            <w:r>
              <w:rPr>
                <w:rFonts w:ascii="游ゴシック" w:hAnsi="游ゴシック" w:eastAsia="游ゴシック"/>
                <w:b w:val="0"/>
                <w:i w:val="0"/>
                <w:sz w:val="17"/>
              </w:rPr>
              <w:t>第3部第1章③</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地域生活支援事業の事業別実績</w:t>
            </w:r>
          </w:p>
        </w:tc>
        <w:tc>
          <w:tcPr>
            <w:tcW w:type="dxa" w:w="3170"/>
            <w:vAlign w:val="center"/>
          </w:tcPr>
          <w:p>
            <w:pPr>
              <w:spacing w:before="20" w:after="20"/>
            </w:pPr>
            <w:r>
              <w:rPr>
                <w:rFonts w:ascii="游ゴシック" w:hAnsi="游ゴシック" w:eastAsia="游ゴシック"/>
                <w:b w:val="0"/>
                <w:i w:val="0"/>
                <w:sz w:val="17"/>
              </w:rPr>
              <w:t>第3部第2章6</w:t>
            </w:r>
          </w:p>
        </w:tc>
      </w:tr>
      <w:tr>
        <w:tc>
          <w:tcPr>
            <w:tcW w:type="dxa" w:w="1524"/>
            <w:vAlign w:val="center"/>
          </w:tcPr>
          <w:p>
            <w:pPr>
              <w:spacing w:before="20" w:after="20"/>
            </w:pPr>
            <w:r>
              <w:rPr>
                <w:rFonts w:ascii="游ゴシック" w:hAnsi="游ゴシック" w:eastAsia="游ゴシック"/>
                <w:b w:val="0"/>
                <w:i w:val="0"/>
                <w:sz w:val="17"/>
              </w:rPr>
              <w:t>中</w:t>
            </w:r>
          </w:p>
        </w:tc>
        <w:tc>
          <w:tcPr>
            <w:tcW w:type="dxa" w:w="5057"/>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3170"/>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