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次に着手するもの（10月6日（火））</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町・国・県の回答を待たずに進められる作業は15件・41.0時間分あり、うち11件（27.0時間）が令和8年10月5日までに済んでいます。</w:t>
      </w:r>
      <w:r>
        <w:rPr>
          <w:rFonts w:ascii="游ゴシック" w:hAnsi="游ゴシック" w:eastAsia="游ゴシック"/>
          <w:b w:val="0"/>
          <w:i w:val="0"/>
          <w:sz w:val="21"/>
        </w:rPr>
        <w:t>令和8年10月6日は残り4件のうち2件（6.0時間）に着手します。</w:t>
      </w:r>
    </w:p>
    <w:p>
      <w:pPr>
        <w:spacing w:before="60" w:after="60"/>
      </w:pPr>
      <w:r>
        <w:rPr>
          <w:rFonts w:ascii="游ゴシック" w:hAnsi="游ゴシック" w:eastAsia="游ゴシック"/>
          <w:b/>
          <w:i w:val="0"/>
          <w:sz w:val="21"/>
        </w:rPr>
        <w:t>進捗の乖離を測ったところ、高齢者計画は予定より+15.4ポイント、障がい計画は-17.5ポイントでした。</w:t>
      </w:r>
      <w:r>
        <w:rPr>
          <w:rFonts w:ascii="游ゴシック" w:hAnsi="游ゴシック" w:eastAsia="游ゴシック"/>
          <w:b/>
          <w:i w:val="0"/>
          <w:sz w:val="21"/>
        </w:rPr>
        <w:t>障がい計画の遅れが大きく、期限を過ぎてなお終わっていない作業が9件あります。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54.9％</w:t>
            </w:r>
          </w:p>
        </w:tc>
        <w:tc>
          <w:tcPr>
            <w:tcW w:type="dxa" w:w="1247"/>
            <w:vAlign w:val="center"/>
          </w:tcPr>
          <w:p>
            <w:pPr>
              <w:spacing w:before="20" w:after="20"/>
              <w:jc w:val="right"/>
            </w:pPr>
            <w:r>
              <w:rPr>
                <w:rFonts w:ascii="游ゴシック" w:hAnsi="游ゴシック" w:eastAsia="游ゴシック"/>
                <w:b w:val="0"/>
                <w:i w:val="0"/>
                <w:sz w:val="17"/>
              </w:rPr>
              <w:t>70.3％</w:t>
            </w:r>
          </w:p>
        </w:tc>
        <w:tc>
          <w:tcPr>
            <w:tcW w:type="dxa" w:w="1020"/>
            <w:vAlign w:val="center"/>
          </w:tcPr>
          <w:p>
            <w:pPr>
              <w:spacing w:before="20" w:after="20"/>
              <w:jc w:val="right"/>
            </w:pPr>
            <w:r>
              <w:rPr>
                <w:rFonts w:ascii="游ゴシック" w:hAnsi="游ゴシック" w:eastAsia="游ゴシック"/>
                <w:b w:val="0"/>
                <w:i w:val="0"/>
                <w:sz w:val="17"/>
              </w:rPr>
              <w:t>+15.4pt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50.6％</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-17.5pt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高齢者計画は予定を+15.4ポイント上回っています。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一方で障がい計画は-17.5ポイント下回っており、こちらが本業務全体の弱いところです。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38％</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障がい計画（13件）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前回調査で督促を行ったかが未確認（依頼票D3）。行っていた場合は12.4ptを督促以外で作る必要がある</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障がい計画の遅れ13件は、すべて町からの3点に連なっています。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町・国・県の回答を待たずに進められる作業は15件、合計41.0時間（1日8.0時間として約5.1日）です。</w:t>
      </w:r>
      <w:r>
        <w:rPr>
          <w:rFonts w:ascii="游ゴシック" w:hAnsi="游ゴシック" w:eastAsia="游ゴシック"/>
          <w:b/>
          <w:i w:val="0"/>
          <w:sz w:val="21"/>
        </w:rPr>
        <w:t>うち11件・27.0時間は令和8年10月5日までに済みました。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次に着手するもの（10月6日（火））</w:t>
      </w:r>
      <w:bookmarkEnd w:id="119"/>
    </w:p>
    <w:p>
      <w:pPr>
        <w:spacing w:before="60" w:after="60"/>
      </w:pPr>
      <w:r>
        <w:rPr>
          <w:rFonts w:ascii="游ゴシック" w:hAnsi="游ゴシック" w:eastAsia="游ゴシック"/>
          <w:b/>
          <w:i w:val="0"/>
          <w:sz w:val="21"/>
        </w:rPr>
        <w:t>2件・6.0時間。いずれも外部の回答を要しません。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T9</w:t>
            </w:r>
          </w:p>
        </w:tc>
        <w:tc>
          <w:tcPr>
            <w:tcW w:type="dxa" w:w="2268"/>
            <w:vAlign w:val="center"/>
          </w:tcPr>
          <w:p>
            <w:pPr>
              <w:spacing w:before="20" w:after="20"/>
            </w:pPr>
            <w:r>
              <w:rPr>
                <w:rFonts w:ascii="游ゴシック" w:hAnsi="游ゴシック" w:eastAsia="游ゴシック"/>
                <w:b w:val="0"/>
                <w:i w:val="0"/>
                <w:sz w:val="17"/>
              </w:rPr>
              <w:t>協議会 第2回の資料の骨格</w:t>
            </w:r>
          </w:p>
        </w:tc>
        <w:tc>
          <w:tcPr>
            <w:tcW w:type="dxa" w:w="680"/>
            <w:vAlign w:val="center"/>
          </w:tcPr>
          <w:p>
            <w:pPr>
              <w:spacing w:before="20" w:after="20"/>
              <w:jc w:val="right"/>
            </w:pPr>
            <w:r>
              <w:rPr>
                <w:rFonts w:ascii="游ゴシック" w:hAnsi="游ゴシック" w:eastAsia="游ゴシック"/>
                <w:b w:val="0"/>
                <w:i w:val="0"/>
                <w:sz w:val="17"/>
              </w:rPr>
              <w:t>4.0</w:t>
            </w:r>
          </w:p>
        </w:tc>
        <w:tc>
          <w:tcPr>
            <w:tcW w:type="dxa" w:w="5726"/>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T11</w:t>
            </w:r>
          </w:p>
        </w:tc>
        <w:tc>
          <w:tcPr>
            <w:tcW w:type="dxa" w:w="2268"/>
            <w:vAlign w:val="center"/>
          </w:tcPr>
          <w:p>
            <w:pPr>
              <w:spacing w:before="20" w:after="20"/>
            </w:pPr>
            <w:r>
              <w:rPr>
                <w:rFonts w:ascii="游ゴシック" w:hAnsi="游ゴシック" w:eastAsia="游ゴシック"/>
                <w:b w:val="0"/>
                <w:i w:val="0"/>
                <w:sz w:val="17"/>
              </w:rPr>
              <w:t>概要版（8頁）のページ割りと図の割付</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図の割付を先にやっておくと、素案の図を作るときに使い回せる</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T14</w:t>
            </w:r>
          </w:p>
        </w:tc>
        <w:tc>
          <w:tcPr>
            <w:tcW w:type="dxa" w:w="6066"/>
            <w:vAlign w:val="center"/>
          </w:tcPr>
          <w:p>
            <w:pPr>
              <w:spacing w:before="20" w:after="20"/>
            </w:pPr>
            <w:r>
              <w:rPr>
                <w:rFonts w:ascii="游ゴシック" w:hAnsi="游ゴシック" w:eastAsia="游ゴシック"/>
                <w:b w:val="0"/>
                <w:i w:val="0"/>
                <w:sz w:val="17"/>
              </w:rPr>
              <w:t>一次資料との突合の対象を広げる</w:t>
            </w:r>
          </w:p>
        </w:tc>
        <w:tc>
          <w:tcPr>
            <w:tcW w:type="dxa" w:w="1247"/>
            <w:vAlign w:val="center"/>
          </w:tcPr>
          <w:p>
            <w:pPr>
              <w:spacing w:before="20" w:after="20"/>
              <w:jc w:val="right"/>
            </w:pPr>
            <w:r>
              <w:rPr>
                <w:rFonts w:ascii="游ゴシック" w:hAnsi="游ゴシック" w:eastAsia="游ゴシック"/>
                <w:b w:val="0"/>
                <w:i w:val="0"/>
                <w:sz w:val="17"/>
              </w:rPr>
              <w:t>2.0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資料：業務進捗管理表（17_業務進捗管理）令和8年10月5日版。高齢者計画のWBS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