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115件（条件付き53件・送付34件・内部保管23件・対象外5件）と計画素案（923段落145表36図）です。ビルドスクリプトは114本あり、うち24本が自らの計算を検算する自己点検を備えています（計310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自己点検を備えたスクリプト（24本・計310件）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build_mikomiryo_santei.py</w:t>
            </w:r>
          </w:p>
        </w:tc>
        <w:tc>
          <w:tcPr>
            <w:tcW w:type="dxa" w:w="907"/>
            <w:vAlign w:val="center"/>
          </w:tcPr>
          <w:p>
            <w:pPr>
              <w:spacing w:after="0"/>
              <w:jc w:val="center"/>
            </w:pPr>
            <w:r>
              <w:rPr>
                <w:rFonts w:ascii="游ゴシック" w:hAnsi="游ゴシック" w:eastAsia="游ゴシック"/>
                <w:b w:val="0"/>
                <w:sz w:val="16"/>
              </w:rPr>
              <w:t>22件</w:t>
            </w:r>
          </w:p>
        </w:tc>
        <w:tc>
          <w:tcPr>
            <w:tcW w:type="dxa" w:w="3572"/>
            <w:vAlign w:val="center"/>
          </w:tcPr>
          <w:p>
            <w:pPr>
              <w:spacing w:after="0"/>
            </w:pPr>
            <w:r>
              <w:rPr>
                <w:rFonts w:ascii="游ゴシック" w:hAnsi="游ゴシック" w:eastAsia="游ゴシック"/>
                <w:b w:val="0"/>
                <w:sz w:val="16"/>
              </w:rPr>
              <w:t>build_kisetsu_hosei.py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build_survey_monthly_r8_09.py</w:t>
            </w:r>
          </w:p>
        </w:tc>
        <w:tc>
          <w:tcPr>
            <w:tcW w:type="dxa" w:w="907"/>
            <w:shd w:val="clear" w:color="auto" w:fill="F2F5FA"/>
            <w:vAlign w:val="center"/>
          </w:tcPr>
          <w:p>
            <w:pPr>
              <w:spacing w:after="0"/>
              <w:jc w:val="center"/>
            </w:pPr>
            <w:r>
              <w:rPr>
                <w:rFonts w:ascii="游ゴシック" w:hAnsi="游ゴシック" w:eastAsia="游ゴシック"/>
                <w:b w:val="0"/>
                <w:sz w:val="16"/>
              </w:rPr>
              <w:t>21件</w:t>
            </w:r>
          </w:p>
        </w:tc>
        <w:tc>
          <w:tcPr>
            <w:tcW w:type="dxa" w:w="3572"/>
            <w:shd w:val="clear" w:color="auto" w:fill="F2F5FA"/>
            <w:vAlign w:val="center"/>
          </w:tcPr>
          <w:p>
            <w:pPr>
              <w:spacing w:after="0"/>
            </w:pPr>
            <w:r>
              <w:rPr>
                <w:rFonts w:ascii="游ゴシック" w:hAnsi="游ゴシック" w:eastAsia="游ゴシック"/>
                <w:b w:val="0"/>
                <w:sz w:val="16"/>
              </w:rPr>
              <w:t>build_shotoku_dankai.py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build_receipt_mieru_suikei.py</w:t>
            </w:r>
          </w:p>
        </w:tc>
        <w:tc>
          <w:tcPr>
            <w:tcW w:type="dxa" w:w="907"/>
            <w:vAlign w:val="center"/>
          </w:tcPr>
          <w:p>
            <w:pPr>
              <w:spacing w:after="0"/>
              <w:jc w:val="center"/>
            </w:pPr>
            <w:r>
              <w:rPr>
                <w:rFonts w:ascii="游ゴシック" w:hAnsi="游ゴシック" w:eastAsia="游ゴシック"/>
                <w:b w:val="0"/>
                <w:sz w:val="16"/>
              </w:rPr>
              <w:t>20件</w:t>
            </w:r>
          </w:p>
        </w:tc>
        <w:tc>
          <w:tcPr>
            <w:tcW w:type="dxa" w:w="3572"/>
            <w:vAlign w:val="center"/>
          </w:tcPr>
          <w:p>
            <w:pPr>
              <w:spacing w:after="0"/>
            </w:pPr>
            <w:r>
              <w:rPr>
                <w:rFonts w:ascii="游ゴシック" w:hAnsi="游ゴシック" w:eastAsia="游ゴシック"/>
                <w:b w:val="0"/>
                <w:sz w:val="16"/>
              </w:rPr>
              <w:t>build_survey_check.py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build_mieru_mikomi_input.py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build_app_review.py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build_mieru_manual_review.py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build_kagai_youin.py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build_mieru_r8_input.py</w:t>
            </w:r>
          </w:p>
        </w:tc>
        <w:tc>
          <w:tcPr>
            <w:tcW w:type="dxa" w:w="907"/>
            <w:shd w:val="clear" w:color="auto" w:fill="F2F5FA"/>
            <w:vAlign w:val="center"/>
          </w:tcPr>
          <w:p>
            <w:pPr>
              <w:spacing w:after="0"/>
              <w:jc w:val="center"/>
            </w:pPr>
            <w:r>
              <w:rPr>
                <w:rFonts w:ascii="游ゴシック" w:hAnsi="游ゴシック" w:eastAsia="游ゴシック"/>
                <w:b w:val="0"/>
                <w:sz w:val="16"/>
              </w:rPr>
              <w:t>15件</w:t>
            </w:r>
          </w:p>
        </w:tc>
        <w:tc>
          <w:tcPr>
            <w:tcW w:type="dxa" w:w="3572"/>
            <w:shd w:val="clear" w:color="auto" w:fill="F2F5FA"/>
            <w:vAlign w:val="center"/>
          </w:tcPr>
          <w:p>
            <w:pPr>
              <w:spacing w:after="0"/>
            </w:pPr>
            <w:r>
              <w:rPr>
                <w:rFonts w:ascii="游ゴシック" w:hAnsi="游ゴシック" w:eastAsia="游ゴシック"/>
                <w:b w:val="0"/>
                <w:sz w:val="16"/>
              </w:rPr>
              <w:t>build_mikomiryo.py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build_member_work_review.py</w:t>
            </w:r>
          </w:p>
        </w:tc>
        <w:tc>
          <w:tcPr>
            <w:tcW w:type="dxa" w:w="907"/>
            <w:vAlign w:val="center"/>
          </w:tcPr>
          <w:p>
            <w:pPr>
              <w:spacing w:after="0"/>
              <w:jc w:val="center"/>
            </w:pPr>
            <w:r>
              <w:rPr>
                <w:rFonts w:ascii="游ゴシック" w:hAnsi="游ゴシック" w:eastAsia="游ゴシック"/>
                <w:b w:val="0"/>
                <w:sz w:val="16"/>
              </w:rPr>
              <w:t>14件</w:t>
            </w:r>
          </w:p>
        </w:tc>
        <w:tc>
          <w:tcPr>
            <w:tcW w:type="dxa" w:w="3572"/>
            <w:vAlign w:val="center"/>
          </w:tcPr>
          <w:p>
            <w:pPr>
              <w:spacing w:after="0"/>
            </w:pPr>
            <w:r>
              <w:rPr>
                <w:rFonts w:ascii="游ゴシック" w:hAnsi="游ゴシック" w:eastAsia="游ゴシック"/>
                <w:b w:val="0"/>
                <w:sz w:val="16"/>
              </w:rPr>
              <w:t>build_survey_jisseki_cross.py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build_chiiki_care_kaigi.py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c>
          <w:tcPr>
            <w:tcW w:type="dxa" w:w="3572"/>
            <w:shd w:val="clear" w:color="auto" w:fill="F2F5FA"/>
            <w:vAlign w:val="center"/>
          </w:tcPr>
          <w:p>
            <w:pPr>
              <w:spacing w:after="0"/>
            </w:pPr>
            <w:r>
              <w:rPr>
                <w:rFonts w:ascii="游ゴシック" w:hAnsi="游ゴシック" w:eastAsia="游ゴシック"/>
                <w:b w:val="0"/>
                <w:sz w:val="16"/>
              </w:rPr>
              <w:t>build_taikeikakuhi.py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build_mikomiryo_togo.py</w:t>
            </w:r>
          </w:p>
        </w:tc>
        <w:tc>
          <w:tcPr>
            <w:tcW w:type="dxa" w:w="907"/>
            <w:vAlign w:val="center"/>
          </w:tcPr>
          <w:p>
            <w:pPr>
              <w:spacing w:after="0"/>
              <w:jc w:val="center"/>
            </w:pPr>
            <w:r>
              <w:rPr>
                <w:rFonts w:ascii="游ゴシック" w:hAnsi="游ゴシック" w:eastAsia="游ゴシック"/>
                <w:b w:val="0"/>
                <w:sz w:val="16"/>
              </w:rPr>
              <w:t>13件</w:t>
            </w:r>
          </w:p>
        </w:tc>
        <w:tc>
          <w:tcPr>
            <w:tcW w:type="dxa" w:w="3572"/>
            <w:vAlign w:val="center"/>
          </w:tcPr>
          <w:p>
            <w:pPr>
              <w:spacing w:after="0"/>
            </w:pPr>
            <w:r>
              <w:rPr>
                <w:rFonts w:ascii="游ゴシック" w:hAnsi="游ゴシック" w:eastAsia="游ゴシック"/>
                <w:b w:val="0"/>
                <w:sz w:val="16"/>
              </w:rPr>
              <w:t>build_check_irai.py</w:t>
            </w:r>
          </w:p>
        </w:tc>
        <w:tc>
          <w:tcPr>
            <w:tcW w:type="dxa" w:w="907"/>
            <w:vAlign w:val="center"/>
          </w:tcPr>
          <w:p>
            <w:pPr>
              <w:spacing w:after="0"/>
              <w:jc w:val="center"/>
            </w:pPr>
            <w:r>
              <w:rPr>
                <w:rFonts w:ascii="游ゴシック" w:hAnsi="游ゴシック" w:eastAsia="游ゴシック"/>
                <w:b w:val="0"/>
                <w:sz w:val="16"/>
              </w:rPr>
              <w:t>9件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build_ninchisho_ronten.py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c>
          <w:tcPr>
            <w:tcW w:type="dxa" w:w="3572"/>
            <w:shd w:val="clear" w:color="auto" w:fill="F2F5FA"/>
            <w:vAlign w:val="center"/>
          </w:tcPr>
          <w:p>
            <w:pPr>
              <w:spacing w:after="0"/>
            </w:pPr>
            <w:r>
              <w:rPr>
                <w:rFonts w:ascii="游ゴシック" w:hAnsi="游ゴシック" w:eastAsia="游ゴシック"/>
                <w:b w:val="0"/>
                <w:sz w:val="16"/>
              </w:rPr>
              <w:t>build_shiryo_denwa.py</w:t>
            </w:r>
          </w:p>
        </w:tc>
        <w:tc>
          <w:tcPr>
            <w:tcW w:type="dxa" w:w="907"/>
            <w:shd w:val="clear" w:color="auto" w:fill="F2F5FA"/>
            <w:vAlign w:val="center"/>
          </w:tcPr>
          <w:p>
            <w:pPr>
              <w:spacing w:after="0"/>
              <w:jc w:val="center"/>
            </w:pPr>
            <w:r>
              <w:rPr>
                <w:rFonts w:ascii="游ゴシック" w:hAnsi="游ゴシック" w:eastAsia="游ゴシック"/>
                <w:b w:val="0"/>
                <w:sz w:val="16"/>
              </w:rPr>
              <w:t>8件</w:t>
            </w:r>
          </w:p>
        </w:tc>
      </w:tr>
      <w:tr>
        <w:trPr>
          <w:cantSplit/>
        </w:trPr>
        <w:tc>
          <w:tcPr>
            <w:tcW w:type="dxa" w:w="3572"/>
            <w:vAlign w:val="center"/>
          </w:tcPr>
          <w:p>
            <w:pPr>
              <w:spacing w:after="0"/>
            </w:pPr>
            <w:r>
              <w:rPr>
                <w:rFonts w:ascii="游ゴシック" w:hAnsi="游ゴシック" w:eastAsia="游ゴシック"/>
                <w:b w:val="0"/>
                <w:sz w:val="16"/>
              </w:rPr>
              <w:t>build_soan_kadai.py</w:t>
            </w:r>
          </w:p>
        </w:tc>
        <w:tc>
          <w:tcPr>
            <w:tcW w:type="dxa" w:w="907"/>
            <w:vAlign w:val="center"/>
          </w:tcPr>
          <w:p>
            <w:pPr>
              <w:spacing w:after="0"/>
              <w:jc w:val="center"/>
            </w:pPr>
            <w:r>
              <w:rPr>
                <w:rFonts w:ascii="游ゴシック" w:hAnsi="游ゴシック" w:eastAsia="游ゴシック"/>
                <w:b w:val="0"/>
                <w:sz w:val="16"/>
              </w:rPr>
              <w:t>13件</w:t>
            </w:r>
          </w:p>
        </w:tc>
        <w:tc>
          <w:tcPr>
            <w:tcW w:type="dxa" w:w="3572"/>
            <w:vAlign w:val="center"/>
          </w:tcPr>
          <w:p>
            <w:pPr>
              <w:spacing w:after="0"/>
            </w:pPr>
            <w:r>
              <w:rPr>
                <w:rFonts w:ascii="游ゴシック" w:hAnsi="游ゴシック" w:eastAsia="游ゴシック"/>
                <w:b w:val="0"/>
                <w:sz w:val="16"/>
              </w:rPr>
              <w:t>build_mikomi_juryo_nashi.py</w:t>
            </w:r>
          </w:p>
        </w:tc>
        <w:tc>
          <w:tcPr>
            <w:tcW w:type="dxa" w:w="907"/>
            <w:vAlign w:val="center"/>
          </w:tcPr>
          <w:p>
            <w:pPr>
              <w:spacing w:after="0"/>
              <w:jc w:val="center"/>
            </w:pPr>
            <w:r>
              <w:rPr>
                <w:rFonts w:ascii="游ゴシック" w:hAnsi="游ゴシック" w:eastAsia="游ゴシック"/>
                <w:b w:val="0"/>
                <w:sz w:val="16"/>
              </w:rPr>
              <w:t>7件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build_kanri_tanaoroshi.py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c>
          <w:tcPr>
            <w:tcW w:type="dxa" w:w="3572"/>
            <w:shd w:val="clear" w:color="auto" w:fill="F2F5FA"/>
            <w:vAlign w:val="center"/>
          </w:tcPr>
          <w:p>
            <w:pPr>
              <w:spacing w:after="0"/>
            </w:pPr>
            <w:r>
              <w:rPr>
                <w:rFonts w:ascii="游ゴシック" w:hAnsi="游ゴシック" w:eastAsia="游ゴシック"/>
                <w:b w:val="0"/>
                <w:sz w:val="16"/>
              </w:rPr>
              <w:t>build_soan_kaki_review.py</w:t>
            </w:r>
          </w:p>
        </w:tc>
        <w:tc>
          <w:tcPr>
            <w:tcW w:type="dxa" w:w="907"/>
            <w:shd w:val="clear" w:color="auto" w:fill="F2F5FA"/>
            <w:vAlign w:val="center"/>
          </w:tcPr>
          <w:p>
            <w:pPr>
              <w:spacing w:after="0"/>
              <w:jc w:val="center"/>
            </w:pPr>
            <w:r>
              <w:rPr>
                <w:rFonts w:ascii="游ゴシック" w:hAnsi="游ゴシック" w:eastAsia="游ゴシック"/>
                <w:b w:val="0"/>
                <w:sz w:val="16"/>
              </w:rPr>
              <w:t>7件</w:t>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923段落145表36図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発注者・委員会・住民の目に触れるもの。未確定箇所が137箇所（要協議109・要確認27・要内訳1）残っている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保険料の基礎になる。算定上の月額6,436円・保険料基準額6,400円はここから出ている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確認事項157件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'6,436\|6436\|9,031,900,444'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w:t>
              <w:br/>
              <w:t>3,083,474,291円</w:t>
            </w:r>
          </w:p>
        </w:tc>
        <w:tc>
          <w:tcPr>
            <w:tcW w:type="dxa" w:w="3288"/>
            <w:shd w:val="clear" w:color="auto" w:fill="F2F5FA"/>
            <w:vAlign w:val="center"/>
          </w:tcPr>
          <w:p>
            <w:pPr>
              <w:spacing w:after="0"/>
            </w:pPr>
            <w:r>
              <w:rPr>
                <w:rFonts w:ascii="游ゴシック" w:hAnsi="游ゴシック" w:eastAsia="游ゴシック"/>
                <w:b w:val="0"/>
                <w:sz w:val="18"/>
              </w:rPr>
              <w:t>129,580,267円（4.20％）の差。令和6年度・令和8年度は円単位で一致する。抽出条件を照会中（確認事項No.87）</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現在137箇所（要協議109・要確認27・要内訳1）です。うち第6章第4節（施設の見込み）に58箇所（43％）が集中しており、日常生活圏域と必要利用定員総数（確認事項No.88）が決まれば解消します。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自己点検を備えた24本を順に実行し、終了コードが0であることを確かめます。1件でも合わなければ終了コード1で終わり、不適合の内容が表示されます。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再実行できない3本（第2節3）は除いています。自己点検を持たないスクリプトも実行されますが、書き出しに失敗すればやはり0以外で終わります。自己点検を備えた24本は第3節1の表のとおりです。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0"/>
        </w:rPr>
        <w:t>本書についてのお尋ねは、受託者までお願いします。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