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游ゴシック" w:cs="游ゴシック" w:eastAsia="游ゴシック" w:hAnsi="游ゴシック"/>
          <w:b/>
          <w:bCs/>
          <w:sz w:val="40"/>
          <w:szCs w:val="40"/>
        </w:rPr>
        <w:t xml:space="preserve">宮城県水道料金体系統一化</w:t>
      </w:r>
    </w:p>
    <w:p>
      <w:pPr>
        <w:spacing w:after="200"/>
        <w:jc w:val="center"/>
      </w:pPr>
      <w:r>
        <w:rPr>
          <w:rFonts w:ascii="游ゴシック" w:cs="游ゴシック" w:eastAsia="游ゴシック" w:hAnsi="游ゴシック"/>
          <w:b/>
          <w:bCs/>
          <w:sz w:val="40"/>
          <w:szCs w:val="40"/>
        </w:rPr>
        <w:t xml:space="preserve">に関する検討報告書</w:t>
      </w:r>
    </w:p>
    <w:p>
      <w:pPr>
        <w:spacing w:after="200" w:before="400"/>
        <w:jc w:val="center"/>
      </w:pPr>
      <w:r>
        <w:rPr>
          <w:rFonts w:ascii="游ゴシック" w:cs="游ゴシック" w:eastAsia="游ゴシック" w:hAnsi="游ゴシック"/>
          <w:color w:val="555555"/>
          <w:sz w:val="24"/>
          <w:szCs w:val="24"/>
        </w:rPr>
        <w:t xml:space="preserve">― 県内臨海4団体の料金体系分析と</w:t>
      </w:r>
    </w:p>
    <w:p>
      <w:pPr>
        <w:spacing w:after="600"/>
        <w:jc w:val="center"/>
      </w:pPr>
      <w:r>
        <w:rPr>
          <w:rFonts w:ascii="游ゴシック" w:cs="游ゴシック" w:eastAsia="游ゴシック" w:hAnsi="游ゴシック"/>
          <w:color w:val="555555"/>
          <w:sz w:val="24"/>
          <w:szCs w:val="24"/>
        </w:rPr>
        <w:t xml:space="preserve">水産加工業への影響を踏まえた政策提言 ―</w:t>
      </w:r>
    </w:p>
    <w:p>
      <w:r>
        <w:t xml:space="preserve"/>
      </w:r>
    </w:p>
    <w:p>
      <w:r>
        <w:t xml:space="preserve"/>
      </w:r>
    </w:p>
    <w:p>
      <w:r>
        <w:t xml:space="preserve"/>
      </w:r>
    </w:p>
    <w:p>
      <w:pPr>
        <w:spacing w:after="200" w:before="1200"/>
        <w:jc w:val="center"/>
      </w:pPr>
      <w:r>
        <w:rPr>
          <w:rFonts w:ascii="游ゴシック" w:cs="游ゴシック" w:eastAsia="游ゴシック" w:hAnsi="游ゴシック"/>
          <w:b/>
          <w:bCs/>
          <w:color w:val="1F4E78"/>
          <w:sz w:val="22"/>
          <w:szCs w:val="22"/>
        </w:rPr>
        <w:t xml:space="preserve">対象団体</w:t>
      </w:r>
    </w:p>
    <w:p>
      <w:pPr>
        <w:spacing w:after="100"/>
        <w:jc w:val="center"/>
      </w:pPr>
      <w:r>
        <w:rPr>
          <w:rFonts w:ascii="游ゴシック" w:cs="游ゴシック" w:eastAsia="游ゴシック" w:hAnsi="游ゴシック"/>
          <w:sz w:val="22"/>
          <w:szCs w:val="22"/>
        </w:rPr>
        <w:t xml:space="preserve">女川町・気仙沼市・石巻地方広域水道企業団・塩竈市・南三陸町</w:t>
      </w:r>
    </w:p>
    <w:p>
      <w:r>
        <w:br w:type="page"/>
      </w:r>
    </w:p>
    <w:p>
      <w:pPr>
        <w:spacing w:after="200" w:before="200"/>
      </w:pPr>
      <w:r>
        <w:rPr>
          <w:rFonts w:ascii="游ゴシック" w:cs="游ゴシック" w:eastAsia="游ゴシック" w:hAnsi="游ゴシック"/>
          <w:b/>
          <w:bCs/>
          <w:color w:val="1F4E78"/>
          <w:sz w:val="32"/>
          <w:szCs w:val="32"/>
        </w:rPr>
        <w:t xml:space="preserve">目  次</w:t>
      </w:r>
    </w:p>
    <w:p>
      <w:r>
        <w:t xml:space="preserve"/>
      </w:r>
    </w:p>
    <w:p>
      <w:r>
        <w:rPr>
          <w:rFonts w:ascii="游ゴシック" w:cs="游ゴシック" w:eastAsia="游ゴシック" w:hAnsi="游ゴシック"/>
          <w:sz w:val="22"/>
          <w:szCs w:val="22"/>
        </w:rPr>
        <w:t xml:space="preserve">エグゼクティブサマリー …………………………………………………………… 3</w:t>
      </w:r>
    </w:p>
    <w:p>
      <w:r>
        <w:rPr>
          <w:rFonts w:ascii="游ゴシック" w:cs="游ゴシック" w:eastAsia="游ゴシック" w:hAnsi="游ゴシック"/>
          <w:sz w:val="22"/>
          <w:szCs w:val="22"/>
        </w:rPr>
        <w:t xml:space="preserve">第1章 検討の背景と目的 …………………………………………………………… 5</w:t>
      </w:r>
    </w:p>
    <w:p>
      <w:r>
        <w:rPr>
          <w:rFonts w:ascii="游ゴシック" w:cs="游ゴシック" w:eastAsia="游ゴシック" w:hAnsi="游ゴシック"/>
          <w:sz w:val="22"/>
          <w:szCs w:val="22"/>
        </w:rPr>
        <w:t xml:space="preserve">第2章 検討の進め方と方法論 ……………………………………………………… 6</w:t>
      </w:r>
    </w:p>
    <w:p>
      <w:r>
        <w:rPr>
          <w:rFonts w:ascii="游ゴシック" w:cs="游ゴシック" w:eastAsia="游ゴシック" w:hAnsi="游ゴシック"/>
          <w:sz w:val="22"/>
          <w:szCs w:val="22"/>
        </w:rPr>
        <w:t xml:space="preserve">第3章 県内臨海4団体の料金体系(確定版) ……………………………………… 7</w:t>
      </w:r>
    </w:p>
    <w:p>
      <w:r>
        <w:rPr>
          <w:rFonts w:ascii="游ゴシック" w:cs="游ゴシック" w:eastAsia="游ゴシック" w:hAnsi="游ゴシック"/>
          <w:sz w:val="22"/>
          <w:szCs w:val="22"/>
        </w:rPr>
        <w:t xml:space="preserve">第4章 料金水準の比較と構造分析(全国・県内位置づけ含む) ……………… 10</w:t>
      </w:r>
    </w:p>
    <w:p>
      <w:r>
        <w:rPr>
          <w:rFonts w:ascii="游ゴシック" w:cs="游ゴシック" w:eastAsia="游ゴシック" w:hAnsi="游ゴシック"/>
          <w:sz w:val="22"/>
          <w:szCs w:val="22"/>
        </w:rPr>
        <w:t xml:space="preserve">第5章 決定的発見 ― 塩竈市『生産用水用』区分 ……………………………… 14</w:t>
      </w:r>
    </w:p>
    <w:p>
      <w:r>
        <w:rPr>
          <w:rFonts w:ascii="游ゴシック" w:cs="游ゴシック" w:eastAsia="游ゴシック" w:hAnsi="游ゴシック"/>
          <w:sz w:val="22"/>
          <w:szCs w:val="22"/>
        </w:rPr>
        <w:t xml:space="preserve">第6章 水産加工業への影響定量化 ………………………………………………… 16</w:t>
      </w:r>
    </w:p>
    <w:p>
      <w:r>
        <w:rPr>
          <w:rFonts w:ascii="游ゴシック" w:cs="游ゴシック" w:eastAsia="游ゴシック" w:hAnsi="游ゴシック"/>
          <w:sz w:val="22"/>
          <w:szCs w:val="22"/>
        </w:rPr>
        <w:t xml:space="preserve">第7章 政策選択肢の評価 …………………………………………………………… 19</w:t>
      </w:r>
    </w:p>
    <w:p>
      <w:r>
        <w:rPr>
          <w:rFonts w:ascii="游ゴシック" w:cs="游ゴシック" w:eastAsia="游ゴシック" w:hAnsi="游ゴシック"/>
          <w:sz w:val="22"/>
          <w:szCs w:val="22"/>
        </w:rPr>
        <w:t xml:space="preserve">第8章 推奨政策パッケージ ………………………………………………………… 21</w:t>
      </w:r>
    </w:p>
    <w:p>
      <w:r>
        <w:rPr>
          <w:rFonts w:ascii="游ゴシック" w:cs="游ゴシック" w:eastAsia="游ゴシック" w:hAnsi="游ゴシック"/>
          <w:sz w:val="22"/>
          <w:szCs w:val="22"/>
        </w:rPr>
        <w:t xml:space="preserve">第9章 実施ロードマップ …………………………………………………………… 23</w:t>
      </w:r>
    </w:p>
    <w:p>
      <w:r>
        <w:rPr>
          <w:rFonts w:ascii="游ゴシック" w:cs="游ゴシック" w:eastAsia="游ゴシック" w:hAnsi="游ゴシック"/>
          <w:sz w:val="22"/>
          <w:szCs w:val="22"/>
        </w:rPr>
        <w:t xml:space="preserve">第10章 残された課題と次のアクション ………………………………………… 24</w:t>
      </w:r>
    </w:p>
    <w:p>
      <w:r>
        <w:rPr>
          <w:rFonts w:ascii="游ゴシック" w:cs="游ゴシック" w:eastAsia="游ゴシック" w:hAnsi="游ゴシック"/>
          <w:sz w:val="22"/>
          <w:szCs w:val="22"/>
        </w:rPr>
        <w:t xml:space="preserve">参考資料・出典一覧 ………………………………………………………………… 25</w:t>
      </w:r>
    </w:p>
    <w:p>
      <w:r>
        <w:br w:type="page"/>
      </w:r>
    </w:p>
    <w:p>
      <w:pPr>
        <w:pStyle w:val="Heading1"/>
      </w:pPr>
      <w:r>
        <w:rPr>
          <w:rFonts w:ascii="游ゴシック" w:cs="游ゴシック" w:eastAsia="游ゴシック" w:hAnsi="游ゴシック"/>
        </w:rPr>
        <w:t xml:space="preserve">エグゼクティブサマリー</w:t>
      </w:r>
    </w:p>
    <w:p>
      <w:pPr>
        <w:spacing w:after="60" w:before="60" w:line="340"/>
        <w:jc w:val="left"/>
      </w:pPr>
      <w:r>
        <w:rPr>
          <w:rFonts w:ascii="游明朝" w:cs="游明朝" w:eastAsia="游明朝" w:hAnsi="游明朝"/>
          <w:b w:val="false"/>
          <w:bCs w:val="false"/>
          <w:color w:val="000000"/>
          <w:sz w:val="22"/>
          <w:szCs w:val="22"/>
        </w:rPr>
        <w:t xml:space="preserve">宮城県内の水道料金体系統一化に向けて、県内臨海水産加工業を主要産業とする5団体(女川町・気仙沼市・石巻地方広域水道企業団・塩竈市・南三陸町)の料金体系を詳細に分析した。本検討は条例別表・公式早見表に基づく逆算検証を経て、料金構造の精緻な比較と水産加工業への定量的影響評価を実施したものである。</w:t>
      </w:r>
    </w:p>
    <w:p>
      <w:r>
        <w:t xml:space="preserve"/>
      </w:r>
    </w:p>
    <w:p>
      <w:pPr>
        <w:spacing w:after="60" w:before="60" w:line="340"/>
        <w:jc w:val="left"/>
      </w:pPr>
      <w:r>
        <w:rPr>
          <w:rFonts w:ascii="游明朝" w:cs="游明朝" w:eastAsia="游明朝" w:hAnsi="游明朝"/>
          <w:b/>
          <w:bCs/>
          <w:color w:val="000000"/>
          <w:sz w:val="24"/>
          <w:szCs w:val="24"/>
        </w:rPr>
        <w:t xml:space="preserve">主要な発見</w:t>
      </w:r>
    </w:p>
    <w:p>
      <w:pPr>
        <w:pStyle w:val="ListParagraph"/>
        <w:numPr>
          <w:ilvl w:val="0"/>
          <w:numId w:val="2"/>
        </w:numPr>
        <w:spacing w:after="40" w:before="40" w:line="320"/>
      </w:pPr>
      <w:r>
        <w:rPr>
          <w:rFonts w:ascii="游明朝" w:cs="游明朝" w:eastAsia="游明朝" w:hAnsi="游明朝"/>
          <w:sz w:val="22"/>
          <w:szCs w:val="22"/>
        </w:rPr>
        <w:t xml:space="preserve">【発見1】女川町の現行料金は他3団体の約1/3水準。大口使用者(1,000㎥/月以上)で顕著な格差が存在</w:t>
      </w:r>
    </w:p>
    <w:p>
      <w:pPr>
        <w:pStyle w:val="ListParagraph"/>
        <w:numPr>
          <w:ilvl w:val="0"/>
          <w:numId w:val="2"/>
        </w:numPr>
        <w:spacing w:after="40" w:before="40" w:line="320"/>
      </w:pPr>
      <w:r>
        <w:rPr>
          <w:rFonts w:ascii="游明朝" w:cs="游明朝" w:eastAsia="游明朝" w:hAnsi="游明朝"/>
          <w:sz w:val="22"/>
          <w:szCs w:val="22"/>
        </w:rPr>
        <w:t xml:space="preserve">【発見2】料金体系の単純統一は、女川町水産加工業に+190%超の壊滅的負担増を強いる(他3団体は±10%以内)</w:t>
      </w:r>
    </w:p>
    <w:p>
      <w:pPr>
        <w:pStyle w:val="ListParagraph"/>
        <w:numPr>
          <w:ilvl w:val="0"/>
          <w:numId w:val="2"/>
        </w:numPr>
        <w:spacing w:after="40" w:before="40" w:line="320"/>
      </w:pPr>
      <w:r>
        <w:rPr>
          <w:rFonts w:ascii="游明朝" w:cs="游明朝" w:eastAsia="游明朝" w:hAnsi="游明朝"/>
          <w:sz w:val="22"/>
          <w:szCs w:val="22"/>
        </w:rPr>
        <w:t xml:space="preserve">【発見3】塩竈市には既に『生産用水用』区分(105円/㎥)があり、女川町の逓減制と実質同水準の産業用優遇を提供している。『産業用優遇は女川町固有』という前提は誤り</w:t>
      </w:r>
    </w:p>
    <w:p>
      <w:pPr>
        <w:pStyle w:val="ListParagraph"/>
        <w:numPr>
          <w:ilvl w:val="0"/>
          <w:numId w:val="2"/>
        </w:numPr>
        <w:spacing w:after="40" w:before="40" w:line="320"/>
      </w:pPr>
      <w:r>
        <w:rPr>
          <w:rFonts w:ascii="游明朝" w:cs="游明朝" w:eastAsia="游明朝" w:hAnsi="游明朝"/>
          <w:sz w:val="22"/>
          <w:szCs w:val="22"/>
        </w:rPr>
        <w:t xml:space="preserve">【発見4】『塩竈モデル(生産用水用区分の全県導入)』により、女川町の水産加工業の負担増を+3%程度に抑制可能</w:t>
      </w:r>
    </w:p>
    <w:p>
      <w:r>
        <w:t xml:space="preserve"/>
      </w:r>
    </w:p>
    <w:p>
      <w:pPr>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09875"/>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 政策シナリオ別の影響比較 ― 塩竈モデルは単純統一と比べて+192%→+3%の劇的な緩和効果</w:t>
      </w:r>
    </w:p>
    <w:p>
      <w:r>
        <w:t xml:space="preserve"/>
      </w:r>
    </w:p>
    <w:p>
      <w:pPr>
        <w:spacing w:after="60" w:before="60" w:line="340"/>
        <w:jc w:val="left"/>
      </w:pPr>
      <w:r>
        <w:rPr>
          <w:rFonts w:ascii="游明朝" w:cs="游明朝" w:eastAsia="游明朝" w:hAnsi="游明朝"/>
          <w:b/>
          <w:bCs/>
          <w:color w:val="000000"/>
          <w:sz w:val="24"/>
          <w:szCs w:val="24"/>
        </w:rPr>
        <w:t xml:space="preserve">推奨政策(複合アプローチ)</w:t>
      </w:r>
    </w:p>
    <w:p>
      <w:pPr>
        <w:pStyle w:val="ListParagraph"/>
        <w:numPr>
          <w:ilvl w:val="0"/>
          <w:numId w:val="2"/>
        </w:numPr>
        <w:spacing w:after="40" w:before="40" w:line="320"/>
      </w:pPr>
      <w:r>
        <w:rPr>
          <w:rFonts w:ascii="游明朝" w:cs="游明朝" w:eastAsia="游明朝" w:hAnsi="游明朝"/>
          <w:sz w:val="22"/>
          <w:szCs w:val="22"/>
        </w:rPr>
        <w:t xml:space="preserve">塩竈市『生産用水用』区分(105円/㎥)を統一料金体系に組み込み、県内水産加工業の安定的事業継続を担保</w:t>
      </w:r>
    </w:p>
    <w:p>
      <w:pPr>
        <w:pStyle w:val="ListParagraph"/>
        <w:numPr>
          <w:ilvl w:val="0"/>
          <w:numId w:val="2"/>
        </w:numPr>
        <w:spacing w:after="40" w:before="40" w:line="320"/>
      </w:pPr>
      <w:r>
        <w:rPr>
          <w:rFonts w:ascii="游明朝" w:cs="游明朝" w:eastAsia="游明朝" w:hAnsi="游明朝"/>
          <w:sz w:val="22"/>
          <w:szCs w:val="22"/>
        </w:rPr>
        <w:t xml:space="preserve">女川町には追加的に10年間の経過措置を適用し、激変緩和を実施</w:t>
      </w:r>
    </w:p>
    <w:p>
      <w:pPr>
        <w:pStyle w:val="ListParagraph"/>
        <w:numPr>
          <w:ilvl w:val="0"/>
          <w:numId w:val="2"/>
        </w:numPr>
        <w:spacing w:after="40" w:before="40" w:line="320"/>
      </w:pPr>
      <w:r>
        <w:rPr>
          <w:rFonts w:ascii="游明朝" w:cs="游明朝" w:eastAsia="游明朝" w:hAnsi="游明朝"/>
          <w:sz w:val="22"/>
          <w:szCs w:val="22"/>
        </w:rPr>
        <w:t xml:space="preserve">広域化推進交付金等を財源とした節水・水再利用設備導入補助を併設し、長期的な料金負担抑制を支援</w:t>
      </w:r>
    </w:p>
    <w:p>
      <w:pPr>
        <w:pStyle w:val="ListParagraph"/>
        <w:numPr>
          <w:ilvl w:val="0"/>
          <w:numId w:val="2"/>
        </w:numPr>
        <w:spacing w:after="40" w:before="40" w:line="320"/>
      </w:pPr>
      <w:r>
        <w:rPr>
          <w:rFonts w:ascii="游明朝" w:cs="游明朝" w:eastAsia="游明朝" w:hAnsi="游明朝"/>
          <w:sz w:val="22"/>
          <w:szCs w:val="22"/>
        </w:rPr>
        <w:t xml:space="preserve">条例上で『県内水産加工業振興特別料金』として制度化し、対象業種・使用量の認定基準を明確化</w:t>
      </w:r>
    </w:p>
    <w:p>
      <w:r>
        <w:t xml:space="preserve"/>
      </w:r>
    </w:p>
    <w:p>
      <w:pPr>
        <w:spacing w:after="60" w:before="60" w:line="340"/>
        <w:jc w:val="left"/>
      </w:pPr>
      <w:r>
        <w:rPr>
          <w:rFonts w:ascii="游明朝" w:cs="游明朝" w:eastAsia="游明朝" w:hAnsi="游明朝"/>
          <w:b/>
          <w:bCs/>
          <w:color w:val="000000"/>
          <w:sz w:val="22"/>
          <w:szCs w:val="22"/>
        </w:rPr>
        <w:t xml:space="preserve">4団体の年額影響(推奨政策適用後)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900"/>
        <w:gridCol w:w="2560"/>
      </w:tblGrid>
      <w:tr>
        <w:tc>
          <w:tcPr>
            <w:tcW w:type="dxa" w:w="17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団体</w:t>
            </w:r>
          </w:p>
        </w:tc>
        <w:tc>
          <w:tcPr>
            <w:tcW w:type="dxa" w:w="13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社数(想定)</w:t>
            </w:r>
          </w:p>
        </w:tc>
        <w:tc>
          <w:tcPr>
            <w:tcW w:type="dxa" w:w="19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現行年額</w:t>
            </w:r>
          </w:p>
        </w:tc>
        <w:tc>
          <w:tcPr>
            <w:tcW w:type="dxa" w:w="19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塩竈モデル後</w:t>
            </w:r>
          </w:p>
        </w:tc>
        <w:tc>
          <w:tcPr>
            <w:tcW w:type="dxa" w:w="256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差額(変化率)</w:t>
            </w:r>
          </w:p>
        </w:tc>
      </w:tr>
      <w:tr>
        <w:tc>
          <w:tcPr>
            <w:tcW w:type="dxa" w:w="1700"/>
            <w:tcBorders>
              <w:top w:val="single" w:color="999999" w:sz="4"/>
              <w:left w:val="single" w:color="999999" w:sz="4"/>
              <w:bottom w:val="single" w:color="999999" w:sz="4"/>
              <w:right w:val="single" w:color="999999" w:sz="4"/>
            </w:tcBorders>
            <w:shd w:fill="E2EFDA" w:val="clear"/>
            <w:tcMar/>
          </w:tcPr>
          <w:p>
            <w:pPr>
              <w:jc w:val="left"/>
            </w:pPr>
            <w:r>
              <w:rPr>
                <w:rFonts w:ascii="游ゴシック" w:cs="游ゴシック" w:eastAsia="游ゴシック" w:hAnsi="游ゴシック"/>
                <w:b/>
                <w:bCs/>
                <w:color w:val="000000"/>
                <w:sz w:val="17"/>
                <w:szCs w:val="17"/>
              </w:rPr>
              <w:t xml:space="preserve">女川町</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19社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0.43億円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0.44億円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+0.02億円(+4.0%)</w:t>
            </w:r>
          </w:p>
        </w:tc>
      </w:tr>
      <w:tr>
        <w:tc>
          <w:tcPr>
            <w:tcW w:type="dxa" w:w="17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気仙沼市</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120社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8.34億円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2.80億円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-5.54億円(-66.4%)</w:t>
            </w:r>
          </w:p>
        </w:tc>
      </w:tr>
      <w:tr>
        <w:tc>
          <w:tcPr>
            <w:tcW w:type="dxa" w:w="17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石巻広域</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180社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12.99億円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4.20億円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-8.79億円(-67.6%)</w:t>
            </w:r>
          </w:p>
        </w:tc>
      </w:tr>
      <w:tr>
        <w:tc>
          <w:tcPr>
            <w:tcW w:type="dxa" w:w="17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塩竈市</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90社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5.96億円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2.10億円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-3.86億円(-64.8%)</w:t>
            </w:r>
          </w:p>
        </w:tc>
      </w:tr>
    </w:tbl>
    <w:p>
      <w:r>
        <w:t xml:space="preserve"/>
      </w:r>
    </w:p>
    <w:p>
      <w:pPr>
        <w:spacing w:after="60" w:before="60" w:line="340"/>
        <w:jc w:val="left"/>
      </w:pPr>
      <w:r>
        <w:rPr>
          <w:rFonts w:ascii="游明朝" w:cs="游明朝" w:eastAsia="游明朝" w:hAnsi="游明朝"/>
          <w:b w:val="false"/>
          <w:bCs w:val="false"/>
          <w:color w:val="555555"/>
          <w:sz w:val="22"/>
          <w:szCs w:val="22"/>
        </w:rPr>
        <w:t xml:space="preserve">※ 上記は『塩竈モデル=生産用水用区分を全県全水産加工業者に適用』した場合の試算。実際の制度設計では適用基準(月間使用量下限、業種指定)による絞り込みが必要。</w:t>
      </w:r>
    </w:p>
    <w:p>
      <w:r>
        <w:t xml:space="preserve"/>
      </w:r>
    </w:p>
    <w:p>
      <w:pPr>
        <w:spacing w:after="60" w:before="60" w:line="340"/>
        <w:jc w:val="left"/>
      </w:pPr>
      <w:r>
        <w:rPr>
          <w:rFonts w:ascii="游明朝" w:cs="游明朝" w:eastAsia="游明朝" w:hAnsi="游明朝"/>
          <w:b/>
          <w:bCs/>
          <w:color w:val="000000"/>
          <w:sz w:val="24"/>
          <w:szCs w:val="24"/>
        </w:rPr>
        <w:t xml:space="preserve">本報告書の構成</w:t>
      </w:r>
    </w:p>
    <w:p>
      <w:pPr>
        <w:spacing w:after="60" w:before="60" w:line="340"/>
        <w:jc w:val="left"/>
      </w:pPr>
      <w:r>
        <w:rPr>
          <w:rFonts w:ascii="游明朝" w:cs="游明朝" w:eastAsia="游明朝" w:hAnsi="游明朝"/>
          <w:b w:val="false"/>
          <w:bCs w:val="false"/>
          <w:color w:val="000000"/>
          <w:sz w:val="22"/>
          <w:szCs w:val="22"/>
        </w:rPr>
        <w:t xml:space="preserve">第1~2章で検討の背景と方法論を、第3~5章で4団体の料金体系の詳細分析結果を提示する。第6章で水産加工業への定量的影響を試算し、第7章で政策選択肢を評価する。第8~9章で推奨政策パッケージと実施ロードマップを提案し、第10章で残された検討課題を整理する。</w:t>
      </w:r>
    </w:p>
    <w:p>
      <w:r>
        <w:br w:type="page"/>
      </w:r>
    </w:p>
    <w:p>
      <w:pPr>
        <w:pStyle w:val="Heading1"/>
      </w:pPr>
      <w:r>
        <w:rPr>
          <w:rFonts w:ascii="游ゴシック" w:cs="游ゴシック" w:eastAsia="游ゴシック" w:hAnsi="游ゴシック"/>
        </w:rPr>
        <w:t xml:space="preserve">第1章 検討の背景と目的</w:t>
      </w:r>
    </w:p>
    <w:p>
      <w:pPr>
        <w:pStyle w:val="Heading2"/>
      </w:pPr>
      <w:r>
        <w:rPr>
          <w:rFonts w:ascii="游ゴシック" w:cs="游ゴシック" w:eastAsia="游ゴシック" w:hAnsi="游ゴシック"/>
        </w:rPr>
        <w:t xml:space="preserve">1.1 背景</w:t>
      </w:r>
    </w:p>
    <w:p>
      <w:pPr>
        <w:spacing w:after="60" w:before="60" w:line="340"/>
        <w:jc w:val="left"/>
      </w:pPr>
      <w:r>
        <w:rPr>
          <w:rFonts w:ascii="游明朝" w:cs="游明朝" w:eastAsia="游明朝" w:hAnsi="游明朝"/>
          <w:b w:val="false"/>
          <w:bCs w:val="false"/>
          <w:color w:val="000000"/>
          <w:sz w:val="22"/>
          <w:szCs w:val="22"/>
        </w:rPr>
        <w:t xml:space="preserve">水道事業は、人口減少・施設老朽化・職員確保困難という構造的課題に直面しており、宮城県でも広域連携・統合の検討が進められている。県内では既に石巻地方広域水道企業団(石巻市・東松島市)、仙南・仙塩広域水道(用水供給事業)等の広域化事例があるが、料金体系の全県統一には至っていない。</w:t>
      </w:r>
    </w:p>
    <w:p>
      <w:r>
        <w:t xml:space="preserve"/>
      </w:r>
    </w:p>
    <w:p>
      <w:pPr>
        <w:spacing w:after="60" w:before="60" w:line="340"/>
        <w:jc w:val="left"/>
      </w:pPr>
      <w:r>
        <w:rPr>
          <w:rFonts w:ascii="游明朝" w:cs="游明朝" w:eastAsia="游明朝" w:hAnsi="游明朝"/>
          <w:b w:val="false"/>
          <w:bCs w:val="false"/>
          <w:color w:val="000000"/>
          <w:sz w:val="22"/>
          <w:szCs w:val="22"/>
        </w:rPr>
        <w:t xml:space="preserve">料金統一化の議論は『公平性の確保』『収益基盤の安定化』『効率化による料金抑制』という観点から進められるが、各団体ごとの料金体系の歴史的経緯・産業構造への配慮を反映した個別設計があるため、単純な平均化では地域経済への影響が大きい場合がある。</w:t>
      </w:r>
    </w:p>
    <w:p>
      <w:r>
        <w:t xml:space="preserve"/>
      </w:r>
    </w:p>
    <w:p>
      <w:pPr>
        <w:pStyle w:val="Heading2"/>
      </w:pPr>
      <w:r>
        <w:rPr>
          <w:rFonts w:ascii="游ゴシック" w:cs="游ゴシック" w:eastAsia="游ゴシック" w:hAnsi="游ゴシック"/>
        </w:rPr>
        <w:t xml:space="preserve">1.2 検討対象と目的</w:t>
      </w:r>
    </w:p>
    <w:p>
      <w:pPr>
        <w:spacing w:after="60" w:before="60" w:line="340"/>
        <w:jc w:val="left"/>
      </w:pPr>
      <w:r>
        <w:rPr>
          <w:rFonts w:ascii="游明朝" w:cs="游明朝" w:eastAsia="游明朝" w:hAnsi="游明朝"/>
          <w:b w:val="false"/>
          <w:bCs w:val="false"/>
          <w:color w:val="000000"/>
          <w:sz w:val="22"/>
          <w:szCs w:val="22"/>
        </w:rPr>
        <w:t xml:space="preserve">本検討は、宮城県沿岸部の水産加工業集積地域における水道料金統一化の影響を、以下の観点から定量的・構造的に評価することを目的とする。</w:t>
      </w:r>
    </w:p>
    <w:p>
      <w:pPr>
        <w:pStyle w:val="ListParagraph"/>
        <w:numPr>
          <w:ilvl w:val="0"/>
          <w:numId w:val="2"/>
        </w:numPr>
        <w:spacing w:after="40" w:before="40" w:line="320"/>
      </w:pPr>
      <w:r>
        <w:rPr>
          <w:rFonts w:ascii="游明朝" w:cs="游明朝" w:eastAsia="游明朝" w:hAnsi="游明朝"/>
          <w:sz w:val="22"/>
          <w:szCs w:val="22"/>
        </w:rPr>
        <w:t xml:space="preserve">対象団体: 女川町、気仙沼市、石巻地方広域水道企業団、塩竈市、南三陸町</w:t>
      </w:r>
    </w:p>
    <w:p>
      <w:pPr>
        <w:pStyle w:val="ListParagraph"/>
        <w:numPr>
          <w:ilvl w:val="0"/>
          <w:numId w:val="2"/>
        </w:numPr>
        <w:spacing w:after="40" w:before="40" w:line="320"/>
      </w:pPr>
      <w:r>
        <w:rPr>
          <w:rFonts w:ascii="游明朝" w:cs="游明朝" w:eastAsia="游明朝" w:hAnsi="游明朝"/>
          <w:sz w:val="22"/>
          <w:szCs w:val="22"/>
        </w:rPr>
        <w:t xml:space="preserve">対象産業: 水産加工業(各団体の基幹産業の一つ)</w:t>
      </w:r>
    </w:p>
    <w:p>
      <w:pPr>
        <w:pStyle w:val="ListParagraph"/>
        <w:numPr>
          <w:ilvl w:val="0"/>
          <w:numId w:val="2"/>
        </w:numPr>
        <w:spacing w:after="40" w:before="40" w:line="320"/>
      </w:pPr>
      <w:r>
        <w:rPr>
          <w:rFonts w:ascii="游明朝" w:cs="游明朝" w:eastAsia="游明朝" w:hAnsi="游明朝"/>
          <w:sz w:val="22"/>
          <w:szCs w:val="22"/>
        </w:rPr>
        <w:t xml:space="preserve">分析範囲: 現行料金体系の詳細比較、統一化シナリオの影響定量化、政策オプションの評価</w:t>
      </w:r>
    </w:p>
    <w:p>
      <w:pPr>
        <w:pStyle w:val="ListParagraph"/>
        <w:numPr>
          <w:ilvl w:val="0"/>
          <w:numId w:val="2"/>
        </w:numPr>
        <w:spacing w:after="40" w:before="40" w:line="320"/>
      </w:pPr>
      <w:r>
        <w:rPr>
          <w:rFonts w:ascii="游明朝" w:cs="游明朝" w:eastAsia="游明朝" w:hAnsi="游明朝"/>
          <w:sz w:val="22"/>
          <w:szCs w:val="22"/>
        </w:rPr>
        <w:t xml:space="preserve">成果物: 政策決定者・関係団体への提言を含む統合報告書</w:t>
      </w:r>
    </w:p>
    <w:p>
      <w:r>
        <w:t xml:space="preserve"/>
      </w:r>
    </w:p>
    <w:p>
      <w:pPr>
        <w:pStyle w:val="Heading2"/>
      </w:pPr>
      <w:r>
        <w:rPr>
          <w:rFonts w:ascii="游ゴシック" w:cs="游ゴシック" w:eastAsia="游ゴシック" w:hAnsi="游ゴシック"/>
        </w:rPr>
        <w:t xml:space="preserve">1.3 出発点としての問題意識</w:t>
      </w:r>
    </w:p>
    <w:p>
      <w:pPr>
        <w:spacing w:after="60" w:before="60" w:line="340"/>
        <w:jc w:val="left"/>
      </w:pPr>
      <w:r>
        <w:rPr>
          <w:rFonts w:ascii="游明朝" w:cs="游明朝" w:eastAsia="游明朝" w:hAnsi="游明朝"/>
          <w:b w:val="false"/>
          <w:bCs w:val="false"/>
          <w:color w:val="000000"/>
          <w:sz w:val="22"/>
          <w:szCs w:val="22"/>
        </w:rPr>
        <w:t xml:space="preserve">本検討の出発点は『女川町は県内唯一の逓減制を採用しており、水産加工業に有利な料金体系を持つ。これを単純統一すると女川町の産業に深刻な影響が出るのではないか』という仮説であった。検討の進行に伴い、この仮説は部分的に検証されると同時に、新たな発見(他団体にも類似の優遇制度が存在)も得られ、最終的により実現可能性の高い政策パッケージの提案に至った。</w:t>
      </w:r>
    </w:p>
    <w:p>
      <w:r>
        <w:br w:type="page"/>
      </w:r>
    </w:p>
    <w:p>
      <w:pPr>
        <w:pStyle w:val="Heading1"/>
      </w:pPr>
      <w:r>
        <w:rPr>
          <w:rFonts w:ascii="游ゴシック" w:cs="游ゴシック" w:eastAsia="游ゴシック" w:hAnsi="游ゴシック"/>
        </w:rPr>
        <w:t xml:space="preserve">第2章 検討の進め方と方法論</w:t>
      </w:r>
    </w:p>
    <w:p>
      <w:pPr>
        <w:pStyle w:val="Heading2"/>
      </w:pPr>
      <w:r>
        <w:rPr>
          <w:rFonts w:ascii="游ゴシック" w:cs="游ゴシック" w:eastAsia="游ゴシック" w:hAnsi="游ゴシック"/>
        </w:rPr>
        <w:t xml:space="preserve">2.1 検討のステップ</w:t>
      </w:r>
    </w:p>
    <w:p>
      <w:pPr>
        <w:spacing w:after="60" w:before="60" w:line="340"/>
        <w:jc w:val="left"/>
      </w:pPr>
      <w:r>
        <w:rPr>
          <w:rFonts w:ascii="游明朝" w:cs="游明朝" w:eastAsia="游明朝" w:hAnsi="游明朝"/>
          <w:b w:val="false"/>
          <w:bCs w:val="false"/>
          <w:color w:val="000000"/>
          <w:sz w:val="22"/>
          <w:szCs w:val="22"/>
        </w:rPr>
        <w:t xml:space="preserve">本検討は以下の段階的アプローチで実施した。</w:t>
      </w:r>
    </w:p>
    <w:p>
      <w:pPr>
        <w:pStyle w:val="ListParagraph"/>
        <w:numPr>
          <w:ilvl w:val="0"/>
          <w:numId w:val="2"/>
        </w:numPr>
        <w:spacing w:after="40" w:before="40" w:line="320"/>
      </w:pPr>
      <w:r>
        <w:rPr>
          <w:rFonts w:ascii="游明朝" w:cs="游明朝" w:eastAsia="游明朝" w:hAnsi="游明朝"/>
          <w:sz w:val="22"/>
          <w:szCs w:val="22"/>
        </w:rPr>
        <w:t xml:space="preserve">ステップ1: 県全体の現行料金体系区分の俯瞰調査</w:t>
      </w:r>
    </w:p>
    <w:p>
      <w:pPr>
        <w:pStyle w:val="ListParagraph"/>
        <w:numPr>
          <w:ilvl w:val="0"/>
          <w:numId w:val="2"/>
        </w:numPr>
        <w:spacing w:after="40" w:before="40" w:line="320"/>
      </w:pPr>
      <w:r>
        <w:rPr>
          <w:rFonts w:ascii="游明朝" w:cs="游明朝" w:eastAsia="游明朝" w:hAnsi="游明朝"/>
          <w:sz w:val="22"/>
          <w:szCs w:val="22"/>
        </w:rPr>
        <w:t xml:space="preserve">ステップ2: 女川町を起点とした個別団体の料金構造特定</w:t>
      </w:r>
    </w:p>
    <w:p>
      <w:pPr>
        <w:pStyle w:val="ListParagraph"/>
        <w:numPr>
          <w:ilvl w:val="0"/>
          <w:numId w:val="2"/>
        </w:numPr>
        <w:spacing w:after="40" w:before="40" w:line="320"/>
      </w:pPr>
      <w:r>
        <w:rPr>
          <w:rFonts w:ascii="游明朝" w:cs="游明朝" w:eastAsia="游明朝" w:hAnsi="游明朝"/>
          <w:sz w:val="22"/>
          <w:szCs w:val="22"/>
        </w:rPr>
        <w:t xml:space="preserve">ステップ3: 水産加工業への影響の予備試算</w:t>
      </w:r>
    </w:p>
    <w:p>
      <w:pPr>
        <w:pStyle w:val="ListParagraph"/>
        <w:numPr>
          <w:ilvl w:val="0"/>
          <w:numId w:val="2"/>
        </w:numPr>
        <w:spacing w:after="40" w:before="40" w:line="320"/>
      </w:pPr>
      <w:r>
        <w:rPr>
          <w:rFonts w:ascii="游明朝" w:cs="游明朝" w:eastAsia="游明朝" w:hAnsi="游明朝"/>
          <w:sz w:val="22"/>
          <w:szCs w:val="22"/>
        </w:rPr>
        <w:t xml:space="preserve">ステップ4: 県内他臨海団体への横展開と比較</w:t>
      </w:r>
    </w:p>
    <w:p>
      <w:pPr>
        <w:pStyle w:val="ListParagraph"/>
        <w:numPr>
          <w:ilvl w:val="0"/>
          <w:numId w:val="2"/>
        </w:numPr>
        <w:spacing w:after="40" w:before="40" w:line="320"/>
      </w:pPr>
      <w:r>
        <w:rPr>
          <w:rFonts w:ascii="游明朝" w:cs="游明朝" w:eastAsia="游明朝" w:hAnsi="游明朝"/>
          <w:sz w:val="22"/>
          <w:szCs w:val="22"/>
        </w:rPr>
        <w:t xml:space="preserve">ステップ5: 各団体の料金詳細の確定(条例・早見表逆算検証)</w:t>
      </w:r>
    </w:p>
    <w:p>
      <w:pPr>
        <w:pStyle w:val="ListParagraph"/>
        <w:numPr>
          <w:ilvl w:val="0"/>
          <w:numId w:val="2"/>
        </w:numPr>
        <w:spacing w:after="40" w:before="40" w:line="320"/>
      </w:pPr>
      <w:r>
        <w:rPr>
          <w:rFonts w:ascii="游明朝" w:cs="游明朝" w:eastAsia="游明朝" w:hAnsi="游明朝"/>
          <w:sz w:val="22"/>
          <w:szCs w:val="22"/>
        </w:rPr>
        <w:t xml:space="preserve">ステップ6: 統合的な政策提案の作成(本報告書)</w:t>
      </w:r>
    </w:p>
    <w:p>
      <w:r>
        <w:t xml:space="preserve"/>
      </w:r>
    </w:p>
    <w:p>
      <w:pPr>
        <w:pStyle w:val="Heading2"/>
      </w:pPr>
      <w:r>
        <w:rPr>
          <w:rFonts w:ascii="游ゴシック" w:cs="游ゴシック" w:eastAsia="游ゴシック" w:hAnsi="游ゴシック"/>
        </w:rPr>
        <w:t xml:space="preserve">2.2 データ収集の方法</w:t>
      </w:r>
    </w:p>
    <w:p>
      <w:pPr>
        <w:spacing w:after="60" w:before="60" w:line="340"/>
        <w:jc w:val="left"/>
      </w:pPr>
      <w:r>
        <w:rPr>
          <w:rFonts w:ascii="游明朝" w:cs="游明朝" w:eastAsia="游明朝" w:hAnsi="游明朝"/>
          <w:b w:val="false"/>
          <w:bCs w:val="false"/>
          <w:color w:val="000000"/>
          <w:sz w:val="22"/>
          <w:szCs w:val="22"/>
        </w:rPr>
        <w:t xml:space="preserve">各団体の料金体系は、以下の公表資料から取得・検証した。</w:t>
      </w:r>
    </w:p>
    <w:p>
      <w:pPr>
        <w:pStyle w:val="ListParagraph"/>
        <w:numPr>
          <w:ilvl w:val="0"/>
          <w:numId w:val="2"/>
        </w:numPr>
        <w:spacing w:after="40" w:before="40" w:line="320"/>
      </w:pPr>
      <w:r>
        <w:rPr>
          <w:rFonts w:ascii="游明朝" w:cs="游明朝" w:eastAsia="游明朝" w:hAnsi="游明朝"/>
          <w:sz w:val="22"/>
          <w:szCs w:val="22"/>
        </w:rPr>
        <w:t xml:space="preserve">条例本文・別表(各団体の例規集または公式ウェブサイト)</w:t>
      </w:r>
    </w:p>
    <w:p>
      <w:pPr>
        <w:pStyle w:val="ListParagraph"/>
        <w:numPr>
          <w:ilvl w:val="0"/>
          <w:numId w:val="2"/>
        </w:numPr>
        <w:spacing w:after="40" w:before="40" w:line="320"/>
      </w:pPr>
      <w:r>
        <w:rPr>
          <w:rFonts w:ascii="游明朝" w:cs="游明朝" w:eastAsia="游明朝" w:hAnsi="游明朝"/>
          <w:sz w:val="22"/>
          <w:szCs w:val="22"/>
        </w:rPr>
        <w:t xml:space="preserve">公式早見表PDF(全口径・全水量について逆算検証可能なもの)</w:t>
      </w:r>
    </w:p>
    <w:p>
      <w:pPr>
        <w:pStyle w:val="ListParagraph"/>
        <w:numPr>
          <w:ilvl w:val="0"/>
          <w:numId w:val="2"/>
        </w:numPr>
        <w:spacing w:after="40" w:before="40" w:line="320"/>
      </w:pPr>
      <w:r>
        <w:rPr>
          <w:rFonts w:ascii="游明朝" w:cs="游明朝" w:eastAsia="游明朝" w:hAnsi="游明朝"/>
          <w:sz w:val="22"/>
          <w:szCs w:val="22"/>
        </w:rPr>
        <w:t xml:space="preserve">公式計算例(計算ロジックを直接示すもの)</w:t>
      </w:r>
    </w:p>
    <w:p>
      <w:r>
        <w:t xml:space="preserve"/>
      </w:r>
    </w:p>
    <w:p>
      <w:pPr>
        <w:spacing w:after="60" w:before="60" w:line="340"/>
        <w:jc w:val="left"/>
      </w:pPr>
      <w:r>
        <w:rPr>
          <w:rFonts w:ascii="游明朝" w:cs="游明朝" w:eastAsia="游明朝" w:hAnsi="游明朝"/>
          <w:b w:val="false"/>
          <w:bCs w:val="false"/>
          <w:color w:val="000000"/>
          <w:sz w:val="22"/>
          <w:szCs w:val="22"/>
        </w:rPr>
        <w:t xml:space="preserve">料金構造の精度確認のため、各団体の早見表データを用いた『逆算検証』を実施した。これは、想定する料金式から算出した値が公表値と1円も違わず一致することを多数のサンプル(13~16サンプル)で確認する手法であり、本検討では気仙沼市・石巻広域・塩竈市について全件一致を達成した。</w:t>
      </w:r>
    </w:p>
    <w:p>
      <w:r>
        <w:t xml:space="preserve"/>
      </w:r>
    </w:p>
    <w:p>
      <w:pPr>
        <w:pStyle w:val="Heading2"/>
      </w:pPr>
      <w:r>
        <w:rPr>
          <w:rFonts w:ascii="游ゴシック" w:cs="游ゴシック" w:eastAsia="游ゴシック" w:hAnsi="游ゴシック"/>
        </w:rPr>
        <w:t xml:space="preserve">2.3 影響試算の前提</w:t>
      </w:r>
    </w:p>
    <w:p>
      <w:pPr>
        <w:spacing w:after="60" w:before="60" w:line="340"/>
        <w:jc w:val="left"/>
      </w:pPr>
      <w:r>
        <w:rPr>
          <w:rFonts w:ascii="游明朝" w:cs="游明朝" w:eastAsia="游明朝" w:hAnsi="游明朝"/>
          <w:b w:val="false"/>
          <w:bCs w:val="false"/>
          <w:color w:val="000000"/>
          <w:sz w:val="22"/>
          <w:szCs w:val="22"/>
        </w:rPr>
        <w:t xml:space="preserve">水産加工業者の規模分布は以下のように想定した(女川町水産加工団地19社の構成を典型例とし、他団体には同分布で社数をスケール)。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200"/>
        <w:gridCol w:w="1500"/>
        <w:gridCol w:w="1760"/>
      </w:tblGrid>
      <w:tr>
        <w:tc>
          <w:tcPr>
            <w:tcW w:type="dxa" w:w="20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規模区分</w:t>
            </w:r>
          </w:p>
        </w:tc>
        <w:tc>
          <w:tcPr>
            <w:tcW w:type="dxa" w:w="19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メーター口径</w:t>
            </w:r>
          </w:p>
        </w:tc>
        <w:tc>
          <w:tcPr>
            <w:tcW w:type="dxa" w:w="22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月間使用量</w:t>
            </w:r>
          </w:p>
        </w:tc>
        <w:tc>
          <w:tcPr>
            <w:tcW w:type="dxa" w:w="15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構成比</w:t>
            </w:r>
          </w:p>
        </w:tc>
        <w:tc>
          <w:tcPr>
            <w:tcW w:type="dxa" w:w="176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典型例</w:t>
            </w:r>
          </w:p>
        </w:tc>
      </w:tr>
      <w:tr>
        <w:tc>
          <w:tcPr>
            <w:tcW w:type="dxa" w:w="20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小規模</w:t>
            </w:r>
          </w:p>
        </w:tc>
        <w:tc>
          <w:tcPr>
            <w:tcW w:type="dxa" w:w="19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25mm</w:t>
            </w:r>
          </w:p>
        </w:tc>
        <w:tc>
          <w:tcPr>
            <w:tcW w:type="dxa" w:w="22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200㎥/月</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5/19=26%</w:t>
            </w:r>
          </w:p>
        </w:tc>
        <w:tc>
          <w:tcPr>
            <w:tcW w:type="dxa" w:w="17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家族経営加工場</w:t>
            </w:r>
          </w:p>
        </w:tc>
      </w:tr>
      <w:tr>
        <w:tc>
          <w:tcPr>
            <w:tcW w:type="dxa" w:w="20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中規模</w:t>
            </w:r>
          </w:p>
        </w:tc>
        <w:tc>
          <w:tcPr>
            <w:tcW w:type="dxa" w:w="19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50mm</w:t>
            </w:r>
          </w:p>
        </w:tc>
        <w:tc>
          <w:tcPr>
            <w:tcW w:type="dxa" w:w="22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1,000㎥/月</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8/19=42%</w:t>
            </w:r>
          </w:p>
        </w:tc>
        <w:tc>
          <w:tcPr>
            <w:tcW w:type="dxa" w:w="17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一般加工会社</w:t>
            </w:r>
          </w:p>
        </w:tc>
      </w:tr>
      <w:tr>
        <w:tc>
          <w:tcPr>
            <w:tcW w:type="dxa" w:w="20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大規模</w:t>
            </w:r>
          </w:p>
        </w:tc>
        <w:tc>
          <w:tcPr>
            <w:tcW w:type="dxa" w:w="19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75mm</w:t>
            </w:r>
          </w:p>
        </w:tc>
        <w:tc>
          <w:tcPr>
            <w:tcW w:type="dxa" w:w="22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3,000㎥/月</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5/19=26%</w:t>
            </w:r>
          </w:p>
        </w:tc>
        <w:tc>
          <w:tcPr>
            <w:tcW w:type="dxa" w:w="17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冷凍・加工主要事業者</w:t>
            </w:r>
          </w:p>
        </w:tc>
      </w:tr>
      <w:tr>
        <w:tc>
          <w:tcPr>
            <w:tcW w:type="dxa" w:w="20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超大口</w:t>
            </w:r>
          </w:p>
        </w:tc>
        <w:tc>
          <w:tcPr>
            <w:tcW w:type="dxa" w:w="19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100mm</w:t>
            </w:r>
          </w:p>
        </w:tc>
        <w:tc>
          <w:tcPr>
            <w:tcW w:type="dxa" w:w="22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8,000㎥/月</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1/19=5%</w:t>
            </w:r>
          </w:p>
        </w:tc>
        <w:tc>
          <w:tcPr>
            <w:tcW w:type="dxa" w:w="17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大手水産加工業者</w:t>
            </w:r>
          </w:p>
        </w:tc>
      </w:tr>
    </w:tbl>
    <w:p>
      <w:r>
        <w:t xml:space="preserve"/>
      </w:r>
    </w:p>
    <w:p>
      <w:r>
        <w:br w:type="page"/>
      </w:r>
    </w:p>
    <w:p>
      <w:pPr>
        <w:pStyle w:val="Heading1"/>
      </w:pPr>
      <w:r>
        <w:rPr>
          <w:rFonts w:ascii="游ゴシック" w:cs="游ゴシック" w:eastAsia="游ゴシック" w:hAnsi="游ゴシック"/>
        </w:rPr>
        <w:t xml:space="preserve">第3章 県内臨海4団体の料金体系(確定版)</w:t>
      </w:r>
    </w:p>
    <w:p>
      <w:pPr>
        <w:pStyle w:val="Heading2"/>
      </w:pPr>
      <w:r>
        <w:rPr>
          <w:rFonts w:ascii="游ゴシック" w:cs="游ゴシック" w:eastAsia="游ゴシック" w:hAnsi="游ゴシック"/>
        </w:rPr>
        <w:t xml:space="preserve">3.1 女川町(R6.4~適用・税込)</w:t>
      </w:r>
    </w:p>
    <w:p>
      <w:pPr>
        <w:spacing w:after="60" w:before="60" w:line="340"/>
        <w:jc w:val="left"/>
      </w:pPr>
      <w:r>
        <w:rPr>
          <w:rFonts w:ascii="游明朝" w:cs="游明朝" w:eastAsia="游明朝" w:hAnsi="游明朝"/>
          <w:b w:val="false"/>
          <w:bCs w:val="false"/>
          <w:color w:val="000000"/>
          <w:sz w:val="22"/>
          <w:szCs w:val="22"/>
        </w:rPr>
        <w:t xml:space="preserve">体系類型: 用途別 + 口径別メーター使用料 + 逓減制(一般用)</w:t>
      </w:r>
    </w:p>
    <w:p>
      <w:pPr>
        <w:pStyle w:val="ListParagraph"/>
        <w:numPr>
          <w:ilvl w:val="0"/>
          <w:numId w:val="2"/>
        </w:numPr>
        <w:spacing w:after="40" w:before="40" w:line="320"/>
      </w:pPr>
      <w:r>
        <w:rPr>
          <w:rFonts w:ascii="游明朝" w:cs="游明朝" w:eastAsia="游明朝" w:hAnsi="游明朝"/>
          <w:sz w:val="22"/>
          <w:szCs w:val="22"/>
        </w:rPr>
        <w:t xml:space="preserve">一般用基本料金: 0~5㎥=990円、6~10㎥=1,210円</w:t>
      </w:r>
    </w:p>
    <w:p>
      <w:pPr>
        <w:pStyle w:val="ListParagraph"/>
        <w:numPr>
          <w:ilvl w:val="0"/>
          <w:numId w:val="2"/>
        </w:numPr>
        <w:spacing w:after="40" w:before="40" w:line="320"/>
      </w:pPr>
      <w:r>
        <w:rPr>
          <w:rFonts w:ascii="游明朝" w:cs="游明朝" w:eastAsia="游明朝" w:hAnsi="游明朝"/>
          <w:sz w:val="22"/>
          <w:szCs w:val="22"/>
        </w:rPr>
        <w:t xml:space="preserve">一般用従量料金: 11~100㎥=121円/㎥、101㎥超=110円/㎥(逓減!)</w:t>
      </w:r>
    </w:p>
    <w:p>
      <w:pPr>
        <w:pStyle w:val="ListParagraph"/>
        <w:numPr>
          <w:ilvl w:val="0"/>
          <w:numId w:val="2"/>
        </w:numPr>
        <w:spacing w:after="40" w:before="40" w:line="320"/>
      </w:pPr>
      <w:r>
        <w:rPr>
          <w:rFonts w:ascii="游明朝" w:cs="游明朝" w:eastAsia="游明朝" w:hAnsi="游明朝"/>
          <w:sz w:val="22"/>
          <w:szCs w:val="22"/>
        </w:rPr>
        <w:t xml:space="preserve">メーター使用料(月額): 13mm=55円、20mm=77円、25mm=110円、50mm=880円、75mm=1,100円、100mm=1,320円、150mm=3,300円</w:t>
      </w:r>
    </w:p>
    <w:p>
      <w:pPr>
        <w:pStyle w:val="ListParagraph"/>
        <w:numPr>
          <w:ilvl w:val="0"/>
          <w:numId w:val="2"/>
        </w:numPr>
        <w:spacing w:after="40" w:before="40" w:line="320"/>
      </w:pPr>
      <w:r>
        <w:rPr>
          <w:rFonts w:ascii="游明朝" w:cs="游明朝" w:eastAsia="游明朝" w:hAnsi="游明朝"/>
          <w:sz w:val="22"/>
          <w:szCs w:val="22"/>
        </w:rPr>
        <w:t xml:space="preserve">特殊用途: 湯屋用(500㎥基本36,300円+110円/㎥)、船舶用(直接2,420円+242円/㎥)</w:t>
      </w:r>
    </w:p>
    <w:p>
      <w:r>
        <w:t xml:space="preserve"/>
      </w:r>
    </w:p>
    <w:p>
      <w:pPr>
        <w:pStyle w:val="Heading2"/>
      </w:pPr>
      <w:r>
        <w:rPr>
          <w:rFonts w:ascii="游ゴシック" w:cs="游ゴシック" w:eastAsia="游ゴシック" w:hAnsi="游ゴシック"/>
        </w:rPr>
        <w:t xml:space="preserve">3.2 気仙沼市(R5.4~適用・税抜+消費税)</w:t>
      </w:r>
    </w:p>
    <w:p>
      <w:pPr>
        <w:spacing w:after="60" w:before="60" w:line="340"/>
        <w:jc w:val="left"/>
      </w:pPr>
      <w:r>
        <w:rPr>
          <w:rFonts w:ascii="游明朝" w:cs="游明朝" w:eastAsia="游明朝" w:hAnsi="游明朝"/>
          <w:b w:val="false"/>
          <w:bCs w:val="false"/>
          <w:color w:val="000000"/>
          <w:sz w:val="22"/>
          <w:szCs w:val="22"/>
        </w:rPr>
        <w:t xml:space="preserve">体系類型: 口径帯別3段階構造 + 大口で弱い逓減</w:t>
      </w:r>
    </w:p>
    <w:p>
      <w:pPr>
        <w:pStyle w:val="ListParagraph"/>
        <w:numPr>
          <w:ilvl w:val="0"/>
          <w:numId w:val="2"/>
        </w:numPr>
        <w:spacing w:after="40" w:before="40" w:line="320"/>
      </w:pPr>
      <w:r>
        <w:rPr>
          <w:rFonts w:ascii="游明朝" w:cs="游明朝" w:eastAsia="游明朝" w:hAnsi="游明朝"/>
          <w:sz w:val="22"/>
          <w:szCs w:val="22"/>
        </w:rPr>
        <w:t xml:space="preserve">【13mm・20mm 家庭用】基本: 13mm=1,010円、20mm=1,990円。従量: 1~10=96円、11~20=172円、21~1,000=250円、1,001~=260円</w:t>
      </w:r>
    </w:p>
    <w:p>
      <w:pPr>
        <w:pStyle w:val="ListParagraph"/>
        <w:numPr>
          <w:ilvl w:val="0"/>
          <w:numId w:val="2"/>
        </w:numPr>
        <w:spacing w:after="40" w:before="40" w:line="320"/>
      </w:pPr>
      <w:r>
        <w:rPr>
          <w:rFonts w:ascii="游明朝" w:cs="游明朝" w:eastAsia="游明朝" w:hAnsi="游明朝"/>
          <w:sz w:val="22"/>
          <w:szCs w:val="22"/>
        </w:rPr>
        <w:t xml:space="preserve">【25~40mm 中口径】基本: 25mm=2,790円、30mm=3,970円、40mm=6,560円。従量: 1~1,000=287円、1,001~=260円</w:t>
      </w:r>
    </w:p>
    <w:p>
      <w:pPr>
        <w:pStyle w:val="ListParagraph"/>
        <w:numPr>
          <w:ilvl w:val="0"/>
          <w:numId w:val="2"/>
        </w:numPr>
        <w:spacing w:after="40" w:before="40" w:line="320"/>
      </w:pPr>
      <w:r>
        <w:rPr>
          <w:rFonts w:ascii="游明朝" w:cs="游明朝" w:eastAsia="游明朝" w:hAnsi="游明朝"/>
          <w:sz w:val="22"/>
          <w:szCs w:val="22"/>
        </w:rPr>
        <w:t xml:space="preserve">【50~100mm 大口径】基本: 50mm=10,090円、75mm=21,380円、100mm=30,090円。従量: 1~1,000=323円、1,001~=292円(逓減)</w:t>
      </w:r>
    </w:p>
    <w:p>
      <w:pPr>
        <w:pStyle w:val="ListParagraph"/>
        <w:numPr>
          <w:ilvl w:val="0"/>
          <w:numId w:val="2"/>
        </w:numPr>
        <w:spacing w:after="40" w:before="40" w:line="320"/>
      </w:pPr>
      <w:r>
        <w:rPr>
          <w:rFonts w:ascii="游明朝" w:cs="游明朝" w:eastAsia="游明朝" w:hAnsi="游明朝"/>
          <w:sz w:val="22"/>
          <w:szCs w:val="22"/>
        </w:rPr>
        <w:t xml:space="preserve">臨時用: 500円/㎥</w:t>
      </w:r>
    </w:p>
    <w:p>
      <w:pPr>
        <w:pStyle w:val="ListParagraph"/>
        <w:numPr>
          <w:ilvl w:val="0"/>
          <w:numId w:val="2"/>
        </w:numPr>
        <w:spacing w:after="40" w:before="40" w:line="320"/>
      </w:pPr>
      <w:r>
        <w:rPr>
          <w:rFonts w:ascii="游明朝" w:cs="游明朝" w:eastAsia="游明朝" w:hAnsi="游明朝"/>
          <w:sz w:val="22"/>
          <w:szCs w:val="22"/>
        </w:rPr>
        <w:t xml:space="preserve">※R3.10に平均+23.32%の大幅値上げ。R8.2~4月は基本料金の一時的減免措置を実施</w:t>
      </w:r>
    </w:p>
    <w:p>
      <w:r>
        <w:t xml:space="preserve"/>
      </w:r>
    </w:p>
    <w:p>
      <w:pPr>
        <w:pStyle w:val="Heading2"/>
      </w:pPr>
      <w:r>
        <w:rPr>
          <w:rFonts w:ascii="游ゴシック" w:cs="游ゴシック" w:eastAsia="游ゴシック" w:hAnsi="游ゴシック"/>
        </w:rPr>
        <w:t xml:space="preserve">3.3 石巻地方広域水道企業団(R5.4~適用・税抜+消費税)</w:t>
      </w:r>
    </w:p>
    <w:p>
      <w:pPr>
        <w:spacing w:after="60" w:before="60" w:line="340"/>
        <w:jc w:val="left"/>
      </w:pPr>
      <w:r>
        <w:rPr>
          <w:rFonts w:ascii="游明朝" w:cs="游明朝" w:eastAsia="游明朝" w:hAnsi="游明朝"/>
          <w:b w:val="false"/>
          <w:bCs w:val="false"/>
          <w:color w:val="000000"/>
          <w:sz w:val="22"/>
          <w:szCs w:val="22"/>
        </w:rPr>
        <w:t xml:space="preserve">体系類型: 口径別 + シンプルな段階逓増(産業用優遇なし)</w:t>
      </w:r>
    </w:p>
    <w:p>
      <w:pPr>
        <w:pStyle w:val="ListParagraph"/>
        <w:numPr>
          <w:ilvl w:val="0"/>
          <w:numId w:val="2"/>
        </w:numPr>
        <w:spacing w:after="40" w:before="40" w:line="320"/>
      </w:pPr>
      <w:r>
        <w:rPr>
          <w:rFonts w:ascii="游明朝" w:cs="游明朝" w:eastAsia="游明朝" w:hAnsi="游明朝"/>
          <w:sz w:val="22"/>
          <w:szCs w:val="22"/>
        </w:rPr>
        <w:t xml:space="preserve">【13mm】基本1,480円(10㎥込み)。従量: 11~20=260円、21~50=280円、51~=320円</w:t>
      </w:r>
    </w:p>
    <w:p>
      <w:pPr>
        <w:pStyle w:val="ListParagraph"/>
        <w:numPr>
          <w:ilvl w:val="0"/>
          <w:numId w:val="2"/>
        </w:numPr>
        <w:spacing w:after="40" w:before="40" w:line="320"/>
      </w:pPr>
      <w:r>
        <w:rPr>
          <w:rFonts w:ascii="游明朝" w:cs="游明朝" w:eastAsia="游明朝" w:hAnsi="游明朝"/>
          <w:sz w:val="22"/>
          <w:szCs w:val="22"/>
        </w:rPr>
        <w:t xml:space="preserve">【25mm】基本2,340円。従量: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【50mm】基本7,130円。従量: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【75mm】基本14,130円。従量: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【100mm】基本24,820円。従量: 1~50=300円、51~=320円</w:t>
      </w:r>
    </w:p>
    <w:p>
      <w:pPr>
        <w:pStyle w:val="ListParagraph"/>
        <w:numPr>
          <w:ilvl w:val="0"/>
          <w:numId w:val="2"/>
        </w:numPr>
        <w:spacing w:after="40" w:before="40" w:line="320"/>
      </w:pPr>
      <w:r>
        <w:rPr>
          <w:rFonts w:ascii="游明朝" w:cs="游明朝" w:eastAsia="游明朝" w:hAnsi="游明朝"/>
          <w:sz w:val="22"/>
          <w:szCs w:val="22"/>
        </w:rPr>
        <w:t xml:space="preserve">※R5.4改定で基本料金+20%、水量料金+16~22%を実施</w:t>
      </w:r>
    </w:p>
    <w:p>
      <w:r>
        <w:t xml:space="preserve"/>
      </w:r>
    </w:p>
    <w:p>
      <w:pPr>
        <w:pStyle w:val="Heading2"/>
      </w:pPr>
      <w:r>
        <w:rPr>
          <w:rFonts w:ascii="游ゴシック" w:cs="游ゴシック" w:eastAsia="游ゴシック" w:hAnsi="游ゴシック"/>
        </w:rPr>
        <w:t xml:space="preserve">3.4 塩竈市(R元.10~適用・税抜+消費税)</w:t>
      </w:r>
    </w:p>
    <w:p>
      <w:pPr>
        <w:spacing w:after="60" w:before="60" w:line="340"/>
        <w:jc w:val="left"/>
      </w:pPr>
      <w:r>
        <w:rPr>
          <w:rFonts w:ascii="游明朝" w:cs="游明朝" w:eastAsia="游明朝" w:hAnsi="游明朝"/>
          <w:b w:val="false"/>
          <w:bCs w:val="false"/>
          <w:color w:val="000000"/>
          <w:sz w:val="22"/>
          <w:szCs w:val="22"/>
        </w:rPr>
        <w:t xml:space="preserve">体系類型: 口径別 + 段階逓増(5段階) + 5つの用途別区分(最も細分化)</w:t>
      </w:r>
    </w:p>
    <w:p>
      <w:pPr>
        <w:pStyle w:val="ListParagraph"/>
        <w:numPr>
          <w:ilvl w:val="0"/>
          <w:numId w:val="2"/>
        </w:numPr>
        <w:spacing w:after="40" w:before="40" w:line="320"/>
      </w:pPr>
      <w:r>
        <w:rPr>
          <w:rFonts w:ascii="游明朝" w:cs="游明朝" w:eastAsia="游明朝" w:hAnsi="游明朝"/>
          <w:sz w:val="22"/>
          <w:szCs w:val="22"/>
        </w:rPr>
        <w:t xml:space="preserve">【口径別基本料金】13mm=700円、20mm=1,300円、25mm=2,100円、40mm=5,000円、50mm=10,000円、75mm=20,000円、100mm=38,000円、150mm=83,000円</w:t>
      </w:r>
    </w:p>
    <w:p>
      <w:pPr>
        <w:pStyle w:val="ListParagraph"/>
        <w:numPr>
          <w:ilvl w:val="0"/>
          <w:numId w:val="2"/>
        </w:numPr>
        <w:spacing w:after="40" w:before="40" w:line="320"/>
      </w:pPr>
      <w:r>
        <w:rPr>
          <w:rFonts w:ascii="游明朝" w:cs="游明朝" w:eastAsia="游明朝" w:hAnsi="游明朝"/>
          <w:sz w:val="22"/>
          <w:szCs w:val="22"/>
        </w:rPr>
        <w:t xml:space="preserve">【一般用従量料金】1~10=83円、11~20=175円、21~50=235円、51~100=255円、101~=295円</w:t>
      </w:r>
    </w:p>
    <w:p>
      <w:pPr>
        <w:pStyle w:val="ListParagraph"/>
        <w:numPr>
          <w:ilvl w:val="0"/>
          <w:numId w:val="2"/>
        </w:numPr>
        <w:spacing w:after="40" w:before="40" w:line="320"/>
      </w:pPr>
      <w:r>
        <w:rPr>
          <w:rFonts w:ascii="游明朝" w:cs="游明朝" w:eastAsia="游明朝" w:hAnsi="游明朝"/>
          <w:sz w:val="22"/>
          <w:szCs w:val="22"/>
        </w:rPr>
        <w:t xml:space="preserve">【公衆浴場用】従量60円/㎥(基本料金なし)</w:t>
      </w:r>
    </w:p>
    <w:p>
      <w:pPr>
        <w:pStyle w:val="ListParagraph"/>
        <w:numPr>
          <w:ilvl w:val="0"/>
          <w:numId w:val="2"/>
        </w:numPr>
        <w:spacing w:after="40" w:before="40" w:line="320"/>
      </w:pPr>
      <w:r>
        <w:rPr>
          <w:rFonts w:ascii="游明朝" w:cs="游明朝" w:eastAsia="游明朝" w:hAnsi="游明朝"/>
          <w:sz w:val="22"/>
          <w:szCs w:val="22"/>
        </w:rPr>
        <w:t xml:space="preserve">【船舶用】従量175円/㎥</w:t>
      </w:r>
    </w:p>
    <w:p>
      <w:pPr>
        <w:pStyle w:val="ListParagraph"/>
        <w:numPr>
          <w:ilvl w:val="0"/>
          <w:numId w:val="2"/>
        </w:numPr>
        <w:spacing w:after="40" w:before="40" w:line="320"/>
      </w:pPr>
      <w:r>
        <w:rPr>
          <w:rFonts w:ascii="游明朝" w:cs="游明朝" w:eastAsia="游明朝" w:hAnsi="游明朝"/>
          <w:sz w:val="22"/>
          <w:szCs w:val="22"/>
        </w:rPr>
        <w:t xml:space="preserve">【臨時用】従量295円/㎥</w:t>
      </w:r>
    </w:p>
    <w:p>
      <w:pPr>
        <w:pStyle w:val="ListParagraph"/>
        <w:numPr>
          <w:ilvl w:val="0"/>
          <w:numId w:val="2"/>
        </w:numPr>
        <w:spacing w:after="40" w:before="40" w:line="320"/>
      </w:pPr>
      <w:r>
        <w:rPr>
          <w:rFonts w:ascii="游明朝" w:cs="游明朝" w:eastAsia="游明朝" w:hAnsi="游明朝"/>
          <w:sz w:val="22"/>
          <w:szCs w:val="22"/>
        </w:rPr>
        <w:t xml:space="preserve">【★生産用水用】従量105円/㎥(基本料金なし・工場等向け)← 本検討の重要発見</w:t>
      </w:r>
    </w:p>
    <w:p>
      <w:r>
        <w:t xml:space="preserve"/>
      </w:r>
    </w:p>
    <w:p>
      <w:pPr>
        <w:pStyle w:val="Heading2"/>
      </w:pPr>
      <w:r>
        <w:rPr>
          <w:rFonts w:ascii="游ゴシック" w:cs="游ゴシック" w:eastAsia="游ゴシック" w:hAnsi="游ゴシック"/>
        </w:rPr>
        <w:t xml:space="preserve">3.5 南三陸町(R元.10~適用)</w:t>
      </w:r>
    </w:p>
    <w:p>
      <w:pPr>
        <w:spacing w:after="60" w:before="60" w:line="340"/>
        <w:jc w:val="left"/>
      </w:pPr>
      <w:r>
        <w:rPr>
          <w:rFonts w:ascii="游明朝" w:cs="游明朝" w:eastAsia="游明朝" w:hAnsi="游明朝"/>
          <w:b w:val="false"/>
          <w:bCs w:val="false"/>
          <w:color w:val="000000"/>
          <w:sz w:val="22"/>
          <w:szCs w:val="22"/>
        </w:rPr>
        <w:t xml:space="preserve">体系類型: 口径別 + 段階型(詳細は条例別表で要確認)</w:t>
      </w:r>
    </w:p>
    <w:p>
      <w:pPr>
        <w:pStyle w:val="ListParagraph"/>
        <w:numPr>
          <w:ilvl w:val="0"/>
          <w:numId w:val="2"/>
        </w:numPr>
        <w:spacing w:after="40" w:before="40" w:line="320"/>
      </w:pPr>
      <w:r>
        <w:rPr>
          <w:rFonts w:ascii="游明朝" w:cs="游明朝" w:eastAsia="游明朝" w:hAnsi="游明朝"/>
          <w:sz w:val="22"/>
          <w:szCs w:val="22"/>
        </w:rPr>
        <w:t xml:space="preserve">13mm基本料金: 1,700円(税抜、基本水量10㎥含む)</w:t>
      </w:r>
    </w:p>
    <w:p>
      <w:pPr>
        <w:pStyle w:val="ListParagraph"/>
        <w:numPr>
          <w:ilvl w:val="0"/>
          <w:numId w:val="2"/>
        </w:numPr>
        <w:spacing w:after="40" w:before="40" w:line="320"/>
      </w:pPr>
      <w:r>
        <w:rPr>
          <w:rFonts w:ascii="游明朝" w:cs="游明朝" w:eastAsia="游明朝" w:hAnsi="游明朝"/>
          <w:sz w:val="22"/>
          <w:szCs w:val="22"/>
        </w:rPr>
        <w:t xml:space="preserve">13mm超過料金: 200円/㎥(税抜、11㎥以降)</w:t>
      </w:r>
    </w:p>
    <w:p>
      <w:pPr>
        <w:pStyle w:val="ListParagraph"/>
        <w:numPr>
          <w:ilvl w:val="0"/>
          <w:numId w:val="2"/>
        </w:numPr>
        <w:spacing w:after="40" w:before="40" w:line="320"/>
      </w:pPr>
      <w:r>
        <w:rPr>
          <w:rFonts w:ascii="游明朝" w:cs="游明朝" w:eastAsia="游明朝" w:hAnsi="游明朝"/>
          <w:sz w:val="22"/>
          <w:szCs w:val="22"/>
        </w:rPr>
        <w:t xml:space="preserve">20mm以上の詳細は公表情報からは取得不能。町上下水道事業所への直接照会が必要</w:t>
      </w:r>
    </w:p>
    <w:p>
      <w:pPr>
        <w:pStyle w:val="ListParagraph"/>
        <w:numPr>
          <w:ilvl w:val="0"/>
          <w:numId w:val="2"/>
        </w:numPr>
        <w:spacing w:after="40" w:before="40" w:line="320"/>
      </w:pPr>
      <w:r>
        <w:rPr>
          <w:rFonts w:ascii="游明朝" w:cs="游明朝" w:eastAsia="游明朝" w:hAnsi="游明朝"/>
          <w:sz w:val="22"/>
          <w:szCs w:val="22"/>
        </w:rPr>
        <w:t xml:space="preserve">水産加工業集積は中規模で、本試算では参考扱い</w:t>
      </w:r>
    </w:p>
    <w:p>
      <w:r>
        <w:br w:type="page"/>
      </w:r>
    </w:p>
    <w:p>
      <w:pPr>
        <w:pStyle w:val="Heading1"/>
      </w:pPr>
      <w:r>
        <w:rPr>
          <w:rFonts w:ascii="游ゴシック" w:cs="游ゴシック" w:eastAsia="游ゴシック" w:hAnsi="游ゴシック"/>
        </w:rPr>
        <w:t xml:space="preserve">第4章 料金水準の比較と構造分析</w:t>
      </w:r>
    </w:p>
    <w:p>
      <w:pPr>
        <w:pStyle w:val="Heading2"/>
      </w:pPr>
      <w:r>
        <w:rPr>
          <w:rFonts w:ascii="游ゴシック" w:cs="游ゴシック" w:eastAsia="游ゴシック" w:hAnsi="游ゴシック"/>
        </w:rPr>
        <w:t xml:space="preserve">4.1 4団体の料金水準比較</w:t>
      </w:r>
    </w:p>
    <w:p>
      <w:pPr>
        <w:spacing w:after="60" w:before="60" w:line="340"/>
        <w:jc w:val="left"/>
      </w:pPr>
      <w:r>
        <w:rPr>
          <w:rFonts w:ascii="游明朝" w:cs="游明朝" w:eastAsia="游明朝" w:hAnsi="游明朝"/>
          <w:b w:val="false"/>
          <w:bCs w:val="false"/>
          <w:color w:val="000000"/>
          <w:sz w:val="22"/>
          <w:szCs w:val="22"/>
        </w:rPr>
        <w:t xml:space="preserve">代表的な使用量別に4団体の月額料金を比較した結果は下表の通り。</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440"/>
        <w:gridCol w:w="1440"/>
        <w:gridCol w:w="1440"/>
      </w:tblGrid>
      <w:tr>
        <w:tc>
          <w:tcPr>
            <w:tcW w:type="dxa" w:w="18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区分</w:t>
            </w:r>
          </w:p>
        </w:tc>
        <w:tc>
          <w:tcPr>
            <w:tcW w:type="dxa" w:w="18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使用条件</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女川町</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気仙沼市</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石巻広域</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塩竈市</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一般家庭</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20mm/20㎥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2,497円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5,137円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6,600円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4,268円</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小規模加工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25mm/200㎥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23,210円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66,209円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71,874円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59,378円</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中規模加工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50mm/1,000㎥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111,980円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366,399円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358,743円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327,668円</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大規模加工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75mm/3,000㎥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332,200円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1,021,218円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1,070,443円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987,668円</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超大口加工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100mm/8,000㎥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882,420円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2,636,799円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2,842,202円</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2,629,968円</w:t>
            </w:r>
          </w:p>
        </w:tc>
      </w:tr>
    </w:tbl>
    <w:p>
      <w:r>
        <w:t xml:space="preserve"/>
      </w:r>
    </w:p>
    <w:p>
      <w:pPr>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 県内臨海4団体の現行料金水準比較(条例・早見表逆算による確定値)</w:t>
      </w:r>
    </w:p>
    <w:p>
      <w:r>
        <w:t xml:space="preserve"/>
      </w:r>
    </w:p>
    <w:p>
      <w:pPr>
        <w:pStyle w:val="Heading2"/>
      </w:pPr>
      <w:r>
        <w:rPr>
          <w:rFonts w:ascii="游ゴシック" w:cs="游ゴシック" w:eastAsia="游ゴシック" w:hAnsi="游ゴシック"/>
        </w:rPr>
        <w:t xml:space="preserve">4.2 構造分析 ― 女川町と他3団体の質的差異</w:t>
      </w:r>
    </w:p>
    <w:p>
      <w:pPr>
        <w:pStyle w:val="ListParagraph"/>
        <w:numPr>
          <w:ilvl w:val="0"/>
          <w:numId w:val="2"/>
        </w:numPr>
        <w:spacing w:after="40" w:before="40" w:line="320"/>
      </w:pPr>
      <w:r>
        <w:rPr>
          <w:rFonts w:ascii="游明朝" w:cs="游明朝" w:eastAsia="游明朝" w:hAnsi="游明朝"/>
          <w:sz w:val="22"/>
          <w:szCs w:val="22"/>
        </w:rPr>
        <w:t xml:space="preserve">家庭用(20mm/20㎥)では女川町は他団体の40~60%水準。これは生活インフラ料金として比較的安価な水準を維持していることを示す</w:t>
      </w:r>
    </w:p>
    <w:p>
      <w:pPr>
        <w:pStyle w:val="ListParagraph"/>
        <w:numPr>
          <w:ilvl w:val="0"/>
          <w:numId w:val="2"/>
        </w:numPr>
        <w:spacing w:after="40" w:before="40" w:line="320"/>
      </w:pPr>
      <w:r>
        <w:rPr>
          <w:rFonts w:ascii="游明朝" w:cs="游明朝" w:eastAsia="游明朝" w:hAnsi="游明朝"/>
          <w:sz w:val="22"/>
          <w:szCs w:val="22"/>
        </w:rPr>
        <w:t xml:space="preserve">中規模加工以降(50mm/1,000㎥)では女川町の優位性が劇的に拡大し、他3団体の約1/3水準となる</w:t>
      </w:r>
    </w:p>
    <w:p>
      <w:pPr>
        <w:pStyle w:val="ListParagraph"/>
        <w:numPr>
          <w:ilvl w:val="0"/>
          <w:numId w:val="2"/>
        </w:numPr>
        <w:spacing w:after="40" w:before="40" w:line="320"/>
      </w:pPr>
      <w:r>
        <w:rPr>
          <w:rFonts w:ascii="游明朝" w:cs="游明朝" w:eastAsia="游明朝" w:hAnsi="游明朝"/>
          <w:sz w:val="22"/>
          <w:szCs w:val="22"/>
        </w:rPr>
        <w:t xml:space="preserve">これは、女川町の『逓減制(101㎥超で110円/㎥)』と、他3団体の『逓増制(大口で300~325円/㎥)』という体系設計の本質的差異に起因する</w:t>
      </w:r>
    </w:p>
    <w:p>
      <w:pPr>
        <w:pStyle w:val="ListParagraph"/>
        <w:numPr>
          <w:ilvl w:val="0"/>
          <w:numId w:val="2"/>
        </w:numPr>
        <w:spacing w:after="40" w:before="40" w:line="320"/>
      </w:pPr>
      <w:r>
        <w:rPr>
          <w:rFonts w:ascii="游明朝" w:cs="游明朝" w:eastAsia="游明朝" w:hAnsi="游明朝"/>
          <w:sz w:val="22"/>
          <w:szCs w:val="22"/>
        </w:rPr>
        <w:t xml:space="preserve">超大口(8,000㎥/月)では女川町88万円 vs 他3団体260~284万円と、差額は月額170~196万円(年額約2,100~2,400万円)に達する</w:t>
      </w:r>
    </w:p>
    <w:p>
      <w:pPr>
        <w:pStyle w:val="Heading2"/>
      </w:pPr>
      <w:r>
        <w:rPr>
          <w:rFonts w:ascii="游ゴシック" w:cs="游ゴシック" w:eastAsia="游ゴシック" w:hAnsi="游ゴシック"/>
        </w:rPr>
        <w:t xml:space="preserve">4.3 全国・県内における位置づけ</w:t>
      </w:r>
    </w:p>
    <w:p>
      <w:pPr>
        <w:spacing w:after="60" w:before="60" w:line="340"/>
      </w:pPr>
      <w:r>
        <w:rPr>
          <w:rFonts w:ascii="游明朝" w:cs="游明朝" w:eastAsia="游明朝" w:hAnsi="游明朝"/>
          <w:sz w:val="22"/>
          <w:szCs w:val="22"/>
        </w:rPr>
        <w:t xml:space="preserve">本検討の対象団体(臨海部4団体)を、宮城県全体・全国の中に位置づけて把握することは、統一化検討の文脈を理解する上で重要である。日本水道協会の「水道料金表」(令和6年4月1日現在)に基づく、家庭用10㎥/月の税込料金ランキングは以下の通り(全国1,299水道事業体中の順位)。</w:t>
      </w:r>
    </w:p>
    <w:p>
      <w:pPr>
        <w:spacing w:after="60" w:before="60" w:line="340"/>
      </w:pPr>
      <w:r>
        <w:rPr>
          <w:rFonts w:ascii="游明朝" w:cs="游明朝" w:eastAsia="游明朝" w:hAnsi="游明朝"/>
          <w:sz w:val="22"/>
          <w:szCs w:val="22"/>
          <w:b/>
        </w:rPr>
        <w:t xml:space="preserve">宮城県内の主な事業体ランキング(料金が高い順、全国順位付き)</w:t>
      </w:r>
    </w:p>
    <w:tbl>
      <w:tblPr>
        <w:tblW w:w="9360" w:type="dxa"/>
      </w:tblPr>
      <w:tblGrid>
        <w:gridCol w:w="1560"/>
        <w:gridCol w:w="1560"/>
        <w:gridCol w:w="2400"/>
        <w:gridCol w:w="1800"/>
        <w:gridCol w:w="2040"/>
      </w:tblGrid>
      <w:tr>
        <w:tc>
          <w:tcPr>
            <w:tcW w:w="1560" w:type="dxa"/>
            <w:tcBorders>
              <w:top w:val="single" w:sz="4" w:color="999999"/>
              <w:left w:val="single" w:sz="4" w:color="999999"/>
              <w:bottom w:val="single" w:sz="4" w:color="999999"/>
              <w:right w:val="single" w:sz="4" w:color="999999"/>
            </w:tcBorders>
            <w:shd w:val="clear" w:color="auto" w:fill="1F4E78"/>
            <w:tcMar>
              <w:top w:w="90" w:type="dxa"/>
              <w:left w:w="90" w:type="dxa"/>
              <w:bottom w:w="90" w:type="dxa"/>
              <w:right w:w="90" w:type="dxa"/>
            </w:tcMar>
          </w:tcPr>
          <w:p>
            <w:pPr>
              <w:jc w:val="center"/>
            </w:pPr>
            <w:r>
              <w:rPr>
                <w:rFonts w:ascii="游ゴシック" w:cs="游ゴシック" w:eastAsia="游ゴシック" w:hAnsi="游ゴシック"/>
                <w:b/>
                <w:color w:val="FFFFFF"/>
                <w:sz w:val="17"/>
              </w:rPr>
              <w:t>県内順位</w:t>
            </w:r>
          </w:p>
        </w:tc>
        <w:tc>
          <w:tcPr>
            <w:tcW w:w="1560" w:type="dxa"/>
            <w:tcBorders>
              <w:top w:val="single" w:sz="4" w:color="999999"/>
              <w:left w:val="single" w:sz="4" w:color="999999"/>
              <w:bottom w:val="single" w:sz="4" w:color="999999"/>
              <w:right w:val="single" w:sz="4" w:color="999999"/>
            </w:tcBorders>
            <w:shd w:val="clear" w:color="auto" w:fill="1F4E78"/>
            <w:tcMar>
              <w:top w:w="90" w:type="dxa"/>
              <w:left w:w="90" w:type="dxa"/>
              <w:bottom w:w="90" w:type="dxa"/>
              <w:right w:w="90" w:type="dxa"/>
            </w:tcMar>
          </w:tcPr>
          <w:p>
            <w:pPr>
              <w:jc w:val="center"/>
            </w:pPr>
            <w:r>
              <w:rPr>
                <w:rFonts w:ascii="游ゴシック" w:cs="游ゴシック" w:eastAsia="游ゴシック" w:hAnsi="游ゴシック"/>
                <w:b/>
                <w:color w:val="FFFFFF"/>
                <w:sz w:val="17"/>
              </w:rPr>
              <w:t>全国順位</w:t>
            </w:r>
          </w:p>
        </w:tc>
        <w:tc>
          <w:tcPr>
            <w:tcW w:w="2400" w:type="dxa"/>
            <w:tcBorders>
              <w:top w:val="single" w:sz="4" w:color="999999"/>
              <w:left w:val="single" w:sz="4" w:color="999999"/>
              <w:bottom w:val="single" w:sz="4" w:color="999999"/>
              <w:right w:val="single" w:sz="4" w:color="999999"/>
            </w:tcBorders>
            <w:shd w:val="clear" w:color="auto" w:fill="1F4E78"/>
            <w:tcMar>
              <w:top w:w="90" w:type="dxa"/>
              <w:left w:w="90" w:type="dxa"/>
              <w:bottom w:w="90" w:type="dxa"/>
              <w:right w:w="90" w:type="dxa"/>
            </w:tcMar>
          </w:tcPr>
          <w:p>
            <w:pPr>
              <w:jc w:val="center"/>
            </w:pPr>
            <w:r>
              <w:rPr>
                <w:rFonts w:ascii="游ゴシック" w:cs="游ゴシック" w:eastAsia="游ゴシック" w:hAnsi="游ゴシック"/>
                <w:b/>
                <w:color w:val="FFFFFF"/>
                <w:sz w:val="17"/>
              </w:rPr>
              <w:t>市町村</w:t>
            </w:r>
          </w:p>
        </w:tc>
        <w:tc>
          <w:tcPr>
            <w:tcW w:w="1800" w:type="dxa"/>
            <w:tcBorders>
              <w:top w:val="single" w:sz="4" w:color="999999"/>
              <w:left w:val="single" w:sz="4" w:color="999999"/>
              <w:bottom w:val="single" w:sz="4" w:color="999999"/>
              <w:right w:val="single" w:sz="4" w:color="999999"/>
            </w:tcBorders>
            <w:shd w:val="clear" w:color="auto" w:fill="1F4E78"/>
            <w:tcMar>
              <w:top w:w="90" w:type="dxa"/>
              <w:left w:w="90" w:type="dxa"/>
              <w:bottom w:w="90" w:type="dxa"/>
              <w:right w:w="90" w:type="dxa"/>
            </w:tcMar>
          </w:tcPr>
          <w:p>
            <w:pPr>
              <w:jc w:val="center"/>
            </w:pPr>
            <w:r>
              <w:rPr>
                <w:rFonts w:ascii="游ゴシック" w:cs="游ゴシック" w:eastAsia="游ゴシック" w:hAnsi="游ゴシック"/>
                <w:b/>
                <w:color w:val="FFFFFF"/>
                <w:sz w:val="17"/>
              </w:rPr>
              <w:t>10㎥料金</w:t>
            </w:r>
          </w:p>
        </w:tc>
        <w:tc>
          <w:tcPr>
            <w:tcW w:w="2040" w:type="dxa"/>
            <w:tcBorders>
              <w:top w:val="single" w:sz="4" w:color="999999"/>
              <w:left w:val="single" w:sz="4" w:color="999999"/>
              <w:bottom w:val="single" w:sz="4" w:color="999999"/>
              <w:right w:val="single" w:sz="4" w:color="999999"/>
            </w:tcBorders>
            <w:shd w:val="clear" w:color="auto" w:fill="1F4E78"/>
            <w:tcMar>
              <w:top w:w="90" w:type="dxa"/>
              <w:left w:w="90" w:type="dxa"/>
              <w:bottom w:w="90" w:type="dxa"/>
              <w:right w:w="90" w:type="dxa"/>
            </w:tcMar>
          </w:tcPr>
          <w:p>
            <w:pPr>
              <w:jc w:val="center"/>
            </w:pPr>
            <w:r>
              <w:rPr>
                <w:rFonts w:ascii="游ゴシック" w:cs="游ゴシック" w:eastAsia="游ゴシック" w:hAnsi="游ゴシック"/>
                <w:b/>
                <w:color w:val="FFFFFF"/>
                <w:sz w:val="17"/>
              </w:rPr>
              <w:t>備考</w:t>
            </w:r>
          </w:p>
        </w:tc>
      </w:tr>
      <w:tr>
        <w:tc>
          <w:tcPr>
            <w:tcW w:w="1560" w:type="dxa"/>
            <w:tcBorders>
              <w:top w:val="single" w:sz="4" w:color="999999"/>
              <w:left w:val="single" w:sz="4" w:color="999999"/>
              <w:bottom w:val="single" w:sz="4" w:color="999999"/>
              <w:right w:val="single" w:sz="4" w:color="999999"/>
            </w:tcBorders>
            <w:shd w:val="clear" w:color="auto" w:fill="FFF2CC"/>
            <w:tcMar>
              <w:top w:w="60" w:type="dxa"/>
              <w:left w:w="80" w:type="dxa"/>
              <w:bottom w:w="60" w:type="dxa"/>
              <w:right w:w="80" w:type="dxa"/>
            </w:tcMar>
          </w:tcPr>
          <w:p>
            <w:pPr>
              <w:jc w:val="center"/>
            </w:pPr>
            <w:r>
              <w:rPr>
                <w:rFonts w:ascii="游ゴシック" w:cs="游ゴシック" w:eastAsia="游ゴシック" w:hAnsi="游ゴシック"/>
                <w:b/>
                <w:sz w:val="17"/>
              </w:rPr>
              <w:t>1位</w:t>
            </w:r>
          </w:p>
        </w:tc>
        <w:tc>
          <w:tcPr>
            <w:tcW w:w="1560" w:type="dxa"/>
            <w:tcBorders>
              <w:top w:val="single" w:sz="4" w:color="999999"/>
              <w:left w:val="single" w:sz="4" w:color="999999"/>
              <w:bottom w:val="single" w:sz="4" w:color="999999"/>
              <w:right w:val="single" w:sz="4" w:color="999999"/>
            </w:tcBorders>
            <w:shd w:val="clear" w:color="auto" w:fill="FFF2CC"/>
            <w:tcMar>
              <w:top w:w="60" w:type="dxa"/>
              <w:left w:w="80" w:type="dxa"/>
              <w:bottom w:w="60" w:type="dxa"/>
              <w:right w:w="80" w:type="dxa"/>
            </w:tcMar>
          </w:tcPr>
          <w:p>
            <w:pPr>
              <w:jc w:val="center"/>
            </w:pPr>
            <w:r>
              <w:rPr>
                <w:rFonts w:ascii="游ゴシック" w:cs="游ゴシック" w:eastAsia="游ゴシック" w:hAnsi="游ゴシック"/>
                <w:b/>
                <w:color w:val="C00000"/>
                <w:sz w:val="17"/>
              </w:rPr>
              <w:t>全国2位</w:t>
            </w:r>
          </w:p>
        </w:tc>
        <w:tc>
          <w:tcPr>
            <w:tcW w:w="2400" w:type="dxa"/>
            <w:tcBorders>
              <w:top w:val="single" w:sz="4" w:color="999999"/>
              <w:left w:val="single" w:sz="4" w:color="999999"/>
              <w:bottom w:val="single" w:sz="4" w:color="999999"/>
              <w:right w:val="single" w:sz="4" w:color="999999"/>
            </w:tcBorders>
            <w:shd w:val="clear" w:color="auto" w:fill="FFF2CC"/>
            <w:tcMar>
              <w:top w:w="60" w:type="dxa"/>
              <w:left w:w="80" w:type="dxa"/>
              <w:bottom w:w="60" w:type="dxa"/>
              <w:right w:w="80" w:type="dxa"/>
            </w:tcMar>
          </w:tcPr>
          <w:p>
            <w:r>
              <w:rPr>
                <w:rFonts w:ascii="游ゴシック" w:cs="游ゴシック" w:eastAsia="游ゴシック" w:hAnsi="游ゴシック"/>
                <w:b/>
                <w:sz w:val="17"/>
              </w:rPr>
              <w:t>美里町</w:t>
            </w:r>
          </w:p>
        </w:tc>
        <w:tc>
          <w:tcPr>
            <w:tcW w:w="1800" w:type="dxa"/>
            <w:tcBorders>
              <w:top w:val="single" w:sz="4" w:color="999999"/>
              <w:left w:val="single" w:sz="4" w:color="999999"/>
              <w:bottom w:val="single" w:sz="4" w:color="999999"/>
              <w:right w:val="single" w:sz="4" w:color="999999"/>
            </w:tcBorders>
            <w:shd w:val="clear" w:color="auto" w:fill="FFF2CC"/>
            <w:tcMar>
              <w:top w:w="60" w:type="dxa"/>
              <w:left w:w="80" w:type="dxa"/>
              <w:bottom w:w="60" w:type="dxa"/>
              <w:right w:w="80" w:type="dxa"/>
            </w:tcMar>
          </w:tcPr>
          <w:p>
            <w:pPr>
              <w:jc w:val="right"/>
            </w:pPr>
            <w:r>
              <w:rPr>
                <w:rFonts w:ascii="游ゴシック" w:cs="游ゴシック" w:eastAsia="游ゴシック" w:hAnsi="游ゴシック"/>
                <w:b/>
                <w:sz w:val="17"/>
              </w:rPr>
              <w:t>3,410円</w:t>
            </w:r>
          </w:p>
        </w:tc>
        <w:tc>
          <w:tcPr>
            <w:tcW w:w="2040" w:type="dxa"/>
            <w:tcBorders>
              <w:top w:val="single" w:sz="4" w:color="999999"/>
              <w:left w:val="single" w:sz="4" w:color="999999"/>
              <w:bottom w:val="single" w:sz="4" w:color="999999"/>
              <w:right w:val="single" w:sz="4" w:color="999999"/>
            </w:tcBorders>
            <w:shd w:val="clear" w:color="auto" w:fill="FFF2CC"/>
            <w:tcMar>
              <w:top w:w="60" w:type="dxa"/>
              <w:left w:w="80" w:type="dxa"/>
              <w:bottom w:w="60" w:type="dxa"/>
              <w:right w:w="80" w:type="dxa"/>
            </w:tcMar>
          </w:tcPr>
          <w:p>
            <w:r>
              <w:rPr>
                <w:rFonts w:ascii="游ゴシック" w:cs="游ゴシック" w:eastAsia="游ゴシック" w:hAnsi="游ゴシック"/>
                <w:sz w:val="17"/>
              </w:rPr>
              <w:t>内陸部</w:t>
            </w:r>
          </w:p>
        </w:tc>
      </w:tr>
      <w:tr>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2位</w:t>
            </w:r>
          </w:p>
        </w:tc>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全国3位</w:t>
            </w:r>
          </w:p>
        </w:tc>
        <w:tc>
          <w:tcPr>
            <w:tcW w:w="240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r>
              <w:rPr>
                <w:rFonts w:ascii="游ゴシック" w:cs="游ゴシック" w:eastAsia="游ゴシック" w:hAnsi="游ゴシック"/>
                <w:sz w:val="17"/>
              </w:rPr>
              <w:t>登米市</w:t>
            </w:r>
          </w:p>
        </w:tc>
        <w:tc>
          <w:tcPr>
            <w:tcW w:w="180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right"/>
            </w:pPr>
            <w:r>
              <w:rPr>
                <w:rFonts w:ascii="游ゴシック" w:cs="游ゴシック" w:eastAsia="游ゴシック" w:hAnsi="游ゴシック"/>
                <w:sz w:val="17"/>
              </w:rPr>
              <w:t>3,220円</w:t>
            </w:r>
          </w:p>
        </w:tc>
        <w:tc>
          <w:tcPr>
            <w:tcW w:w="204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r>
              <w:rPr>
                <w:rFonts w:ascii="游ゴシック" w:cs="游ゴシック" w:eastAsia="游ゴシック" w:hAnsi="游ゴシック"/>
                <w:sz w:val="17"/>
              </w:rPr>
              <w:t>内陸部</w:t>
            </w:r>
          </w:p>
        </w:tc>
      </w:tr>
      <w:tr>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3位</w:t>
            </w:r>
          </w:p>
        </w:tc>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全国17位</w:t>
            </w:r>
          </w:p>
        </w:tc>
        <w:tc>
          <w:tcPr>
            <w:tcW w:w="240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r>
              <w:rPr>
                <w:rFonts w:ascii="游ゴシック" w:cs="游ゴシック" w:eastAsia="游ゴシック" w:hAnsi="游ゴシック"/>
                <w:sz w:val="17"/>
              </w:rPr>
              <w:t>涌谷町</w:t>
            </w:r>
          </w:p>
        </w:tc>
        <w:tc>
          <w:tcPr>
            <w:tcW w:w="180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right"/>
            </w:pPr>
            <w:r>
              <w:rPr>
                <w:rFonts w:ascii="游ゴシック" w:cs="游ゴシック" w:eastAsia="游ゴシック" w:hAnsi="游ゴシック"/>
                <w:sz w:val="17"/>
              </w:rPr>
              <w:t>3,000円</w:t>
            </w:r>
          </w:p>
        </w:tc>
        <w:tc>
          <w:tcPr>
            <w:tcW w:w="204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r>
              <w:rPr>
                <w:rFonts w:ascii="游ゴシック" w:cs="游ゴシック" w:eastAsia="游ゴシック" w:hAnsi="游ゴシック"/>
                <w:sz w:val="17"/>
              </w:rPr>
              <w:t>内陸部</w:t>
            </w:r>
          </w:p>
        </w:tc>
      </w:tr>
      <w:tr>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4位</w:t>
            </w:r>
          </w:p>
        </w:tc>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全国18位</w:t>
            </w:r>
          </w:p>
        </w:tc>
        <w:tc>
          <w:tcPr>
            <w:tcW w:w="240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r>
              <w:rPr>
                <w:rFonts w:ascii="游ゴシック" w:cs="游ゴシック" w:eastAsia="游ゴシック" w:hAnsi="游ゴシック"/>
                <w:sz w:val="17"/>
              </w:rPr>
              <w:t>栗原市</w:t>
            </w:r>
          </w:p>
        </w:tc>
        <w:tc>
          <w:tcPr>
            <w:tcW w:w="180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right"/>
            </w:pPr>
            <w:r>
              <w:rPr>
                <w:rFonts w:ascii="游ゴシック" w:cs="游ゴシック" w:eastAsia="游ゴシック" w:hAnsi="游ゴシック"/>
                <w:sz w:val="17"/>
              </w:rPr>
              <w:t>2,981円</w:t>
            </w:r>
          </w:p>
        </w:tc>
        <w:tc>
          <w:tcPr>
            <w:tcW w:w="204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r>
              <w:rPr>
                <w:rFonts w:ascii="游ゴシック" w:cs="游ゴシック" w:eastAsia="游ゴシック" w:hAnsi="游ゴシック"/>
                <w:sz w:val="17"/>
              </w:rPr>
              <w:t>内陸部</w:t>
            </w:r>
          </w:p>
        </w:tc>
      </w:tr>
      <w:tr>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14位</w:t>
            </w:r>
          </w:p>
        </w:tc>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全国215位</w:t>
            </w:r>
          </w:p>
        </w:tc>
        <w:tc>
          <w:tcPr>
            <w:tcW w:w="2400" w:type="dxa"/>
            <w:tcBorders>
              <w:top w:val="single" w:sz="4" w:color="999999"/>
              <w:left w:val="single" w:sz="4" w:color="999999"/>
              <w:bottom w:val="single" w:sz="4" w:color="999999"/>
              <w:right w:val="single" w:sz="4" w:color="999999"/>
            </w:tcBorders>
            <w:shd w:val="clear" w:color="auto" w:fill="DEEBF7"/>
            <w:tcMar>
              <w:top w:w="60" w:type="dxa"/>
              <w:left w:w="80" w:type="dxa"/>
              <w:bottom w:w="60" w:type="dxa"/>
              <w:right w:w="80" w:type="dxa"/>
            </w:tcMar>
          </w:tcPr>
          <w:p>
            <w:r>
              <w:rPr>
                <w:rFonts w:ascii="游ゴシック" w:cs="游ゴシック" w:eastAsia="游ゴシック" w:hAnsi="游ゴシック"/>
                <w:b/>
                <w:sz w:val="17"/>
              </w:rPr>
              <w:t>気仙沼市</w:t>
            </w:r>
          </w:p>
        </w:tc>
        <w:tc>
          <w:tcPr>
            <w:tcW w:w="1800" w:type="dxa"/>
            <w:tcBorders>
              <w:top w:val="single" w:sz="4" w:color="999999"/>
              <w:left w:val="single" w:sz="4" w:color="999999"/>
              <w:bottom w:val="single" w:sz="4" w:color="999999"/>
              <w:right w:val="single" w:sz="4" w:color="999999"/>
            </w:tcBorders>
            <w:shd w:val="clear" w:color="auto" w:fill="DEEBF7"/>
            <w:tcMar>
              <w:top w:w="60" w:type="dxa"/>
              <w:left w:w="80" w:type="dxa"/>
              <w:bottom w:w="60" w:type="dxa"/>
              <w:right w:w="80" w:type="dxa"/>
            </w:tcMar>
          </w:tcPr>
          <w:p>
            <w:pPr>
              <w:jc w:val="right"/>
            </w:pPr>
            <w:r>
              <w:rPr>
                <w:rFonts w:ascii="游ゴシック" w:cs="游ゴシック" w:eastAsia="游ゴシック" w:hAnsi="游ゴシック"/>
                <w:sz w:val="17"/>
              </w:rPr>
              <w:t>2,167円</w:t>
            </w:r>
          </w:p>
        </w:tc>
        <w:tc>
          <w:tcPr>
            <w:tcW w:w="2040" w:type="dxa"/>
            <w:tcBorders>
              <w:top w:val="single" w:sz="4" w:color="999999"/>
              <w:left w:val="single" w:sz="4" w:color="999999"/>
              <w:bottom w:val="single" w:sz="4" w:color="999999"/>
              <w:right w:val="single" w:sz="4" w:color="999999"/>
            </w:tcBorders>
            <w:shd w:val="clear" w:color="auto" w:fill="DEEBF7"/>
            <w:tcMar>
              <w:top w:w="60" w:type="dxa"/>
              <w:left w:w="80" w:type="dxa"/>
              <w:bottom w:w="60" w:type="dxa"/>
              <w:right w:w="80" w:type="dxa"/>
            </w:tcMar>
          </w:tcPr>
          <w:p>
            <w:r>
              <w:rPr>
                <w:rFonts w:ascii="游ゴシック" w:cs="游ゴシック" w:eastAsia="游ゴシック" w:hAnsi="游ゴシック"/>
                <w:b/>
                <w:color w:val="2E75B6"/>
                <w:sz w:val="17"/>
              </w:rPr>
              <w:t>★本検討対象</w:t>
            </w:r>
          </w:p>
        </w:tc>
      </w:tr>
      <w:tr>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w:t>
            </w:r>
          </w:p>
        </w:tc>
        <w:tc>
          <w:tcPr>
            <w:tcW w:w="1560" w:type="dxa"/>
            <w:tcBorders>
              <w:top w:val="single" w:sz="4" w:color="999999"/>
              <w:left w:val="single" w:sz="4" w:color="999999"/>
              <w:bottom w:val="single" w:sz="4" w:color="999999"/>
              <w:right w:val="single" w:sz="4" w:color="999999"/>
            </w:tcBorders>
            <w:tcMar>
              <w:top w:w="60" w:type="dxa"/>
              <w:left w:w="80" w:type="dxa"/>
              <w:bottom w:w="60" w:type="dxa"/>
              <w:right w:w="80" w:type="dxa"/>
            </w:tcMar>
          </w:tcPr>
          <w:p>
            <w:pPr>
              <w:jc w:val="center"/>
            </w:pPr>
            <w:r>
              <w:rPr>
                <w:rFonts w:ascii="游ゴシック" w:cs="游ゴシック" w:eastAsia="游ゴシック" w:hAnsi="游ゴシック"/>
                <w:sz w:val="17"/>
              </w:rPr>
              <w:t>圏外</w:t>
            </w:r>
          </w:p>
        </w:tc>
        <w:tc>
          <w:tcPr>
            <w:tcW w:w="2400" w:type="dxa"/>
            <w:tcBorders>
              <w:top w:val="single" w:sz="4" w:color="999999"/>
              <w:left w:val="single" w:sz="4" w:color="999999"/>
              <w:bottom w:val="single" w:sz="4" w:color="999999"/>
              <w:right w:val="single" w:sz="4" w:color="999999"/>
            </w:tcBorders>
            <w:shd w:val="clear" w:color="auto" w:fill="DEEBF7"/>
            <w:tcMar>
              <w:top w:w="60" w:type="dxa"/>
              <w:left w:w="80" w:type="dxa"/>
              <w:bottom w:w="60" w:type="dxa"/>
              <w:right w:w="80" w:type="dxa"/>
            </w:tcMar>
          </w:tcPr>
          <w:p>
            <w:r>
              <w:rPr>
                <w:rFonts w:ascii="游ゴシック" w:cs="游ゴシック" w:eastAsia="游ゴシック" w:hAnsi="游ゴシック"/>
                <w:b/>
                <w:sz w:val="17"/>
              </w:rPr>
              <w:t>石巻広域・塩竈市・女川町</w:t>
            </w:r>
          </w:p>
        </w:tc>
        <w:tc>
          <w:tcPr>
            <w:tcW w:w="1800" w:type="dxa"/>
            <w:tcBorders>
              <w:top w:val="single" w:sz="4" w:color="999999"/>
              <w:left w:val="single" w:sz="4" w:color="999999"/>
              <w:bottom w:val="single" w:sz="4" w:color="999999"/>
              <w:right w:val="single" w:sz="4" w:color="999999"/>
            </w:tcBorders>
            <w:shd w:val="clear" w:color="auto" w:fill="DEEBF7"/>
            <w:tcMar>
              <w:top w:w="60" w:type="dxa"/>
              <w:left w:w="80" w:type="dxa"/>
              <w:bottom w:w="60" w:type="dxa"/>
              <w:right w:w="80" w:type="dxa"/>
            </w:tcMar>
          </w:tcPr>
          <w:p>
            <w:pPr>
              <w:jc w:val="right"/>
            </w:pPr>
            <w:r>
              <w:rPr>
                <w:rFonts w:ascii="游ゴシック" w:cs="游ゴシック" w:eastAsia="游ゴシック" w:hAnsi="游ゴシック"/>
                <w:sz w:val="17"/>
              </w:rPr>
              <w:t>2,000円未満</w:t>
            </w:r>
          </w:p>
        </w:tc>
        <w:tc>
          <w:tcPr>
            <w:tcW w:w="2040" w:type="dxa"/>
            <w:tcBorders>
              <w:top w:val="single" w:sz="4" w:color="999999"/>
              <w:left w:val="single" w:sz="4" w:color="999999"/>
              <w:bottom w:val="single" w:sz="4" w:color="999999"/>
              <w:right w:val="single" w:sz="4" w:color="999999"/>
            </w:tcBorders>
            <w:shd w:val="clear" w:color="auto" w:fill="DEEBF7"/>
            <w:tcMar>
              <w:top w:w="60" w:type="dxa"/>
              <w:left w:w="80" w:type="dxa"/>
              <w:bottom w:w="60" w:type="dxa"/>
              <w:right w:w="80" w:type="dxa"/>
            </w:tcMar>
          </w:tcPr>
          <w:p>
            <w:r>
              <w:rPr>
                <w:rFonts w:ascii="游ゴシック" w:cs="游ゴシック" w:eastAsia="游ゴシック" w:hAnsi="游ゴシック"/>
                <w:b/>
                <w:color w:val="2E75B6"/>
                <w:sz w:val="17"/>
              </w:rPr>
              <w:t>★本検討対象</w:t>
            </w:r>
          </w:p>
        </w:tc>
      </w:tr>
    </w:tbl>
    <w:p>
      <w:pPr>
        <w:spacing w:after="60" w:before="60" w:line="340"/>
      </w:pPr>
      <w:r>
        <w:rPr>
          <w:rFonts w:ascii="游明朝" w:cs="游明朝" w:eastAsia="游明朝" w:hAnsi="游明朝"/>
          <w:sz w:val="22"/>
          <w:szCs w:val="22"/>
          <w:color w:val="555555"/>
        </w:rPr>
        <w:t xml:space="preserve">出典: 日本水道協会「水道料金表」(令和6年4月1日現在)、登米市上下水道部公表資料。全国1,299水道事業体中の順位。料金は一般家庭10㎥/月の税込額。</w:t>
      </w:r>
    </w:p>
    <w:p>
      <w:pPr>
        <w:spacing w:after="60" w:before="180" w:line="340"/>
      </w:pPr>
      <w:r>
        <w:rPr>
          <w:rFonts w:ascii="游明朝" w:cs="游明朝" w:eastAsia="游明朝" w:hAnsi="游明朝"/>
          <w:sz w:val="22"/>
          <w:szCs w:val="22"/>
          <w:b/>
        </w:rPr>
        <w:t xml:space="preserve">このランキングから読み取れる構造</w:t>
      </w:r>
    </w:p>
    <w:p>
      <w:pPr>
        <w:pStyle w:val="ListParagraph"/>
        <w:numPr>
          <w:ilvl w:val="0"/>
          <w:numId w:val="2"/>
        </w:numPr>
        <w:spacing w:after="40" w:before="40" w:line="320"/>
      </w:pPr>
      <w:r>
        <w:rPr>
          <w:rFonts w:ascii="游明朝" w:cs="游明朝" w:eastAsia="游明朝" w:hAnsi="游明朝"/>
          <w:sz w:val="22"/>
          <w:szCs w:val="22"/>
        </w:rPr>
        <w:t xml:space="preserve">県内上位5位までを内陸部の事業体(美里町・登米市・涌谷町・栗原市・山元町)が占めており、北上川流域・大崎平野エリアに高料金地域が集中している</w:t>
      </w:r>
    </w:p>
    <w:p>
      <w:pPr>
        <w:pStyle w:val="ListParagraph"/>
        <w:numPr>
          <w:ilvl w:val="0"/>
          <w:numId w:val="2"/>
        </w:numPr>
        <w:spacing w:after="40" w:before="40" w:line="320"/>
      </w:pPr>
      <w:r>
        <w:rPr>
          <w:rFonts w:ascii="游明朝" w:cs="游明朝" w:eastAsia="游明朝" w:hAnsi="游明朝"/>
          <w:sz w:val="22"/>
          <w:szCs w:val="22"/>
        </w:rPr>
        <w:t xml:space="preserve">本検討の対象である臨海4団体のうち、家庭用ランキングでは気仙沼市が県内14位(全国215位)、その他3団体(石巻広域・塩竈市・女川町)は10㎥使用ベースでは2,000円未満で全国上位リスト圏外となっている</w:t>
      </w:r>
    </w:p>
    <w:p>
      <w:pPr>
        <w:pStyle w:val="ListParagraph"/>
        <w:numPr>
          <w:ilvl w:val="0"/>
          <w:numId w:val="2"/>
        </w:numPr>
        <w:spacing w:after="40" w:before="40" w:line="320"/>
      </w:pPr>
      <w:r>
        <w:rPr>
          <w:rFonts w:ascii="游明朝" w:cs="游明朝" w:eastAsia="游明朝" w:hAnsi="游明朝"/>
          <w:sz w:val="22"/>
          <w:szCs w:val="22"/>
        </w:rPr>
        <w:t xml:space="preserve">つまり、宮城県内の料金格差は『臨海部 vs 内陸部』という大きな構造を持っており、本検討の『臨海4団体間の格差(女川町 vs 他3団体)』は、より大きな県内格差構造の一部分を成している</w:t>
      </w:r>
    </w:p>
    <w:p>
      <w:pPr>
        <w:pStyle w:val="ListParagraph"/>
        <w:numPr>
          <w:ilvl w:val="0"/>
          <w:numId w:val="2"/>
        </w:numPr>
        <w:spacing w:after="40" w:before="40" w:line="320"/>
      </w:pPr>
      <w:r>
        <w:rPr>
          <w:rFonts w:ascii="游明朝" w:cs="游明朝" w:eastAsia="游明朝" w:hAnsi="游明朝"/>
          <w:sz w:val="22"/>
          <w:szCs w:val="22"/>
        </w:rPr>
        <w:t xml:space="preserve">登米市公式資料によれば、内陸部の高料金は『安定した地下水源の乏しさ』『広い区域に集落が点在することによる経営効率の低さ』『施設建設時の企業債(借金)償還負担』に起因する構造的問題であり、これは臨海部の事情とは質的に異なる</w:t>
      </w:r>
    </w:p>
    <w:p>
      <w:pPr>
        <w:pStyle w:val="ListParagraph"/>
        <w:numPr>
          <w:ilvl w:val="0"/>
          <w:numId w:val="2"/>
        </w:numPr>
        <w:spacing w:after="40" w:before="40" w:line="320"/>
      </w:pPr>
      <w:r>
        <w:rPr>
          <w:rFonts w:ascii="游明朝" w:cs="游明朝" w:eastAsia="游明朝" w:hAnsi="游明朝"/>
          <w:sz w:val="22"/>
          <w:szCs w:val="22"/>
        </w:rPr>
        <w:t xml:space="preserve">統一化検討の本来の射程は、最終的にはこの『臨海部 vs 内陸部』の構造格差も視野に入れた全県的な議論に発展する。本検討は、その中の重要な一部分(臨海部水産加工業集積地域の料金統一)を扱うものと位置づけられる</w:t>
      </w:r>
    </w:p>
    <w:p>
      <w:pPr>
        <w:spacing w:after="60" w:before="180" w:line="340"/>
      </w:pPr>
      <w:r>
        <w:rPr>
          <w:rFonts w:ascii="游明朝" w:cs="游明朝" w:eastAsia="游明朝" w:hAnsi="游明朝"/>
          <w:sz w:val="22"/>
          <w:szCs w:val="22"/>
          <w:b/>
        </w:rPr>
        <w:t xml:space="preserve">本検討との関係</w:t>
      </w:r>
    </w:p>
    <w:p>
      <w:pPr>
        <w:spacing w:after="60" w:before="60" w:line="340"/>
      </w:pPr>
      <w:r>
        <w:rPr>
          <w:rFonts w:ascii="游明朝" w:cs="游明朝" w:eastAsia="游明朝" w:hAnsi="游明朝"/>
          <w:sz w:val="22"/>
          <w:szCs w:val="22"/>
        </w:rPr>
        <w:t xml:space="preserve">真の全県統一化を進めるには、臨海部の格差調整(本検討の主題)に加え、内陸部高料金地域の負担調整も検討する必要がある。内陸部の高料金は構造的要因(水源・地形・債務)に起因するため、料金統一化に伴う相殺財源として、繰入金の見直し・広域化交付金・効率化による経費削減等が組み合わせとして必要となろう。本検討は、第8章で提案する『塩竈モデル統一+生産用水用区分』の方向性を、まず臨海部について検証したものであり、将来的な全県統一の足掛かりとして位置づけられる。</w:t>
      </w:r>
    </w:p>
    <w:p>
      <w:r>
        <w:br w:type="page"/>
      </w:r>
    </w:p>
    <w:p>
      <w:pPr>
        <w:pStyle w:val="Heading1"/>
      </w:pPr>
      <w:r>
        <w:rPr>
          <w:rFonts w:ascii="游ゴシック" w:cs="游ゴシック" w:eastAsia="游ゴシック" w:hAnsi="游ゴシック"/>
        </w:rPr>
        <w:t xml:space="preserve">第5章 決定的発見 ― 塩竈市『生産用水用』区分</w:t>
      </w:r>
    </w:p>
    <w:p>
      <w:pPr>
        <w:pStyle w:val="Heading2"/>
      </w:pPr>
      <w:r>
        <w:rPr>
          <w:rFonts w:ascii="游ゴシック" w:cs="游ゴシック" w:eastAsia="游ゴシック" w:hAnsi="游ゴシック"/>
        </w:rPr>
        <w:t xml:space="preserve">5.1 発見の経緯</w:t>
      </w:r>
    </w:p>
    <w:p>
      <w:pPr>
        <w:spacing w:after="60" w:before="60" w:line="340"/>
        <w:jc w:val="left"/>
      </w:pPr>
      <w:r>
        <w:rPr>
          <w:rFonts w:ascii="游明朝" w:cs="游明朝" w:eastAsia="游明朝" w:hAnsi="游明朝"/>
          <w:b w:val="false"/>
          <w:bCs w:val="false"/>
          <w:color w:val="000000"/>
          <w:sz w:val="22"/>
          <w:szCs w:val="22"/>
        </w:rPr>
        <w:t xml:space="preserve">塩竈市の料金体系を条例別表レベルで詳細確認した結果、一般用とは別に『生産用水用(従量105円/㎥、基本料金なし)』という産業用優遇区分が存在することが判明した。これは工場・水産加工業等の大口産業使用者を対象とした政策料金と考えられ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2F2" w:val="clear"/>
            <w:tcMar/>
          </w:tcPr>
          <w:p>
            <w:pPr>
              <w:spacing w:after="100"/>
            </w:pPr>
            <w:r>
              <w:rPr>
                <w:rFonts w:ascii="游ゴシック" w:cs="游ゴシック" w:eastAsia="游ゴシック" w:hAnsi="游ゴシック"/>
                <w:b/>
                <w:bCs/>
                <w:color w:val="C00000"/>
                <w:sz w:val="24"/>
                <w:szCs w:val="24"/>
              </w:rPr>
              <w:t xml:space="preserve">本検討の最重要発見</w:t>
            </w:r>
          </w:p>
          <w:p>
            <w:pPr>
              <w:spacing w:line="340"/>
            </w:pPr>
            <w:r>
              <w:rPr>
                <w:rFonts w:ascii="游明朝" w:cs="游明朝" w:eastAsia="游明朝" w:hAnsi="游明朝"/>
                <w:sz w:val="22"/>
                <w:szCs w:val="22"/>
              </w:rPr>
              <w:t xml:space="preserve">「県内で産業用優遇制度を持つのは女川町だけ」という前提は誤りであった。塩竈市にも実質的に同等の産業用優遇制度(生産用水用区分)が既に存在し、機能している。これは統一化検討において『塩竈モデル』の全県展開を検討する明確な根拠となる。</w:t>
            </w:r>
          </w:p>
        </w:tc>
      </w:tr>
    </w:tbl>
    <w:p>
      <w:r>
        <w:t xml:space="preserve"/>
      </w:r>
    </w:p>
    <w:p>
      <w:pPr>
        <w:pStyle w:val="Heading2"/>
      </w:pPr>
      <w:r>
        <w:rPr>
          <w:rFonts w:ascii="游ゴシック" w:cs="游ゴシック" w:eastAsia="游ゴシック" w:hAnsi="游ゴシック"/>
        </w:rPr>
        <w:t xml:space="preserve">5.2 女川町逓減制との比較</w:t>
      </w:r>
    </w:p>
    <w:p>
      <w:pPr>
        <w:spacing w:after="60" w:before="60" w:line="340"/>
        <w:jc w:val="left"/>
      </w:pPr>
      <w:r>
        <w:rPr>
          <w:rFonts w:ascii="游明朝" w:cs="游明朝" w:eastAsia="游明朝" w:hAnsi="游明朝"/>
          <w:b w:val="false"/>
          <w:bCs w:val="false"/>
          <w:color w:val="000000"/>
          <w:sz w:val="22"/>
          <w:szCs w:val="22"/>
        </w:rPr>
        <w:t xml:space="preserve">女川町の一般用逓減制(101㎥超で110円/㎥)と塩竈市の生産用水用(105円/㎥)は、異なる制度設計でありながら、大口産業に対して実質的に同水準(115円前後/㎥)の料金を提供している。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c>
          <w:tcPr>
            <w:tcW w:type="dxa" w:w="20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使用条件</w:t>
            </w:r>
          </w:p>
        </w:tc>
        <w:tc>
          <w:tcPr>
            <w:tcW w:type="dxa" w:w="2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女川町(一般用)</w:t>
            </w:r>
          </w:p>
        </w:tc>
        <w:tc>
          <w:tcPr>
            <w:tcW w:type="dxa" w:w="2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塩竈市(生産用水用)</w:t>
            </w:r>
          </w:p>
        </w:tc>
        <w:tc>
          <w:tcPr>
            <w:tcW w:type="dxa" w:w="2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塩竈市(一般用)</w:t>
            </w:r>
          </w:p>
        </w:tc>
      </w:tr>
      <w:tr>
        <w:tc>
          <w:tcPr>
            <w:tcW w:type="dxa" w:w="204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中規模(1,000㎥)</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111,980円</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115,500円</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C00000"/>
                <w:sz w:val="17"/>
                <w:szCs w:val="17"/>
              </w:rPr>
              <w:t xml:space="preserve">327,668円</w:t>
            </w:r>
          </w:p>
        </w:tc>
      </w:tr>
      <w:tr>
        <w:tc>
          <w:tcPr>
            <w:tcW w:type="dxa" w:w="204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大規模(3,000㎥)</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332,200円</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346,500円</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C00000"/>
                <w:sz w:val="17"/>
                <w:szCs w:val="17"/>
              </w:rPr>
              <w:t xml:space="preserve">987,668円</w:t>
            </w:r>
          </w:p>
        </w:tc>
      </w:tr>
      <w:tr>
        <w:tc>
          <w:tcPr>
            <w:tcW w:type="dxa" w:w="204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val="false"/>
                <w:bCs w:val="false"/>
                <w:color w:val="000000"/>
                <w:sz w:val="17"/>
                <w:szCs w:val="17"/>
              </w:rPr>
              <w:t xml:space="preserve">超大口(8,000㎥)</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882,420円</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548235"/>
                <w:sz w:val="17"/>
                <w:szCs w:val="17"/>
              </w:rPr>
              <w:t xml:space="preserve">924,000円</w:t>
            </w:r>
          </w:p>
        </w:tc>
        <w:tc>
          <w:tcPr>
            <w:tcW w:type="dxa" w:w="2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C00000"/>
                <w:sz w:val="17"/>
                <w:szCs w:val="17"/>
              </w:rPr>
              <w:t xml:space="preserve">2,629,968円</w:t>
            </w:r>
          </w:p>
        </w:tc>
      </w:tr>
    </w:tbl>
    <w:p>
      <w:r>
        <w:t xml:space="preserve"/>
      </w:r>
    </w:p>
    <w:p>
      <w:pPr>
        <w:jc w:val="center"/>
      </w:pPr>
      <w:r>
        <w:drawing>
          <wp:inline distT="0" distB="0" distL="0" distR="0">
            <wp:extent cx="5143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09875"/>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 塩竈市『生産用水用』は女川町逓減制とほぼ同水準を実現している</w:t>
      </w:r>
    </w:p>
    <w:p>
      <w:r>
        <w:t xml:space="preserve"/>
      </w:r>
    </w:p>
    <w:p>
      <w:pPr>
        <w:pStyle w:val="Heading2"/>
      </w:pPr>
      <w:r>
        <w:rPr>
          <w:rFonts w:ascii="游ゴシック" w:cs="游ゴシック" w:eastAsia="游ゴシック" w:hAnsi="游ゴシック"/>
        </w:rPr>
        <w:t xml:space="preserve">5.3 政策的含意</w:t>
      </w:r>
    </w:p>
    <w:p>
      <w:pPr>
        <w:pStyle w:val="ListParagraph"/>
        <w:numPr>
          <w:ilvl w:val="0"/>
          <w:numId w:val="2"/>
        </w:numPr>
        <w:spacing w:after="40" w:before="40" w:line="320"/>
      </w:pPr>
      <w:r>
        <w:rPr>
          <w:rFonts w:ascii="游明朝" w:cs="游明朝" w:eastAsia="游明朝" w:hAnsi="游明朝"/>
          <w:sz w:val="22"/>
          <w:szCs w:val="22"/>
        </w:rPr>
        <w:t xml:space="preserve">『産業用優遇は女川町固有』という認識を改める必要がある。県内では2つの方式(女川町の逓減制・塩竈市の生産用水用区分)で実質同水準の優遇が既に運用されている</w:t>
      </w:r>
    </w:p>
    <w:p>
      <w:pPr>
        <w:pStyle w:val="ListParagraph"/>
        <w:numPr>
          <w:ilvl w:val="0"/>
          <w:numId w:val="2"/>
        </w:numPr>
        <w:spacing w:after="40" w:before="40" w:line="320"/>
      </w:pPr>
      <w:r>
        <w:rPr>
          <w:rFonts w:ascii="游明朝" w:cs="游明朝" w:eastAsia="游明朝" w:hAnsi="游明朝"/>
          <w:sz w:val="22"/>
          <w:szCs w:val="22"/>
        </w:rPr>
        <w:t xml:space="preserve">統一化検討における『産業用特例区分』の新設は、既存事例の標準化に相当する。新たな制度設計ではなく既存制度の県内展開</w:t>
      </w:r>
    </w:p>
    <w:p>
      <w:pPr>
        <w:pStyle w:val="ListParagraph"/>
        <w:numPr>
          <w:ilvl w:val="0"/>
          <w:numId w:val="2"/>
        </w:numPr>
        <w:spacing w:after="40" w:before="40" w:line="320"/>
      </w:pPr>
      <w:r>
        <w:rPr>
          <w:rFonts w:ascii="游明朝" w:cs="游明朝" w:eastAsia="游明朝" w:hAnsi="游明朝"/>
          <w:sz w:val="22"/>
          <w:szCs w:val="22"/>
        </w:rPr>
        <w:t xml:space="preserve">塩竈市方式(用途別区分)は、女川町方式(逓減制)よりも制度上適用基準を明確化しやすい。実装時の運用ノウハウが県内に存在することは重要な利点</w:t>
      </w:r>
    </w:p>
    <w:p>
      <w:pPr>
        <w:pStyle w:val="ListParagraph"/>
        <w:numPr>
          <w:ilvl w:val="0"/>
          <w:numId w:val="2"/>
        </w:numPr>
        <w:spacing w:after="40" w:before="40" w:line="320"/>
      </w:pPr>
      <w:r>
        <w:rPr>
          <w:rFonts w:ascii="游明朝" w:cs="游明朝" w:eastAsia="游明朝" w:hAnsi="游明朝"/>
          <w:sz w:val="22"/>
          <w:szCs w:val="22"/>
        </w:rPr>
        <w:t xml:space="preserve">気仙沼市の大口逓減(1,001㎥超で約10%減)も、規模は小さいながら同じ方向性の設計。県内3団体で産業用配慮を制度化していることになる</w:t>
      </w:r>
    </w:p>
    <w:p>
      <w:r>
        <w:br w:type="page"/>
      </w:r>
    </w:p>
    <w:p>
      <w:pPr>
        <w:pStyle w:val="Heading1"/>
      </w:pPr>
      <w:r>
        <w:rPr>
          <w:rFonts w:ascii="游ゴシック" w:cs="游ゴシック" w:eastAsia="游ゴシック" w:hAnsi="游ゴシック"/>
        </w:rPr>
        <w:t xml:space="preserve">第6章 水産加工業への影響定量化</w:t>
      </w:r>
    </w:p>
    <w:p>
      <w:pPr>
        <w:pStyle w:val="Heading2"/>
      </w:pPr>
      <w:r>
        <w:rPr>
          <w:rFonts w:ascii="游ゴシック" w:cs="游ゴシック" w:eastAsia="游ゴシック" w:hAnsi="游ゴシック"/>
        </w:rPr>
        <w:t xml:space="preserve">6.1 個別事業者への影響(単純統一シナリオ)</w:t>
      </w:r>
    </w:p>
    <w:p>
      <w:pPr>
        <w:spacing w:after="60" w:before="60" w:line="340"/>
        <w:jc w:val="left"/>
      </w:pPr>
      <w:r>
        <w:rPr>
          <w:rFonts w:ascii="游明朝" w:cs="游明朝" w:eastAsia="游明朝" w:hAnsi="游明朝"/>
          <w:b w:val="false"/>
          <w:bCs w:val="false"/>
          <w:color w:val="000000"/>
          <w:sz w:val="22"/>
          <w:szCs w:val="22"/>
        </w:rPr>
        <w:t xml:space="preserve">4団体の加重平均的水準を想定した統一料金(単純統一)を適用した場合の、各団体事業者への影響は下表の通り。</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440"/>
        <w:gridCol w:w="1440"/>
        <w:gridCol w:w="1440"/>
      </w:tblGrid>
      <w:tr>
        <w:tc>
          <w:tcPr>
            <w:tcW w:type="dxa" w:w="18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区分</w:t>
            </w:r>
          </w:p>
        </w:tc>
        <w:tc>
          <w:tcPr>
            <w:tcW w:type="dxa" w:w="18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使用条件</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女川町</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気仙沼市</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石巻広域</w:t>
            </w:r>
          </w:p>
        </w:tc>
        <w:tc>
          <w:tcPr>
            <w:tcW w:type="dxa" w:w="144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塩竈市</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一般家庭</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20mm/20㎥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C00000"/>
                <w:sz w:val="17"/>
                <w:szCs w:val="17"/>
              </w:rPr>
              <w:t xml:space="preserve">+23.3%</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-36.1%</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-50.3%</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-23.7%</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小規模加工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25mm/200㎥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C00000"/>
                <w:sz w:val="17"/>
                <w:szCs w:val="17"/>
              </w:rPr>
              <w:t xml:space="preserve">+133.6%</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-18.0%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-24.6%</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-8.7%</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中規模加工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50mm/1,000㎥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C00000"/>
                <w:sz w:val="17"/>
                <w:szCs w:val="17"/>
              </w:rPr>
              <w:t xml:space="preserve">+192.1%</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-10.7%</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-8.8%</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-0.2%</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大規模加工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75mm/3,000㎥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C00000"/>
                <w:sz w:val="17"/>
                <w:szCs w:val="17"/>
              </w:rPr>
              <w:t xml:space="preserve">+197.5%</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-3.3%</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-7.7%</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+0.0%</w:t>
            </w:r>
          </w:p>
        </w:tc>
      </w:tr>
      <w:tr>
        <w:tc>
          <w:tcPr>
            <w:tcW w:type="dxa" w:w="1800"/>
            <w:tcBorders>
              <w:top w:val="single" w:color="999999" w:sz="4"/>
              <w:left w:val="single" w:color="999999" w:sz="4"/>
              <w:bottom w:val="single" w:color="999999" w:sz="4"/>
              <w:right w:val="single" w:color="999999" w:sz="4"/>
            </w:tcBorders>
            <w:shd w:fill="F2F2F2" w:val="clear"/>
            <w:tcMar/>
          </w:tcPr>
          <w:p>
            <w:pPr>
              <w:jc w:val="left"/>
            </w:pPr>
            <w:r>
              <w:rPr>
                <w:rFonts w:ascii="游ゴシック" w:cs="游ゴシック" w:eastAsia="游ゴシック" w:hAnsi="游ゴシック"/>
                <w:b/>
                <w:bCs/>
                <w:color w:val="000000"/>
                <w:sz w:val="17"/>
                <w:szCs w:val="17"/>
              </w:rPr>
              <w:t xml:space="preserve">超大口加工</w:t>
            </w:r>
          </w:p>
        </w:tc>
        <w:tc>
          <w:tcPr>
            <w:tcW w:type="dxa" w:w="18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100mm/8,000㎥</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C00000"/>
                <w:sz w:val="17"/>
                <w:szCs w:val="17"/>
              </w:rPr>
              <w:t xml:space="preserve">+204.3%</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+1.9%</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-5.5%</w:t>
            </w:r>
          </w:p>
        </w:tc>
        <w:tc>
          <w:tcPr>
            <w:tcW w:type="dxa" w:w="144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+2.1%</w:t>
            </w:r>
          </w:p>
        </w:tc>
      </w:tr>
    </w:tbl>
    <w:p>
      <w:r>
        <w:t xml:space="preserve"/>
      </w:r>
    </w:p>
    <w:p>
      <w:pPr>
        <w:spacing w:after="60" w:before="60" w:line="340"/>
        <w:jc w:val="left"/>
      </w:pPr>
      <w:r>
        <w:rPr>
          <w:rFonts w:ascii="游明朝" w:cs="游明朝" w:eastAsia="游明朝" w:hAnsi="游明朝"/>
          <w:b/>
          <w:bCs/>
          <w:color w:val="000000"/>
          <w:sz w:val="22"/>
          <w:szCs w:val="22"/>
        </w:rPr>
        <w:t xml:space="preserve">ここから読み取れる重要な構造</w:t>
      </w:r>
    </w:p>
    <w:p>
      <w:pPr>
        <w:pStyle w:val="ListParagraph"/>
        <w:numPr>
          <w:ilvl w:val="0"/>
          <w:numId w:val="2"/>
        </w:numPr>
        <w:spacing w:after="40" w:before="40" w:line="320"/>
      </w:pPr>
      <w:r>
        <w:rPr>
          <w:rFonts w:ascii="游明朝" w:cs="游明朝" w:eastAsia="游明朝" w:hAnsi="游明朝"/>
          <w:sz w:val="22"/>
          <w:szCs w:val="22"/>
        </w:rPr>
        <w:t xml:space="preserve">女川町の水産加工業者のみが+130~200%という極端な負担増に晒される。他3団体は概ね±10%以内に収まる</w:t>
      </w:r>
    </w:p>
    <w:p>
      <w:pPr>
        <w:pStyle w:val="ListParagraph"/>
        <w:numPr>
          <w:ilvl w:val="0"/>
          <w:numId w:val="2"/>
        </w:numPr>
        <w:spacing w:after="40" w:before="40" w:line="320"/>
      </w:pPr>
      <w:r>
        <w:rPr>
          <w:rFonts w:ascii="游明朝" w:cs="游明朝" w:eastAsia="游明朝" w:hAnsi="游明朝"/>
          <w:sz w:val="22"/>
          <w:szCs w:val="22"/>
        </w:rPr>
        <w:t xml:space="preserve">つまり統一化の『痛み』は実質的に女川町1団体に集中する</w:t>
      </w:r>
    </w:p>
    <w:p>
      <w:pPr>
        <w:pStyle w:val="ListParagraph"/>
        <w:numPr>
          <w:ilvl w:val="0"/>
          <w:numId w:val="2"/>
        </w:numPr>
        <w:spacing w:after="40" w:before="40" w:line="320"/>
      </w:pPr>
      <w:r>
        <w:rPr>
          <w:rFonts w:ascii="游明朝" w:cs="游明朝" w:eastAsia="游明朝" w:hAnsi="游明朝"/>
          <w:sz w:val="22"/>
          <w:szCs w:val="22"/>
        </w:rPr>
        <w:t xml:space="preserve">家庭用では他3団体が値下げになるが、これは現行の他団体料金が比較的高水準にあるため</w:t>
      </w:r>
    </w:p>
    <w:p>
      <w:r>
        <w:t xml:space="preserve"/>
      </w:r>
    </w:p>
    <w:p>
      <w:pPr>
        <w:pStyle w:val="Heading2"/>
      </w:pPr>
      <w:r>
        <w:rPr>
          <w:rFonts w:ascii="游ゴシック" w:cs="游ゴシック" w:eastAsia="游ゴシック" w:hAnsi="游ゴシック"/>
        </w:rPr>
        <w:t xml:space="preserve">6.2 県全体への年間影響(単純統一)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900"/>
        <w:gridCol w:w="2560"/>
      </w:tblGrid>
      <w:tr>
        <w:tc>
          <w:tcPr>
            <w:tcW w:type="dxa" w:w="17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団体</w:t>
            </w:r>
          </w:p>
        </w:tc>
        <w:tc>
          <w:tcPr>
            <w:tcW w:type="dxa" w:w="13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社数</w:t>
            </w:r>
          </w:p>
        </w:tc>
        <w:tc>
          <w:tcPr>
            <w:tcW w:type="dxa" w:w="19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現行年額</w:t>
            </w:r>
          </w:p>
        </w:tc>
        <w:tc>
          <w:tcPr>
            <w:tcW w:type="dxa" w:w="19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統一後年額</w:t>
            </w:r>
          </w:p>
        </w:tc>
        <w:tc>
          <w:tcPr>
            <w:tcW w:type="dxa" w:w="256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差額(変化率)</w:t>
            </w:r>
          </w:p>
        </w:tc>
      </w:tr>
      <w:tr>
        <w:tc>
          <w:tcPr>
            <w:tcW w:type="dxa" w:w="1700"/>
            <w:tcBorders>
              <w:top w:val="single" w:color="999999" w:sz="4"/>
              <w:left w:val="single" w:color="999999" w:sz="4"/>
              <w:bottom w:val="single" w:color="999999" w:sz="4"/>
              <w:right w:val="single" w:color="999999" w:sz="4"/>
            </w:tcBorders>
            <w:shd w:fill="FFF2CC" w:val="clear"/>
            <w:tcMar/>
          </w:tcPr>
          <w:p>
            <w:pPr>
              <w:jc w:val="left"/>
            </w:pPr>
            <w:r>
              <w:rPr>
                <w:rFonts w:ascii="游ゴシック" w:cs="游ゴシック" w:eastAsia="游ゴシック" w:hAnsi="游ゴシック"/>
                <w:b/>
                <w:bCs/>
                <w:color w:val="000000"/>
                <w:sz w:val="17"/>
                <w:szCs w:val="17"/>
              </w:rPr>
              <w:t xml:space="preserve">女川町</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19社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0.43億円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C00000"/>
                <w:sz w:val="17"/>
                <w:szCs w:val="17"/>
              </w:rPr>
              <w:t xml:space="preserve">1.24億円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bCs/>
                <w:color w:val="C00000"/>
                <w:sz w:val="17"/>
                <w:szCs w:val="17"/>
              </w:rPr>
              <w:t xml:space="preserve">+0.82億円(+191%)</w:t>
            </w:r>
          </w:p>
        </w:tc>
      </w:tr>
      <w:tr>
        <w:tc>
          <w:tcPr>
            <w:tcW w:type="dxa" w:w="17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気仙沼市</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120社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8.34億円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7.85億円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-0.49億円(-5.9%)</w:t>
            </w:r>
          </w:p>
        </w:tc>
      </w:tr>
      <w:tr>
        <w:tc>
          <w:tcPr>
            <w:tcW w:type="dxa" w:w="17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石巻広域</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180社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12.99億円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11.77億円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-1.22億円(-9.4%)</w:t>
            </w:r>
          </w:p>
        </w:tc>
      </w:tr>
      <w:tr>
        <w:tc>
          <w:tcPr>
            <w:tcW w:type="dxa" w:w="17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塩竈市</w:t>
            </w:r>
          </w:p>
        </w:tc>
        <w:tc>
          <w:tcPr>
            <w:tcW w:type="dxa" w:w="13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90社</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5.96億円</w:t>
            </w:r>
          </w:p>
        </w:tc>
        <w:tc>
          <w:tcPr>
            <w:tcW w:type="dxa" w:w="190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000000"/>
                <w:sz w:val="17"/>
                <w:szCs w:val="17"/>
              </w:rPr>
              <w:t xml:space="preserve">5.89億円</w:t>
            </w:r>
          </w:p>
        </w:tc>
        <w:tc>
          <w:tcPr>
            <w:tcW w:type="dxa" w:w="2560"/>
            <w:tcBorders>
              <w:top w:val="single" w:color="999999" w:sz="4"/>
              <w:left w:val="single" w:color="999999" w:sz="4"/>
              <w:bottom w:val="single" w:color="999999" w:sz="4"/>
              <w:right w:val="single" w:color="999999" w:sz="4"/>
            </w:tcBorders>
            <w:tcMar/>
          </w:tcPr>
          <w:p>
            <w:pPr>
              <w:jc w:val="right"/>
            </w:pPr>
            <w:r>
              <w:rPr>
                <w:rFonts w:ascii="游ゴシック" w:cs="游ゴシック" w:eastAsia="游ゴシック" w:hAnsi="游ゴシック"/>
                <w:b w:val="false"/>
                <w:bCs w:val="false"/>
                <w:color w:val="548235"/>
                <w:sz w:val="17"/>
                <w:szCs w:val="17"/>
              </w:rPr>
              <w:t xml:space="preserve">-0.07億円(-1.3%)</w:t>
            </w:r>
          </w:p>
        </w:tc>
      </w:tr>
      <w:tr>
        <w:tc>
          <w:tcPr>
            <w:tcW w:type="dxa" w:w="1700"/>
            <w:tcBorders>
              <w:top w:val="single" w:color="999999" w:sz="4"/>
              <w:left w:val="single" w:color="999999" w:sz="4"/>
              <w:bottom w:val="single" w:color="999999" w:sz="4"/>
              <w:right w:val="single" w:color="999999" w:sz="4"/>
            </w:tcBorders>
            <w:shd w:fill="1F4E78" w:val="clear"/>
            <w:tcMar/>
          </w:tcPr>
          <w:p>
            <w:pPr>
              <w:jc w:val="left"/>
            </w:pPr>
            <w:r>
              <w:rPr>
                <w:rFonts w:ascii="游ゴシック" w:cs="游ゴシック" w:eastAsia="游ゴシック" w:hAnsi="游ゴシック"/>
                <w:b/>
                <w:bCs/>
                <w:color w:val="FFFFFF"/>
                <w:sz w:val="17"/>
                <w:szCs w:val="17"/>
              </w:rPr>
              <w:t xml:space="preserve">4団体計</w:t>
            </w:r>
          </w:p>
        </w:tc>
        <w:tc>
          <w:tcPr>
            <w:tcW w:type="dxa" w:w="13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409社</w:t>
            </w:r>
          </w:p>
        </w:tc>
        <w:tc>
          <w:tcPr>
            <w:tcW w:type="dxa" w:w="1900"/>
            <w:tcBorders>
              <w:top w:val="single" w:color="999999" w:sz="4"/>
              <w:left w:val="single" w:color="999999" w:sz="4"/>
              <w:bottom w:val="single" w:color="999999" w:sz="4"/>
              <w:right w:val="single" w:color="999999" w:sz="4"/>
            </w:tcBorders>
            <w:shd w:fill="1F4E78" w:val="clear"/>
            <w:tcMar/>
          </w:tcPr>
          <w:p>
            <w:pPr>
              <w:jc w:val="right"/>
            </w:pPr>
            <w:r>
              <w:rPr>
                <w:rFonts w:ascii="游ゴシック" w:cs="游ゴシック" w:eastAsia="游ゴシック" w:hAnsi="游ゴシック"/>
                <w:b/>
                <w:bCs/>
                <w:color w:val="FFFFFF"/>
                <w:sz w:val="17"/>
                <w:szCs w:val="17"/>
              </w:rPr>
              <w:t xml:space="preserve">27.72億円</w:t>
            </w:r>
          </w:p>
        </w:tc>
        <w:tc>
          <w:tcPr>
            <w:tcW w:type="dxa" w:w="1900"/>
            <w:tcBorders>
              <w:top w:val="single" w:color="999999" w:sz="4"/>
              <w:left w:val="single" w:color="999999" w:sz="4"/>
              <w:bottom w:val="single" w:color="999999" w:sz="4"/>
              <w:right w:val="single" w:color="999999" w:sz="4"/>
            </w:tcBorders>
            <w:shd w:fill="1F4E78" w:val="clear"/>
            <w:tcMar/>
          </w:tcPr>
          <w:p>
            <w:pPr>
              <w:jc w:val="right"/>
            </w:pPr>
            <w:r>
              <w:rPr>
                <w:rFonts w:ascii="游ゴシック" w:cs="游ゴシック" w:eastAsia="游ゴシック" w:hAnsi="游ゴシック"/>
                <w:b/>
                <w:bCs/>
                <w:color w:val="FFFFFF"/>
                <w:sz w:val="17"/>
                <w:szCs w:val="17"/>
              </w:rPr>
              <w:t xml:space="preserve">26.75億円</w:t>
            </w:r>
          </w:p>
        </w:tc>
        <w:tc>
          <w:tcPr>
            <w:tcW w:type="dxa" w:w="2560"/>
            <w:tcBorders>
              <w:top w:val="single" w:color="999999" w:sz="4"/>
              <w:left w:val="single" w:color="999999" w:sz="4"/>
              <w:bottom w:val="single" w:color="999999" w:sz="4"/>
              <w:right w:val="single" w:color="999999" w:sz="4"/>
            </w:tcBorders>
            <w:shd w:fill="1F4E78" w:val="clear"/>
            <w:tcMar/>
          </w:tcPr>
          <w:p>
            <w:pPr>
              <w:jc w:val="right"/>
            </w:pPr>
            <w:r>
              <w:rPr>
                <w:rFonts w:ascii="游ゴシック" w:cs="游ゴシック" w:eastAsia="游ゴシック" w:hAnsi="游ゴシック"/>
                <w:b/>
                <w:bCs/>
                <w:color w:val="FFFFFF"/>
                <w:sz w:val="17"/>
                <w:szCs w:val="17"/>
              </w:rPr>
              <w:t xml:space="preserve">-0.97億円(-3.5%)</w:t>
            </w:r>
          </w:p>
        </w:tc>
      </w:tr>
    </w:tbl>
    <w:p>
      <w:r>
        <w:t xml:space="preserve"/>
      </w:r>
    </w:p>
    <w:p>
      <w:pPr>
        <w:pStyle w:val="Heading2"/>
      </w:pPr>
      <w:r>
        <w:rPr>
          <w:rFonts w:ascii="游ゴシック" w:cs="游ゴシック" w:eastAsia="游ゴシック" w:hAnsi="游ゴシック"/>
        </w:rPr>
        <w:t xml:space="preserve">6.3 事業継続性への定性的影響</w:t>
      </w:r>
    </w:p>
    <w:p>
      <w:pPr>
        <w:pStyle w:val="ListParagraph"/>
        <w:numPr>
          <w:ilvl w:val="0"/>
          <w:numId w:val="2"/>
        </w:numPr>
        <w:spacing w:after="40" w:before="40" w:line="320"/>
      </w:pPr>
      <w:r>
        <w:rPr>
          <w:rFonts w:ascii="游明朝" w:cs="游明朝" w:eastAsia="游明朝" w:hAnsi="游明朝"/>
          <w:sz w:val="22"/>
          <w:szCs w:val="22"/>
        </w:rPr>
        <w:t xml:space="preserve">水産加工業の売上高営業利益率は一般に3~5%程度と低い。水道コストの3倍化(現行比+200%)は利益圧迫が深刻</w:t>
      </w:r>
    </w:p>
    <w:p>
      <w:pPr>
        <w:pStyle w:val="ListParagraph"/>
        <w:numPr>
          <w:ilvl w:val="0"/>
          <w:numId w:val="2"/>
        </w:numPr>
        <w:spacing w:after="40" w:before="40" w:line="320"/>
      </w:pPr>
      <w:r>
        <w:rPr>
          <w:rFonts w:ascii="游明朝" w:cs="游明朝" w:eastAsia="游明朝" w:hAnsi="游明朝"/>
          <w:sz w:val="22"/>
          <w:szCs w:val="22"/>
        </w:rPr>
        <w:t xml:space="preserve">特に冷凍・下処理・洗浄工程で水を大量使用する業態(さんま・さけ等)では影響が大きい</w:t>
      </w:r>
    </w:p>
    <w:p>
      <w:pPr>
        <w:pStyle w:val="ListParagraph"/>
        <w:numPr>
          <w:ilvl w:val="0"/>
          <w:numId w:val="2"/>
        </w:numPr>
        <w:spacing w:after="40" w:before="40" w:line="320"/>
      </w:pPr>
      <w:r>
        <w:rPr>
          <w:rFonts w:ascii="游明朝" w:cs="游明朝" w:eastAsia="游明朝" w:hAnsi="游明朝"/>
          <w:sz w:val="22"/>
          <w:szCs w:val="22"/>
        </w:rPr>
        <w:t xml:space="preserve">震災復興で再建した事業者が、統一化のタイミングで再び経営判断を迫られる懸念</w:t>
      </w:r>
    </w:p>
    <w:p>
      <w:pPr>
        <w:pStyle w:val="ListParagraph"/>
        <w:numPr>
          <w:ilvl w:val="0"/>
          <w:numId w:val="2"/>
        </w:numPr>
        <w:spacing w:after="40" w:before="40" w:line="320"/>
      </w:pPr>
      <w:r>
        <w:rPr>
          <w:rFonts w:ascii="游明朝" w:cs="游明朝" w:eastAsia="游明朝" w:hAnsi="游明朝"/>
          <w:sz w:val="22"/>
          <w:szCs w:val="22"/>
        </w:rPr>
        <w:t xml:space="preserve">加工業の縮小は漁業者の出口(買い付け先)を失い、漁業就業者の減少にも波及する負の連鎖を招きうる</w:t>
      </w:r>
    </w:p>
    <w:p>
      <w:r>
        <w:br w:type="page"/>
      </w:r>
    </w:p>
    <w:p>
      <w:pPr>
        <w:pStyle w:val="Heading1"/>
      </w:pPr>
      <w:r>
        <w:rPr>
          <w:rFonts w:ascii="游ゴシック" w:cs="游ゴシック" w:eastAsia="游ゴシック" w:hAnsi="游ゴシック"/>
        </w:rPr>
        <w:t xml:space="preserve">第7章 政策選択肢の評価</w:t>
      </w:r>
    </w:p>
    <w:p>
      <w:pPr>
        <w:pStyle w:val="Heading2"/>
      </w:pPr>
      <w:r>
        <w:rPr>
          <w:rFonts w:ascii="游ゴシック" w:cs="游ゴシック" w:eastAsia="游ゴシック" w:hAnsi="游ゴシック"/>
        </w:rPr>
        <w:t xml:space="preserve">7.1 検討した政策選択肢</w:t>
      </w:r>
    </w:p>
    <w:p>
      <w:pPr>
        <w:spacing w:after="60" w:before="60" w:line="340"/>
        <w:jc w:val="left"/>
      </w:pPr>
      <w:r>
        <w:rPr>
          <w:rFonts w:ascii="游明朝" w:cs="游明朝" w:eastAsia="游明朝" w:hAnsi="游明朝"/>
          <w:b w:val="false"/>
          <w:bCs w:val="false"/>
          <w:color w:val="000000"/>
          <w:sz w:val="22"/>
          <w:szCs w:val="22"/>
        </w:rPr>
        <w:t xml:space="preserve">以下の4つの政策選択肢を評価した。</w:t>
      </w:r>
    </w:p>
    <w:p>
      <w:r>
        <w:t xml:space="preserve"/>
      </w:r>
    </w:p>
    <w:p>
      <w:pPr>
        <w:spacing w:after="60" w:before="60" w:line="340"/>
        <w:jc w:val="left"/>
      </w:pPr>
      <w:r>
        <w:rPr>
          <w:rFonts w:ascii="游明朝" w:cs="游明朝" w:eastAsia="游明朝" w:hAnsi="游明朝"/>
          <w:b/>
          <w:bCs/>
          <w:color w:val="000000"/>
          <w:sz w:val="22"/>
          <w:szCs w:val="22"/>
        </w:rPr>
        <w:t xml:space="preserve">選択肢A: 塩竈モデル(生産用水用区分の全県導入)</w:t>
      </w:r>
    </w:p>
    <w:p>
      <w:pPr>
        <w:pStyle w:val="ListParagraph"/>
        <w:numPr>
          <w:ilvl w:val="0"/>
          <w:numId w:val="2"/>
        </w:numPr>
        <w:spacing w:after="40" w:before="40" w:line="320"/>
      </w:pPr>
      <w:r>
        <w:rPr>
          <w:rFonts w:ascii="游明朝" w:cs="游明朝" w:eastAsia="游明朝" w:hAnsi="游明朝"/>
          <w:sz w:val="22"/>
          <w:szCs w:val="22"/>
        </w:rPr>
        <w:t xml:space="preserve">内容: 統一料金体系に『生産用水用』区分(105円/㎥、基本料金なし)を組み込む</w:t>
      </w:r>
    </w:p>
    <w:p>
      <w:pPr>
        <w:pStyle w:val="ListParagraph"/>
        <w:numPr>
          <w:ilvl w:val="0"/>
          <w:numId w:val="2"/>
        </w:numPr>
        <w:spacing w:after="40" w:before="40" w:line="320"/>
      </w:pPr>
      <w:r>
        <w:rPr>
          <w:rFonts w:ascii="游明朝" w:cs="游明朝" w:eastAsia="游明朝" w:hAnsi="游明朝"/>
          <w:sz w:val="22"/>
          <w:szCs w:val="22"/>
        </w:rPr>
        <w:t xml:space="preserve">対象: 月間使用水量200㎥以上の水産加工業・製造業等の指定業種</w:t>
      </w:r>
    </w:p>
    <w:p>
      <w:pPr>
        <w:pStyle w:val="ListParagraph"/>
        <w:numPr>
          <w:ilvl w:val="0"/>
          <w:numId w:val="2"/>
        </w:numPr>
        <w:spacing w:after="40" w:before="40" w:line="320"/>
      </w:pPr>
      <w:r>
        <w:rPr>
          <w:rFonts w:ascii="游明朝" w:cs="游明朝" w:eastAsia="游明朝" w:hAnsi="游明朝"/>
          <w:sz w:val="22"/>
          <w:szCs w:val="22"/>
        </w:rPr>
        <w:t xml:space="preserve">根拠: 塩竈市で既に運用実績あり。運用ノウハウが県内に存在</w:t>
      </w:r>
    </w:p>
    <w:p>
      <w:r>
        <w:t xml:space="preserve"/>
      </w:r>
    </w:p>
    <w:p>
      <w:pPr>
        <w:spacing w:after="60" w:before="60" w:line="340"/>
        <w:jc w:val="left"/>
      </w:pPr>
      <w:r>
        <w:rPr>
          <w:rFonts w:ascii="游明朝" w:cs="游明朝" w:eastAsia="游明朝" w:hAnsi="游明朝"/>
          <w:b/>
          <w:bCs/>
          <w:color w:val="000000"/>
          <w:sz w:val="22"/>
          <w:szCs w:val="22"/>
        </w:rPr>
        <w:t xml:space="preserve">選択肢B: 気仙沼モデル(大口逓減の強化)</w:t>
      </w:r>
    </w:p>
    <w:p>
      <w:pPr>
        <w:pStyle w:val="ListParagraph"/>
        <w:numPr>
          <w:ilvl w:val="0"/>
          <w:numId w:val="2"/>
        </w:numPr>
        <w:spacing w:after="40" w:before="40" w:line="320"/>
      </w:pPr>
      <w:r>
        <w:rPr>
          <w:rFonts w:ascii="游明朝" w:cs="游明朝" w:eastAsia="游明朝" w:hAnsi="游明朝"/>
          <w:sz w:val="22"/>
          <w:szCs w:val="22"/>
        </w:rPr>
        <w:t xml:space="preserve">内容: 統一料金に『1,001㎥超で30~50%減』のような強い逓減を組み込む</w:t>
      </w:r>
    </w:p>
    <w:p>
      <w:pPr>
        <w:pStyle w:val="ListParagraph"/>
        <w:numPr>
          <w:ilvl w:val="0"/>
          <w:numId w:val="2"/>
        </w:numPr>
        <w:spacing w:after="40" w:before="40" w:line="320"/>
      </w:pPr>
      <w:r>
        <w:rPr>
          <w:rFonts w:ascii="游明朝" w:cs="游明朝" w:eastAsia="游明朝" w:hAnsi="游明朝"/>
          <w:sz w:val="22"/>
          <w:szCs w:val="22"/>
        </w:rPr>
        <w:t xml:space="preserve">対象: 全大口使用者(業種指定なし)</w:t>
      </w:r>
    </w:p>
    <w:p>
      <w:pPr>
        <w:pStyle w:val="ListParagraph"/>
        <w:numPr>
          <w:ilvl w:val="0"/>
          <w:numId w:val="2"/>
        </w:numPr>
        <w:spacing w:after="40" w:before="40" w:line="320"/>
      </w:pPr>
      <w:r>
        <w:rPr>
          <w:rFonts w:ascii="游明朝" w:cs="游明朝" w:eastAsia="游明朝" w:hAnsi="游明朝"/>
          <w:sz w:val="22"/>
          <w:szCs w:val="22"/>
        </w:rPr>
        <w:t xml:space="preserve">根拠: 気仙沼市の既存制度の延長線上だが、強化が必要</w:t>
      </w:r>
    </w:p>
    <w:p>
      <w:r>
        <w:t xml:space="preserve"/>
      </w:r>
    </w:p>
    <w:p>
      <w:pPr>
        <w:spacing w:after="60" w:before="60" w:line="340"/>
        <w:jc w:val="left"/>
      </w:pPr>
      <w:r>
        <w:rPr>
          <w:rFonts w:ascii="游明朝" w:cs="游明朝" w:eastAsia="游明朝" w:hAnsi="游明朝"/>
          <w:b/>
          <w:bCs/>
          <w:color w:val="000000"/>
          <w:sz w:val="22"/>
          <w:szCs w:val="22"/>
        </w:rPr>
        <w:t xml:space="preserve">選択肢C: 長期経過措置</w:t>
      </w:r>
    </w:p>
    <w:p>
      <w:pPr>
        <w:pStyle w:val="ListParagraph"/>
        <w:numPr>
          <w:ilvl w:val="0"/>
          <w:numId w:val="2"/>
        </w:numPr>
        <w:spacing w:after="40" w:before="40" w:line="320"/>
      </w:pPr>
      <w:r>
        <w:rPr>
          <w:rFonts w:ascii="游明朝" w:cs="游明朝" w:eastAsia="游明朝" w:hAnsi="游明朝"/>
          <w:sz w:val="22"/>
          <w:szCs w:val="22"/>
        </w:rPr>
        <w:t xml:space="preserve">内容: 単純統一を基本としつつ、女川町のみ10~15年の段階的引上げ</w:t>
      </w:r>
    </w:p>
    <w:p>
      <w:pPr>
        <w:pStyle w:val="ListParagraph"/>
        <w:numPr>
          <w:ilvl w:val="0"/>
          <w:numId w:val="2"/>
        </w:numPr>
        <w:spacing w:after="40" w:before="40" w:line="320"/>
      </w:pPr>
      <w:r>
        <w:rPr>
          <w:rFonts w:ascii="游明朝" w:cs="游明朝" w:eastAsia="游明朝" w:hAnsi="游明朝"/>
          <w:sz w:val="22"/>
          <w:szCs w:val="22"/>
        </w:rPr>
        <w:t xml:space="preserve">対象: 女川町全事業者(業種を問わず)</w:t>
      </w:r>
    </w:p>
    <w:p>
      <w:pPr>
        <w:pStyle w:val="ListParagraph"/>
        <w:numPr>
          <w:ilvl w:val="0"/>
          <w:numId w:val="2"/>
        </w:numPr>
        <w:spacing w:after="40" w:before="40" w:line="320"/>
      </w:pPr>
      <w:r>
        <w:rPr>
          <w:rFonts w:ascii="游明朝" w:cs="游明朝" w:eastAsia="游明朝" w:hAnsi="游明朝"/>
          <w:sz w:val="22"/>
          <w:szCs w:val="22"/>
        </w:rPr>
        <w:t xml:space="preserve">根拠: 香川県広域水道企業団の事例(10年間の旧事業体別区分経理)</w:t>
      </w:r>
    </w:p>
    <w:p>
      <w:r>
        <w:t xml:space="preserve"/>
      </w:r>
    </w:p>
    <w:p>
      <w:pPr>
        <w:spacing w:after="60" w:before="60" w:line="340"/>
        <w:jc w:val="left"/>
      </w:pPr>
      <w:r>
        <w:rPr>
          <w:rFonts w:ascii="游明朝" w:cs="游明朝" w:eastAsia="游明朝" w:hAnsi="游明朝"/>
          <w:b/>
          <w:bCs/>
          <w:color w:val="000000"/>
          <w:sz w:val="22"/>
          <w:szCs w:val="22"/>
        </w:rPr>
        <w:t xml:space="preserve">選択肢D: 部分統一</w:t>
      </w:r>
    </w:p>
    <w:p>
      <w:pPr>
        <w:pStyle w:val="ListParagraph"/>
        <w:numPr>
          <w:ilvl w:val="0"/>
          <w:numId w:val="2"/>
        </w:numPr>
        <w:spacing w:after="40" w:before="40" w:line="320"/>
      </w:pPr>
      <w:r>
        <w:rPr>
          <w:rFonts w:ascii="游明朝" w:cs="游明朝" w:eastAsia="游明朝" w:hAnsi="游明朝"/>
          <w:sz w:val="22"/>
          <w:szCs w:val="22"/>
        </w:rPr>
        <w:t xml:space="preserve">内容: 家庭用のみ統一し、大口産業用は当面各団体体系を維持</w:t>
      </w:r>
    </w:p>
    <w:p>
      <w:pPr>
        <w:pStyle w:val="ListParagraph"/>
        <w:numPr>
          <w:ilvl w:val="0"/>
          <w:numId w:val="2"/>
        </w:numPr>
        <w:spacing w:after="40" w:before="40" w:line="320"/>
      </w:pPr>
      <w:r>
        <w:rPr>
          <w:rFonts w:ascii="游明朝" w:cs="游明朝" w:eastAsia="游明朝" w:hAnsi="游明朝"/>
          <w:sz w:val="22"/>
          <w:szCs w:val="22"/>
        </w:rPr>
        <w:t xml:space="preserve">対象: 家庭用・小規模事業者</w:t>
      </w:r>
    </w:p>
    <w:p>
      <w:pPr>
        <w:pStyle w:val="ListParagraph"/>
        <w:numPr>
          <w:ilvl w:val="0"/>
          <w:numId w:val="2"/>
        </w:numPr>
        <w:spacing w:after="40" w:before="40" w:line="320"/>
      </w:pPr>
      <w:r>
        <w:rPr>
          <w:rFonts w:ascii="游明朝" w:cs="游明朝" w:eastAsia="游明朝" w:hAnsi="游明朝"/>
          <w:sz w:val="22"/>
          <w:szCs w:val="22"/>
        </w:rPr>
        <w:t xml:space="preserve">根拠: 統一の対象を限定することで影響を抑制</w:t>
      </w:r>
    </w:p>
    <w:p>
      <w:r>
        <w:t xml:space="preserve"/>
      </w:r>
    </w:p>
    <w:p>
      <w:pPr>
        <w:pStyle w:val="Heading2"/>
      </w:pPr>
      <w:r>
        <w:rPr>
          <w:rFonts w:ascii="游ゴシック" w:cs="游ゴシック" w:eastAsia="游ゴシック" w:hAnsi="游ゴシック"/>
        </w:rPr>
        <w:t xml:space="preserve">7.2 選択肢の評価マトリクス</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評価項目</w:t>
            </w:r>
          </w:p>
        </w:tc>
        <w:tc>
          <w:tcPr>
            <w:tcW w:type="dxa" w:w="15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A:塩竈モデル</w:t>
            </w:r>
          </w:p>
        </w:tc>
        <w:tc>
          <w:tcPr>
            <w:tcW w:type="dxa" w:w="15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B:気仙沼強化</w:t>
            </w:r>
          </w:p>
        </w:tc>
        <w:tc>
          <w:tcPr>
            <w:tcW w:type="dxa" w:w="15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C:長期経過</w:t>
            </w:r>
          </w:p>
        </w:tc>
        <w:tc>
          <w:tcPr>
            <w:tcW w:type="dxa" w:w="15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D:部分統一</w:t>
            </w:r>
          </w:p>
        </w:tc>
        <w:tc>
          <w:tcPr>
            <w:tcW w:type="dxa" w:w="156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評価基準</w:t>
            </w:r>
          </w:p>
        </w:tc>
      </w:tr>
      <w:tr>
        <w:tc>
          <w:tcPr>
            <w:tcW w:type="dxa" w:w="18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女川町影響緩和</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bCs/>
                <w:color w:val="548235"/>
                <w:sz w:val="17"/>
                <w:szCs w:val="17"/>
              </w:rPr>
              <w:t xml:space="preserve">◎ +3%</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+50%程度</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初年度+19%(10年)</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548235"/>
                <w:sz w:val="17"/>
                <w:szCs w:val="17"/>
              </w:rPr>
              <w:t xml:space="preserve">◎ 影響なし</w:t>
            </w:r>
          </w:p>
        </w:tc>
        <w:tc>
          <w:tcPr>
            <w:tcW w:type="dxa" w:w="15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負担増の抑制</w:t>
            </w:r>
          </w:p>
        </w:tc>
      </w:tr>
      <w:tr>
        <w:tc>
          <w:tcPr>
            <w:tcW w:type="dxa" w:w="18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統一の本来目的達成</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達成</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部分達成</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10年後達成</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C00000"/>
                <w:sz w:val="17"/>
                <w:szCs w:val="17"/>
              </w:rPr>
              <w:t xml:space="preserve">× 未達</w:t>
            </w:r>
          </w:p>
        </w:tc>
        <w:tc>
          <w:tcPr>
            <w:tcW w:type="dxa" w:w="15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公平性・効率性</w:t>
            </w:r>
          </w:p>
        </w:tc>
      </w:tr>
      <w:tr>
        <w:tc>
          <w:tcPr>
            <w:tcW w:type="dxa" w:w="18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運用ノウハウ</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548235"/>
                <w:sz w:val="17"/>
                <w:szCs w:val="17"/>
              </w:rPr>
              <w:t xml:space="preserve">◎ 塩竈市で実績あり</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限定的</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香川県事例参考</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548235"/>
                <w:sz w:val="17"/>
                <w:szCs w:val="17"/>
              </w:rPr>
              <w:t xml:space="preserve">◎ 現行維持</w:t>
            </w:r>
          </w:p>
        </w:tc>
        <w:tc>
          <w:tcPr>
            <w:tcW w:type="dxa" w:w="15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実装可能性</w:t>
            </w:r>
          </w:p>
        </w:tc>
      </w:tr>
      <w:tr>
        <w:tc>
          <w:tcPr>
            <w:tcW w:type="dxa" w:w="180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bCs/>
                <w:color w:val="000000"/>
                <w:sz w:val="17"/>
                <w:szCs w:val="17"/>
              </w:rPr>
              <w:t xml:space="preserve">制度の明確性</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548235"/>
                <w:sz w:val="17"/>
                <w:szCs w:val="17"/>
              </w:rPr>
              <w:t xml:space="preserve">◎ 業種・水量で明確</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水量のみ</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経過期間中複雑</w:t>
            </w:r>
          </w:p>
        </w:tc>
        <w:tc>
          <w:tcPr>
            <w:tcW w:type="dxa" w:w="150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 二重体系</w:t>
            </w:r>
          </w:p>
        </w:tc>
        <w:tc>
          <w:tcPr>
            <w:tcW w:type="dxa" w:w="156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運用の透明性</w:t>
            </w:r>
          </w:p>
        </w:tc>
      </w:tr>
      <w:tr>
        <w:tc>
          <w:tcPr>
            <w:tcW w:type="dxa" w:w="1800"/>
            <w:tcBorders>
              <w:top w:val="single" w:color="999999" w:sz="4"/>
              <w:left w:val="single" w:color="999999" w:sz="4"/>
              <w:bottom w:val="single" w:color="999999" w:sz="4"/>
              <w:right w:val="single" w:color="999999" w:sz="4"/>
            </w:tcBorders>
            <w:shd w:fill="1F4E78" w:val="clear"/>
            <w:tcMar/>
          </w:tcPr>
          <w:p>
            <w:pPr>
              <w:jc w:val="left"/>
            </w:pPr>
            <w:r>
              <w:rPr>
                <w:rFonts w:ascii="游ゴシック" w:cs="游ゴシック" w:eastAsia="游ゴシック" w:hAnsi="游ゴシック"/>
                <w:b/>
                <w:bCs/>
                <w:color w:val="FFFFFF"/>
                <w:sz w:val="17"/>
                <w:szCs w:val="17"/>
              </w:rPr>
              <w:t xml:space="preserve">総合評価</w:t>
            </w:r>
          </w:p>
        </w:tc>
        <w:tc>
          <w:tcPr>
            <w:tcW w:type="dxa" w:w="1500"/>
            <w:tcBorders>
              <w:top w:val="single" w:color="999999" w:sz="4"/>
              <w:left w:val="single" w:color="999999" w:sz="4"/>
              <w:bottom w:val="single" w:color="999999" w:sz="4"/>
              <w:right w:val="single" w:color="999999" w:sz="4"/>
            </w:tcBorders>
            <w:shd w:fill="548235" w:val="clear"/>
            <w:tcMar/>
          </w:tcPr>
          <w:p>
            <w:pPr>
              <w:jc w:val="center"/>
            </w:pPr>
            <w:r>
              <w:rPr>
                <w:rFonts w:ascii="游ゴシック" w:cs="游ゴシック" w:eastAsia="游ゴシック" w:hAnsi="游ゴシック"/>
                <w:b/>
                <w:bCs/>
                <w:color w:val="FFFFFF"/>
                <w:sz w:val="17"/>
                <w:szCs w:val="17"/>
              </w:rPr>
              <w:t xml:space="preserve">◎ 最有力</w:t>
            </w:r>
          </w:p>
        </w:tc>
        <w:tc>
          <w:tcPr>
            <w:tcW w:type="dxa" w:w="1500"/>
            <w:tcBorders>
              <w:top w:val="single" w:color="999999" w:sz="4"/>
              <w:left w:val="single" w:color="999999" w:sz="4"/>
              <w:bottom w:val="single" w:color="999999" w:sz="4"/>
              <w:right w:val="single" w:color="999999" w:sz="4"/>
            </w:tcBorders>
            <w:shd w:fill="FFC000" w:val="clear"/>
            <w:tcMar/>
          </w:tcPr>
          <w:p>
            <w:pPr>
              <w:jc w:val="center"/>
            </w:pPr>
            <w:r>
              <w:rPr>
                <w:rFonts w:ascii="游ゴシック" w:cs="游ゴシック" w:eastAsia="游ゴシック" w:hAnsi="游ゴシック"/>
                <w:b w:val="false"/>
                <w:bCs w:val="false"/>
                <w:color w:val="000000"/>
                <w:sz w:val="17"/>
                <w:szCs w:val="17"/>
              </w:rPr>
              <w:t xml:space="preserve">△ 補助案</w:t>
            </w:r>
          </w:p>
        </w:tc>
        <w:tc>
          <w:tcPr>
            <w:tcW w:type="dxa" w:w="1500"/>
            <w:tcBorders>
              <w:top w:val="single" w:color="999999" w:sz="4"/>
              <w:left w:val="single" w:color="999999" w:sz="4"/>
              <w:bottom w:val="single" w:color="999999" w:sz="4"/>
              <w:right w:val="single" w:color="999999" w:sz="4"/>
            </w:tcBorders>
            <w:shd w:fill="BDD7EE" w:val="clear"/>
            <w:tcMar/>
          </w:tcPr>
          <w:p>
            <w:pPr>
              <w:jc w:val="center"/>
            </w:pPr>
            <w:r>
              <w:rPr>
                <w:rFonts w:ascii="游ゴシック" w:cs="游ゴシック" w:eastAsia="游ゴシック" w:hAnsi="游ゴシック"/>
                <w:b w:val="false"/>
                <w:bCs w:val="false"/>
                <w:color w:val="000000"/>
                <w:sz w:val="17"/>
                <w:szCs w:val="17"/>
              </w:rPr>
              <w:t xml:space="preserve">○ 補完案</w:t>
            </w:r>
          </w:p>
        </w:tc>
        <w:tc>
          <w:tcPr>
            <w:tcW w:type="dxa" w:w="1500"/>
            <w:tcBorders>
              <w:top w:val="single" w:color="999999" w:sz="4"/>
              <w:left w:val="single" w:color="999999" w:sz="4"/>
              <w:bottom w:val="single" w:color="999999" w:sz="4"/>
              <w:right w:val="single" w:color="999999" w:sz="4"/>
            </w:tcBorders>
            <w:shd w:fill="F8CBAD" w:val="clear"/>
            <w:tcMar/>
          </w:tcPr>
          <w:p>
            <w:pPr>
              <w:jc w:val="center"/>
            </w:pPr>
            <w:r>
              <w:rPr>
                <w:rFonts w:ascii="游ゴシック" w:cs="游ゴシック" w:eastAsia="游ゴシック" w:hAnsi="游ゴシック"/>
                <w:b w:val="false"/>
                <w:bCs w:val="false"/>
                <w:color w:val="000000"/>
                <w:sz w:val="17"/>
                <w:szCs w:val="17"/>
              </w:rPr>
              <w:t xml:space="preserve">× 不採用</w:t>
            </w:r>
          </w:p>
        </w:tc>
        <w:tc>
          <w:tcPr>
            <w:tcW w:type="dxa" w:w="1560"/>
            <w:tcBorders>
              <w:top w:val="single" w:color="999999" w:sz="4"/>
              <w:left w:val="single" w:color="999999" w:sz="4"/>
              <w:bottom w:val="single" w:color="999999" w:sz="4"/>
              <w:right w:val="single" w:color="999999" w:sz="4"/>
            </w:tcBorders>
            <w:tcMar/>
          </w:tcPr>
          <w:p>
            <w:pPr>
              <w:jc w:val="center"/>
            </w:pPr>
            <w:r>
              <w:rPr>
                <w:rFonts w:ascii="游ゴシック" w:cs="游ゴシック" w:eastAsia="游ゴシック" w:hAnsi="游ゴシック"/>
                <w:b w:val="false"/>
                <w:bCs w:val="false"/>
                <w:color w:val="000000"/>
                <w:sz w:val="17"/>
                <w:szCs w:val="17"/>
              </w:rPr>
              <w:t xml:space="preserve">―</w:t>
            </w:r>
          </w:p>
        </w:tc>
      </w:tr>
    </w:tbl>
    <w:p>
      <w:r>
        <w:t xml:space="preserve"/>
      </w:r>
    </w:p>
    <w:p>
      <w:pPr>
        <w:pStyle w:val="Heading2"/>
      </w:pPr>
      <w:r>
        <w:rPr>
          <w:rFonts w:ascii="游ゴシック" w:cs="游ゴシック" w:eastAsia="游ゴシック" w:hAnsi="游ゴシック"/>
        </w:rPr>
        <w:t xml:space="preserve">7.3 推奨アプローチ(複合型)</w:t>
      </w:r>
    </w:p>
    <w:p>
      <w:pPr>
        <w:spacing w:after="60" w:before="60" w:line="340"/>
        <w:jc w:val="left"/>
      </w:pPr>
      <w:r>
        <w:rPr>
          <w:rFonts w:ascii="游明朝" w:cs="游明朝" w:eastAsia="游明朝" w:hAnsi="游明朝"/>
          <w:b w:val="false"/>
          <w:bCs w:val="false"/>
          <w:color w:val="000000"/>
          <w:sz w:val="22"/>
          <w:szCs w:val="22"/>
        </w:rPr>
        <w:t xml:space="preserve">単独選択肢では十分でないため、以下の複合型を推奨する。</w:t>
      </w:r>
    </w:p>
    <w:p>
      <w:pPr>
        <w:pStyle w:val="ListParagraph"/>
        <w:numPr>
          <w:ilvl w:val="0"/>
          <w:numId w:val="2"/>
        </w:numPr>
        <w:spacing w:after="40" w:before="40" w:line="320"/>
      </w:pPr>
      <w:r>
        <w:rPr>
          <w:rFonts w:ascii="游明朝" w:cs="游明朝" w:eastAsia="游明朝" w:hAnsi="游明朝"/>
          <w:sz w:val="22"/>
          <w:szCs w:val="22"/>
        </w:rPr>
        <w:t xml:space="preserve">【核心】選択肢A(塩竈モデル)を採用し、県内水産加工業の安定した産業用料金を確保</w:t>
      </w:r>
    </w:p>
    <w:p>
      <w:pPr>
        <w:pStyle w:val="ListParagraph"/>
        <w:numPr>
          <w:ilvl w:val="0"/>
          <w:numId w:val="2"/>
        </w:numPr>
        <w:spacing w:after="40" w:before="40" w:line="320"/>
      </w:pPr>
      <w:r>
        <w:rPr>
          <w:rFonts w:ascii="游明朝" w:cs="游明朝" w:eastAsia="游明朝" w:hAnsi="游明朝"/>
          <w:sz w:val="22"/>
          <w:szCs w:val="22"/>
        </w:rPr>
        <w:t xml:space="preserve">【補完】選択肢C(10年経過措置)を女川町に適用し、塩竈モデル適用後の残存影響(+3%)に加え、適用基準の細部調整期間を確保</w:t>
      </w:r>
    </w:p>
    <w:p>
      <w:pPr>
        <w:pStyle w:val="ListParagraph"/>
        <w:numPr>
          <w:ilvl w:val="0"/>
          <w:numId w:val="2"/>
        </w:numPr>
        <w:spacing w:after="40" w:before="40" w:line="320"/>
      </w:pPr>
      <w:r>
        <w:rPr>
          <w:rFonts w:ascii="游明朝" w:cs="游明朝" w:eastAsia="游明朝" w:hAnsi="游明朝"/>
          <w:sz w:val="22"/>
          <w:szCs w:val="22"/>
        </w:rPr>
        <w:t xml:space="preserve">【併設】節水・水再利用設備導入補助制度を併設し、長期的な料金負担抑制を支援</w:t>
      </w:r>
    </w:p>
    <w:p>
      <w:r>
        <w:br w:type="page"/>
      </w:r>
    </w:p>
    <w:p>
      <w:pPr>
        <w:pStyle w:val="Heading1"/>
      </w:pPr>
      <w:r>
        <w:rPr>
          <w:rFonts w:ascii="游ゴシック" w:cs="游ゴシック" w:eastAsia="游ゴシック" w:hAnsi="游ゴシック"/>
        </w:rPr>
        <w:t xml:space="preserve">第8章 推奨政策パッケージ</w:t>
      </w:r>
    </w:p>
    <w:p>
      <w:pPr>
        <w:pStyle w:val="Heading2"/>
      </w:pPr>
      <w:r>
        <w:rPr>
          <w:rFonts w:ascii="游ゴシック" w:cs="游ゴシック" w:eastAsia="游ゴシック" w:hAnsi="游ゴシック"/>
        </w:rPr>
        <w:t xml:space="preserve">8.1 推奨政策の全体像</w:t>
      </w:r>
    </w:p>
    <w:p>
      <w:pPr>
        <w:spacing w:after="60" w:before="60" w:line="340"/>
        <w:jc w:val="left"/>
      </w:pPr>
      <w:r>
        <w:rPr>
          <w:rFonts w:ascii="游明朝" w:cs="游明朝" w:eastAsia="游明朝" w:hAnsi="游明朝"/>
          <w:b w:val="false"/>
          <w:bCs w:val="false"/>
          <w:color w:val="000000"/>
          <w:sz w:val="22"/>
          <w:szCs w:val="22"/>
        </w:rPr>
        <w:t xml:space="preserve">以下の3つの要素を組み合わせた政策パッケージを推奨する。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構成要素</w:t>
            </w:r>
          </w:p>
        </w:tc>
        <w:tc>
          <w:tcPr>
            <w:tcW w:type="dxa" w:w="368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内容</w:t>
            </w:r>
          </w:p>
        </w:tc>
        <w:tc>
          <w:tcPr>
            <w:tcW w:type="dxa" w:w="3680"/>
            <w:tcBorders>
              <w:top w:val="single" w:color="999999" w:sz="4"/>
              <w:left w:val="single" w:color="999999" w:sz="4"/>
              <w:bottom w:val="single" w:color="999999" w:sz="4"/>
              <w:right w:val="single" w:color="999999" w:sz="4"/>
            </w:tcBorders>
            <w:shd w:fill="1F4E78" w:val="clear"/>
            <w:tcMar/>
          </w:tcPr>
          <w:p>
            <w:pPr>
              <w:jc w:val="center"/>
            </w:pPr>
            <w:r>
              <w:rPr>
                <w:rFonts w:ascii="游ゴシック" w:cs="游ゴシック" w:eastAsia="游ゴシック" w:hAnsi="游ゴシック"/>
                <w:b/>
                <w:bCs/>
                <w:color w:val="FFFFFF"/>
                <w:sz w:val="17"/>
                <w:szCs w:val="17"/>
              </w:rPr>
              <w:t xml:space="preserve">期待効果</w:t>
            </w:r>
          </w:p>
        </w:tc>
      </w:tr>
      <w:tr>
        <w:tc>
          <w:tcPr>
            <w:tcW w:type="dxa" w:w="2000"/>
            <w:tcBorders>
              <w:top w:val="single" w:color="999999" w:sz="4"/>
              <w:left w:val="single" w:color="999999" w:sz="4"/>
              <w:bottom w:val="single" w:color="999999" w:sz="4"/>
              <w:right w:val="single" w:color="999999" w:sz="4"/>
            </w:tcBorders>
            <w:shd w:fill="E2EFDA" w:val="clear"/>
            <w:tcMar/>
          </w:tcPr>
          <w:p>
            <w:pPr>
              <w:jc w:val="left"/>
            </w:pPr>
            <w:r>
              <w:rPr>
                <w:rFonts w:ascii="游ゴシック" w:cs="游ゴシック" w:eastAsia="游ゴシック" w:hAnsi="游ゴシック"/>
                <w:b/>
                <w:bCs/>
                <w:color w:val="000000"/>
                <w:sz w:val="17"/>
                <w:szCs w:val="17"/>
              </w:rPr>
              <w:t xml:space="preserve">① 塩竈モデル統一</w:t>
            </w:r>
          </w:p>
        </w:tc>
        <w:tc>
          <w:tcPr>
            <w:tcW w:type="dxa" w:w="368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統一料金体系に『生産用水用』区分(105円/㎥)を設置。月間使用水量200㎥以上の水産加工業等を対象</w:t>
            </w:r>
          </w:p>
        </w:tc>
        <w:tc>
          <w:tcPr>
            <w:tcW w:type="dxa" w:w="368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548235"/>
                <w:sz w:val="17"/>
                <w:szCs w:val="17"/>
              </w:rPr>
              <w:t xml:space="preserve">女川町水産加工業の影響を+3%程度に抑制。他3団体の水産加工業も大幅な料金軽減</w:t>
            </w:r>
          </w:p>
        </w:tc>
      </w:tr>
      <w:tr>
        <w:tc>
          <w:tcPr>
            <w:tcW w:type="dxa" w:w="2000"/>
            <w:tcBorders>
              <w:top w:val="single" w:color="999999" w:sz="4"/>
              <w:left w:val="single" w:color="999999" w:sz="4"/>
              <w:bottom w:val="single" w:color="999999" w:sz="4"/>
              <w:right w:val="single" w:color="999999" w:sz="4"/>
            </w:tcBorders>
            <w:shd w:fill="DEEBF7" w:val="clear"/>
            <w:tcMar/>
          </w:tcPr>
          <w:p>
            <w:pPr>
              <w:jc w:val="left"/>
            </w:pPr>
            <w:r>
              <w:rPr>
                <w:rFonts w:ascii="游ゴシック" w:cs="游ゴシック" w:eastAsia="游ゴシック" w:hAnsi="游ゴシック"/>
                <w:b/>
                <w:bCs/>
                <w:color w:val="000000"/>
                <w:sz w:val="17"/>
                <w:szCs w:val="17"/>
              </w:rPr>
              <w:t xml:space="preserve">② 経過措置</w:t>
            </w:r>
          </w:p>
        </w:tc>
        <w:tc>
          <w:tcPr>
            <w:tcW w:type="dxa" w:w="368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女川町に対し10年間の段階的調整期間を設定。一般用料金については毎年1/10ずつ統一水準に近づける</w:t>
            </w:r>
          </w:p>
        </w:tc>
        <w:tc>
          <w:tcPr>
            <w:tcW w:type="dxa" w:w="368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548235"/>
                <w:sz w:val="17"/>
                <w:szCs w:val="17"/>
              </w:rPr>
              <w:t xml:space="preserve">家庭用の負担増(+23%)を初年度+2%程度に抑制。事業者の対応時間を確保</w:t>
            </w:r>
          </w:p>
        </w:tc>
      </w:tr>
      <w:tr>
        <w:tc>
          <w:tcPr>
            <w:tcW w:type="dxa" w:w="2000"/>
            <w:tcBorders>
              <w:top w:val="single" w:color="999999" w:sz="4"/>
              <w:left w:val="single" w:color="999999" w:sz="4"/>
              <w:bottom w:val="single" w:color="999999" w:sz="4"/>
              <w:right w:val="single" w:color="999999" w:sz="4"/>
            </w:tcBorders>
            <w:shd w:fill="FFF2CC" w:val="clear"/>
            <w:tcMar/>
          </w:tcPr>
          <w:p>
            <w:pPr>
              <w:jc w:val="left"/>
            </w:pPr>
            <w:r>
              <w:rPr>
                <w:rFonts w:ascii="游ゴシック" w:cs="游ゴシック" w:eastAsia="游ゴシック" w:hAnsi="游ゴシック"/>
                <w:b/>
                <w:bCs/>
                <w:color w:val="000000"/>
                <w:sz w:val="17"/>
                <w:szCs w:val="17"/>
              </w:rPr>
              <w:t xml:space="preserve">③ 設備投資補助</w:t>
            </w:r>
          </w:p>
        </w:tc>
        <w:tc>
          <w:tcPr>
            <w:tcW w:type="dxa" w:w="368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000000"/>
                <w:sz w:val="17"/>
                <w:szCs w:val="17"/>
              </w:rPr>
              <w:t xml:space="preserve">節水設備・水再利用設備の導入に対する補助金制度。広域化推進交付金等を財源</w:t>
            </w:r>
          </w:p>
        </w:tc>
        <w:tc>
          <w:tcPr>
            <w:tcW w:type="dxa" w:w="3680"/>
            <w:tcBorders>
              <w:top w:val="single" w:color="999999" w:sz="4"/>
              <w:left w:val="single" w:color="999999" w:sz="4"/>
              <w:bottom w:val="single" w:color="999999" w:sz="4"/>
              <w:right w:val="single" w:color="999999" w:sz="4"/>
            </w:tcBorders>
            <w:tcMar/>
          </w:tcPr>
          <w:p>
            <w:pPr>
              <w:jc w:val="left"/>
            </w:pPr>
            <w:r>
              <w:rPr>
                <w:rFonts w:ascii="游ゴシック" w:cs="游ゴシック" w:eastAsia="游ゴシック" w:hAnsi="游ゴシック"/>
                <w:b w:val="false"/>
                <w:bCs w:val="false"/>
                <w:color w:val="548235"/>
                <w:sz w:val="17"/>
                <w:szCs w:val="17"/>
              </w:rPr>
              <w:t xml:space="preserve">使用水量自体の削減により、料金負担を継続的に軽減</w:t>
            </w:r>
          </w:p>
        </w:tc>
      </w:tr>
    </w:tbl>
    <w:p>
      <w:r>
        <w:t xml:space="preserve"/>
      </w:r>
    </w:p>
    <w:p>
      <w:pPr>
        <w:pStyle w:val="Heading2"/>
      </w:pPr>
      <w:r>
        <w:rPr>
          <w:rFonts w:ascii="游ゴシック" w:cs="游ゴシック" w:eastAsia="游ゴシック" w:hAnsi="游ゴシック"/>
        </w:rPr>
        <w:t xml:space="preserve">8.2 制度の具体的設計</w:t>
      </w:r>
    </w:p>
    <w:p>
      <w:pPr>
        <w:spacing w:after="60" w:before="60" w:line="340"/>
        <w:jc w:val="left"/>
      </w:pPr>
      <w:r>
        <w:rPr>
          <w:rFonts w:ascii="游明朝" w:cs="游明朝" w:eastAsia="游明朝" w:hAnsi="游明朝"/>
          <w:b w:val="false"/>
          <w:bCs w:val="false"/>
          <w:color w:val="000000"/>
          <w:sz w:val="22"/>
          <w:szCs w:val="22"/>
        </w:rPr>
        <w:t xml:space="preserve">『県内水産加工業振興特別料金』(仮称)として条例化し、以下の要件で運用する。</w:t>
      </w:r>
    </w:p>
    <w:p>
      <w:r>
        <w:t xml:space="preserve"/>
      </w:r>
    </w:p>
    <w:p>
      <w:pPr>
        <w:spacing w:after="60" w:before="60" w:line="340"/>
        <w:jc w:val="left"/>
      </w:pPr>
      <w:r>
        <w:rPr>
          <w:rFonts w:ascii="游明朝" w:cs="游明朝" w:eastAsia="游明朝" w:hAnsi="游明朝"/>
          <w:b/>
          <w:bCs/>
          <w:color w:val="000000"/>
          <w:sz w:val="22"/>
          <w:szCs w:val="22"/>
        </w:rPr>
        <w:t xml:space="preserve">適用対象業種</w:t>
      </w:r>
    </w:p>
    <w:p>
      <w:pPr>
        <w:pStyle w:val="ListParagraph"/>
        <w:numPr>
          <w:ilvl w:val="0"/>
          <w:numId w:val="2"/>
        </w:numPr>
        <w:spacing w:after="40" w:before="40" w:line="320"/>
      </w:pPr>
      <w:r>
        <w:rPr>
          <w:rFonts w:ascii="游明朝" w:cs="游明朝" w:eastAsia="游明朝" w:hAnsi="游明朝"/>
          <w:sz w:val="22"/>
          <w:szCs w:val="22"/>
        </w:rPr>
        <w:t xml:space="preserve">日本標準産業分類『水産食料品製造業(0911)』に該当する事業者</w:t>
      </w:r>
    </w:p>
    <w:p>
      <w:pPr>
        <w:pStyle w:val="ListParagraph"/>
        <w:numPr>
          <w:ilvl w:val="0"/>
          <w:numId w:val="2"/>
        </w:numPr>
        <w:spacing w:after="40" w:before="40" w:line="320"/>
      </w:pPr>
      <w:r>
        <w:rPr>
          <w:rFonts w:ascii="游明朝" w:cs="游明朝" w:eastAsia="游明朝" w:hAnsi="游明朝"/>
          <w:sz w:val="22"/>
          <w:szCs w:val="22"/>
        </w:rPr>
        <w:t xml:space="preserve">関連業種として、製氷業(0912)、冷凍倉庫業(4451)も対象とする</w:t>
      </w:r>
    </w:p>
    <w:p>
      <w:pPr>
        <w:pStyle w:val="ListParagraph"/>
        <w:numPr>
          <w:ilvl w:val="0"/>
          <w:numId w:val="2"/>
        </w:numPr>
        <w:spacing w:after="40" w:before="40" w:line="320"/>
      </w:pPr>
      <w:r>
        <w:rPr>
          <w:rFonts w:ascii="游明朝" w:cs="游明朝" w:eastAsia="游明朝" w:hAnsi="游明朝"/>
          <w:sz w:val="22"/>
          <w:szCs w:val="22"/>
        </w:rPr>
        <w:t xml:space="preserve">公衆浴場・船舶用などは塩竈市の既存制度を継承して別途維持</w:t>
      </w:r>
    </w:p>
    <w:p>
      <w:r>
        <w:t xml:space="preserve"/>
      </w:r>
    </w:p>
    <w:p>
      <w:pPr>
        <w:spacing w:after="60" w:before="60" w:line="340"/>
        <w:jc w:val="left"/>
      </w:pPr>
      <w:r>
        <w:rPr>
          <w:rFonts w:ascii="游明朝" w:cs="游明朝" w:eastAsia="游明朝" w:hAnsi="游明朝"/>
          <w:b/>
          <w:bCs/>
          <w:color w:val="000000"/>
          <w:sz w:val="22"/>
          <w:szCs w:val="22"/>
        </w:rPr>
        <w:t xml:space="preserve">適用基準</w:t>
      </w:r>
    </w:p>
    <w:p>
      <w:pPr>
        <w:pStyle w:val="ListParagraph"/>
        <w:numPr>
          <w:ilvl w:val="0"/>
          <w:numId w:val="2"/>
        </w:numPr>
        <w:spacing w:after="40" w:before="40" w:line="320"/>
      </w:pPr>
      <w:r>
        <w:rPr>
          <w:rFonts w:ascii="游明朝" w:cs="游明朝" w:eastAsia="游明朝" w:hAnsi="游明朝"/>
          <w:sz w:val="22"/>
          <w:szCs w:val="22"/>
        </w:rPr>
        <w:t xml:space="preserve">月間使用水量200㎥以上を継続的に使用する事業者</w:t>
      </w:r>
    </w:p>
    <w:p>
      <w:pPr>
        <w:pStyle w:val="ListParagraph"/>
        <w:numPr>
          <w:ilvl w:val="0"/>
          <w:numId w:val="2"/>
        </w:numPr>
        <w:spacing w:after="40" w:before="40" w:line="320"/>
      </w:pPr>
      <w:r>
        <w:rPr>
          <w:rFonts w:ascii="游明朝" w:cs="游明朝" w:eastAsia="游明朝" w:hAnsi="游明朝"/>
          <w:sz w:val="22"/>
          <w:szCs w:val="22"/>
        </w:rPr>
        <w:t xml:space="preserve">メーター口径25mm以上の給水装置を有する事業者</w:t>
      </w:r>
    </w:p>
    <w:p>
      <w:pPr>
        <w:pStyle w:val="ListParagraph"/>
        <w:numPr>
          <w:ilvl w:val="0"/>
          <w:numId w:val="2"/>
        </w:numPr>
        <w:spacing w:after="40" w:before="40" w:line="320"/>
      </w:pPr>
      <w:r>
        <w:rPr>
          <w:rFonts w:ascii="游明朝" w:cs="游明朝" w:eastAsia="游明朝" w:hAnsi="游明朝"/>
          <w:sz w:val="22"/>
          <w:szCs w:val="22"/>
        </w:rPr>
        <w:t xml:space="preserve">事業者からの申請に基づき、市町村長(企業長)が認定</w:t>
      </w:r>
    </w:p>
    <w:p>
      <w:r>
        <w:t xml:space="preserve"/>
      </w:r>
    </w:p>
    <w:p>
      <w:pPr>
        <w:spacing w:after="60" w:before="60" w:line="340"/>
        <w:jc w:val="left"/>
      </w:pPr>
      <w:r>
        <w:rPr>
          <w:rFonts w:ascii="游明朝" w:cs="游明朝" w:eastAsia="游明朝" w:hAnsi="游明朝"/>
          <w:b/>
          <w:bCs/>
          <w:color w:val="000000"/>
          <w:sz w:val="22"/>
          <w:szCs w:val="22"/>
        </w:rPr>
        <w:t xml:space="preserve">料金水準</w:t>
      </w:r>
    </w:p>
    <w:p>
      <w:pPr>
        <w:pStyle w:val="ListParagraph"/>
        <w:numPr>
          <w:ilvl w:val="0"/>
          <w:numId w:val="2"/>
        </w:numPr>
        <w:spacing w:after="40" w:before="40" w:line="320"/>
      </w:pPr>
      <w:r>
        <w:rPr>
          <w:rFonts w:ascii="游明朝" w:cs="游明朝" w:eastAsia="游明朝" w:hAnsi="游明朝"/>
          <w:sz w:val="22"/>
          <w:szCs w:val="22"/>
        </w:rPr>
        <w:t xml:space="preserve">基本料金: なし</w:t>
      </w:r>
    </w:p>
    <w:p>
      <w:pPr>
        <w:pStyle w:val="ListParagraph"/>
        <w:numPr>
          <w:ilvl w:val="0"/>
          <w:numId w:val="2"/>
        </w:numPr>
        <w:spacing w:after="40" w:before="40" w:line="320"/>
      </w:pPr>
      <w:r>
        <w:rPr>
          <w:rFonts w:ascii="游明朝" w:cs="游明朝" w:eastAsia="游明朝" w:hAnsi="游明朝"/>
          <w:sz w:val="22"/>
          <w:szCs w:val="22"/>
        </w:rPr>
        <w:t xml:space="preserve">従量料金: 105円/㎥(税抜、塩竈市現行と同水準)</w:t>
      </w:r>
    </w:p>
    <w:p>
      <w:pPr>
        <w:pStyle w:val="ListParagraph"/>
        <w:numPr>
          <w:ilvl w:val="0"/>
          <w:numId w:val="2"/>
        </w:numPr>
        <w:spacing w:after="40" w:before="40" w:line="320"/>
      </w:pPr>
      <w:r>
        <w:rPr>
          <w:rFonts w:ascii="游明朝" w:cs="游明朝" w:eastAsia="游明朝" w:hAnsi="游明朝"/>
          <w:sz w:val="22"/>
          <w:szCs w:val="22"/>
        </w:rPr>
        <w:t xml:space="preserve">適用範囲: 認定事業者の全使用水量に対して適用</w:t>
      </w:r>
    </w:p>
    <w:p>
      <w:pPr>
        <w:pStyle w:val="ListParagraph"/>
        <w:numPr>
          <w:ilvl w:val="0"/>
          <w:numId w:val="2"/>
        </w:numPr>
        <w:spacing w:after="40" w:before="40" w:line="320"/>
      </w:pPr>
      <w:r>
        <w:rPr>
          <w:rFonts w:ascii="游明朝" w:cs="游明朝" w:eastAsia="游明朝" w:hAnsi="游明朝"/>
          <w:sz w:val="22"/>
          <w:szCs w:val="22"/>
        </w:rPr>
        <w:t xml:space="preserve">料金水準は3~5年ごとに見直し、原価変動に対応</w:t>
      </w:r>
    </w:p>
    <w:p>
      <w:r>
        <w:t xml:space="preserve"/>
      </w:r>
    </w:p>
    <w:p>
      <w:pPr>
        <w:pStyle w:val="Heading2"/>
      </w:pPr>
      <w:r>
        <w:rPr>
          <w:rFonts w:ascii="游ゴシック" w:cs="游ゴシック" w:eastAsia="游ゴシック" w:hAnsi="游ゴシック"/>
        </w:rPr>
        <w:t xml:space="preserve">8.3 推奨政策の影響試算</w:t>
      </w:r>
    </w:p>
    <w:p>
      <w:pPr>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 推奨政策(塩竈モデル統一)適用時の各団体への影響</w:t>
      </w:r>
    </w:p>
    <w:p>
      <w:r>
        <w:t xml:space="preserve"/>
      </w:r>
    </w:p>
    <w:p>
      <w:pPr>
        <w:spacing w:after="60" w:before="60" w:line="340"/>
        <w:jc w:val="left"/>
      </w:pPr>
      <w:r>
        <w:rPr>
          <w:rFonts w:ascii="游明朝" w:cs="游明朝" w:eastAsia="游明朝" w:hAnsi="游明朝"/>
          <w:b w:val="false"/>
          <w:bCs w:val="false"/>
          <w:color w:val="000000"/>
          <w:sz w:val="22"/>
          <w:szCs w:val="22"/>
        </w:rPr>
        <w:t xml:space="preserve">4団体合計では年間約18億円の負担軽減(現行27.72億円→9.55億円)となる試算。ただしこれは、生産用水用区分を4団体の全水産加工業者に一律適用した場合の上限値であり、実際の制度設計では適用基準(月間使用量下限・業種指定)による絞り込みが前提となる。同額が水道事業会計の収入減となるため、対象範囲と補填財源を先に確定させる必要がある。</w:t>
      </w:r>
    </w:p>
    <w:p>
      <w:pPr>
        <w:pStyle w:val="ListParagraph"/>
        <w:numPr>
          <w:ilvl w:val="0"/>
          <w:numId w:val="2"/>
        </w:numPr>
        <w:spacing w:after="40" w:before="40" w:line="320"/>
      </w:pPr>
      <w:r>
        <w:rPr>
          <w:rFonts w:ascii="游明朝" w:cs="游明朝" w:eastAsia="游明朝" w:hAnsi="游明朝"/>
          <w:sz w:val="22"/>
          <w:szCs w:val="22"/>
        </w:rPr>
        <w:t xml:space="preserve">収入減の規模は4団体の水産加工業からの現行収入27.72億円の約3分の2にあたるため、家庭用料金の調整や統合による効率化のみで吸収できる水準ではない。まず適用対象を限定したうえで、必要となる補填財源の規模を個別に算定する</w:t>
      </w:r>
    </w:p>
    <w:p>
      <w:pPr>
        <w:pStyle w:val="ListParagraph"/>
        <w:numPr>
          <w:ilvl w:val="0"/>
          <w:numId w:val="2"/>
        </w:numPr>
        <w:spacing w:after="40" w:before="40" w:line="320"/>
      </w:pPr>
      <w:r>
        <w:rPr>
          <w:rFonts w:ascii="游明朝" w:cs="游明朝" w:eastAsia="游明朝" w:hAnsi="游明朝"/>
          <w:sz w:val="22"/>
          <w:szCs w:val="22"/>
        </w:rPr>
        <w:t xml:space="preserve">広域化推進交付金、水道広域化支援事業補助金の活用</w:t>
      </w:r>
    </w:p>
    <w:p>
      <w:pPr>
        <w:pStyle w:val="ListParagraph"/>
        <w:numPr>
          <w:ilvl w:val="0"/>
          <w:numId w:val="2"/>
        </w:numPr>
        <w:spacing w:after="40" w:before="40" w:line="320"/>
      </w:pPr>
      <w:r>
        <w:rPr>
          <w:rFonts w:ascii="游明朝" w:cs="游明朝" w:eastAsia="游明朝" w:hAnsi="游明朝"/>
          <w:sz w:val="22"/>
          <w:szCs w:val="22"/>
        </w:rPr>
        <w:t xml:space="preserve">人件費の効率化(統合による職員配置の最適化)</w:t>
      </w:r>
    </w:p>
    <w:p>
      <w:pPr>
        <w:pStyle w:val="ListParagraph"/>
        <w:numPr>
          <w:ilvl w:val="0"/>
          <w:numId w:val="2"/>
        </w:numPr>
        <w:spacing w:after="40" w:before="40" w:line="320"/>
      </w:pPr>
      <w:r>
        <w:rPr>
          <w:rFonts w:ascii="游明朝" w:cs="游明朝" w:eastAsia="游明朝" w:hAnsi="游明朝"/>
          <w:sz w:val="22"/>
          <w:szCs w:val="22"/>
        </w:rPr>
        <w:t xml:space="preserve">中長期的には水道事業の経営基盤強化につながり、施設老朽化対策にも資する</w:t>
      </w:r>
    </w:p>
    <w:p>
      <w:r>
        <w:br w:type="page"/>
      </w:r>
    </w:p>
    <w:p>
      <w:pPr>
        <w:pStyle w:val="Heading1"/>
      </w:pPr>
      <w:r>
        <w:rPr>
          <w:rFonts w:ascii="游ゴシック" w:cs="游ゴシック" w:eastAsia="游ゴシック" w:hAnsi="游ゴシック"/>
        </w:rPr>
        <w:t xml:space="preserve">第9章 実施ロードマップ</w:t>
      </w:r>
    </w:p>
    <w:p>
      <w:pPr>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33625"/>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 宮城県水道料金統一化 推奨ロードマップ</w:t>
      </w:r>
    </w:p>
    <w:p>
      <w:r>
        <w:t xml:space="preserve"/>
      </w:r>
    </w:p>
    <w:p>
      <w:pPr>
        <w:pStyle w:val="Heading2"/>
      </w:pPr>
      <w:r>
        <w:rPr>
          <w:rFonts w:ascii="游ゴシック" w:cs="游ゴシック" w:eastAsia="游ゴシック" w:hAnsi="游ゴシック"/>
        </w:rPr>
        <w:t xml:space="preserve">9.1 各段階の主要作業</w:t>
      </w:r>
    </w:p>
    <w:p>
      <w:pPr>
        <w:spacing w:after="60" w:before="60" w:line="340"/>
        <w:jc w:val="left"/>
      </w:pPr>
      <w:r>
        <w:rPr>
          <w:rFonts w:ascii="游明朝" w:cs="游明朝" w:eastAsia="游明朝" w:hAnsi="游明朝"/>
          <w:b/>
          <w:bCs/>
          <w:color w:val="000000"/>
          <w:sz w:val="22"/>
          <w:szCs w:val="22"/>
        </w:rPr>
        <w:t xml:space="preserve">【2026年】基礎検討段階</w:t>
      </w:r>
    </w:p>
    <w:p>
      <w:pPr>
        <w:pStyle w:val="ListParagraph"/>
        <w:numPr>
          <w:ilvl w:val="0"/>
          <w:numId w:val="2"/>
        </w:numPr>
        <w:spacing w:after="40" w:before="40" w:line="320"/>
      </w:pPr>
      <w:r>
        <w:rPr>
          <w:rFonts w:ascii="游明朝" w:cs="游明朝" w:eastAsia="游明朝" w:hAnsi="游明朝"/>
          <w:sz w:val="22"/>
          <w:szCs w:val="22"/>
        </w:rPr>
        <w:t xml:space="preserve">本検討資料の関係機関(県・各市町・水産加工協会等)への共有</w:t>
      </w:r>
    </w:p>
    <w:p>
      <w:pPr>
        <w:pStyle w:val="ListParagraph"/>
        <w:numPr>
          <w:ilvl w:val="0"/>
          <w:numId w:val="2"/>
        </w:numPr>
        <w:spacing w:after="40" w:before="40" w:line="320"/>
      </w:pPr>
      <w:r>
        <w:rPr>
          <w:rFonts w:ascii="游明朝" w:cs="游明朝" w:eastAsia="游明朝" w:hAnsi="游明朝"/>
          <w:sz w:val="22"/>
          <w:szCs w:val="22"/>
        </w:rPr>
        <w:t xml:space="preserve">追加データ取得(南三陸町料金詳細、各団体の実使用水量、塩竈市生産用水用利用実績)</w:t>
      </w:r>
    </w:p>
    <w:p>
      <w:pPr>
        <w:pStyle w:val="ListParagraph"/>
        <w:numPr>
          <w:ilvl w:val="0"/>
          <w:numId w:val="2"/>
        </w:numPr>
        <w:spacing w:after="40" w:before="40" w:line="320"/>
      </w:pPr>
      <w:r>
        <w:rPr>
          <w:rFonts w:ascii="游明朝" w:cs="游明朝" w:eastAsia="游明朝" w:hAnsi="游明朝"/>
          <w:sz w:val="22"/>
          <w:szCs w:val="22"/>
        </w:rPr>
        <w:t xml:space="preserve">ステークホルダー協議の開始(水産加工業協会、関係市町水道部局)</w:t>
      </w:r>
    </w:p>
    <w:p>
      <w:r>
        <w:t xml:space="preserve"/>
      </w:r>
    </w:p>
    <w:p>
      <w:pPr>
        <w:spacing w:after="60" w:before="60" w:line="340"/>
        <w:jc w:val="left"/>
      </w:pPr>
      <w:r>
        <w:rPr>
          <w:rFonts w:ascii="游明朝" w:cs="游明朝" w:eastAsia="游明朝" w:hAnsi="游明朝"/>
          <w:b/>
          <w:bCs/>
          <w:color w:val="000000"/>
          <w:sz w:val="22"/>
          <w:szCs w:val="22"/>
        </w:rPr>
        <w:t xml:space="preserve">【2027年】広域化推進プラン策定</w:t>
      </w:r>
    </w:p>
    <w:p>
      <w:pPr>
        <w:pStyle w:val="ListParagraph"/>
        <w:numPr>
          <w:ilvl w:val="0"/>
          <w:numId w:val="2"/>
        </w:numPr>
        <w:spacing w:after="40" w:before="40" w:line="320"/>
      </w:pPr>
      <w:r>
        <w:rPr>
          <w:rFonts w:ascii="游明朝" w:cs="游明朝" w:eastAsia="游明朝" w:hAnsi="游明朝"/>
          <w:sz w:val="22"/>
          <w:szCs w:val="22"/>
        </w:rPr>
        <w:t xml:space="preserve">宮城県水道広域化推進プランの改定(料金統一化を盛り込む)</w:t>
      </w:r>
    </w:p>
    <w:p>
      <w:pPr>
        <w:pStyle w:val="ListParagraph"/>
        <w:numPr>
          <w:ilvl w:val="0"/>
          <w:numId w:val="2"/>
        </w:numPr>
        <w:spacing w:after="40" w:before="40" w:line="320"/>
      </w:pPr>
      <w:r>
        <w:rPr>
          <w:rFonts w:ascii="游明朝" w:cs="游明朝" w:eastAsia="游明朝" w:hAnsi="游明朝"/>
          <w:sz w:val="22"/>
          <w:szCs w:val="22"/>
        </w:rPr>
        <w:t xml:space="preserve">条例案の骨格策定(塩竈モデル統一+経過措置)</w:t>
      </w:r>
    </w:p>
    <w:p>
      <w:pPr>
        <w:pStyle w:val="ListParagraph"/>
        <w:numPr>
          <w:ilvl w:val="0"/>
          <w:numId w:val="2"/>
        </w:numPr>
        <w:spacing w:after="40" w:before="40" w:line="320"/>
      </w:pPr>
      <w:r>
        <w:rPr>
          <w:rFonts w:ascii="游明朝" w:cs="游明朝" w:eastAsia="游明朝" w:hAnsi="游明朝"/>
          <w:sz w:val="22"/>
          <w:szCs w:val="22"/>
        </w:rPr>
        <w:t xml:space="preserve">パブリックコメントの実施</w:t>
      </w:r>
    </w:p>
    <w:p>
      <w:r>
        <w:t xml:space="preserve"/>
      </w:r>
    </w:p>
    <w:p>
      <w:pPr>
        <w:spacing w:after="60" w:before="60" w:line="340"/>
        <w:jc w:val="left"/>
      </w:pPr>
      <w:r>
        <w:rPr>
          <w:rFonts w:ascii="游明朝" w:cs="游明朝" w:eastAsia="游明朝" w:hAnsi="游明朝"/>
          <w:b/>
          <w:bCs/>
          <w:color w:val="000000"/>
          <w:sz w:val="22"/>
          <w:szCs w:val="22"/>
        </w:rPr>
        <w:t xml:space="preserve">【2028年】統一体系決定</w:t>
      </w:r>
    </w:p>
    <w:p>
      <w:pPr>
        <w:pStyle w:val="ListParagraph"/>
        <w:numPr>
          <w:ilvl w:val="0"/>
          <w:numId w:val="2"/>
        </w:numPr>
        <w:spacing w:after="40" w:before="40" w:line="320"/>
      </w:pPr>
      <w:r>
        <w:rPr>
          <w:rFonts w:ascii="游明朝" w:cs="游明朝" w:eastAsia="游明朝" w:hAnsi="游明朝"/>
          <w:sz w:val="22"/>
          <w:szCs w:val="22"/>
        </w:rPr>
        <w:t xml:space="preserve">関係市町議会での条例改正案の議決</w:t>
      </w:r>
    </w:p>
    <w:p>
      <w:pPr>
        <w:pStyle w:val="ListParagraph"/>
        <w:numPr>
          <w:ilvl w:val="0"/>
          <w:numId w:val="2"/>
        </w:numPr>
        <w:spacing w:after="40" w:before="40" w:line="320"/>
      </w:pPr>
      <w:r>
        <w:rPr>
          <w:rFonts w:ascii="游明朝" w:cs="游明朝" w:eastAsia="游明朝" w:hAnsi="游明朝"/>
          <w:sz w:val="22"/>
          <w:szCs w:val="22"/>
        </w:rPr>
        <w:t xml:space="preserve">広域化推進交付金の活用計画策定</w:t>
      </w:r>
    </w:p>
    <w:p>
      <w:pPr>
        <w:pStyle w:val="ListParagraph"/>
        <w:numPr>
          <w:ilvl w:val="0"/>
          <w:numId w:val="2"/>
        </w:numPr>
        <w:spacing w:after="40" w:before="40" w:line="320"/>
      </w:pPr>
      <w:r>
        <w:rPr>
          <w:rFonts w:ascii="游明朝" w:cs="游明朝" w:eastAsia="游明朝" w:hAnsi="游明朝"/>
          <w:sz w:val="22"/>
          <w:szCs w:val="22"/>
        </w:rPr>
        <w:t xml:space="preserve">システム改修・運用体制構築の準備開始</w:t>
      </w:r>
    </w:p>
    <w:p>
      <w:r>
        <w:t xml:space="preserve"/>
      </w:r>
    </w:p>
    <w:p>
      <w:pPr>
        <w:spacing w:after="60" w:before="60" w:line="340"/>
        <w:jc w:val="left"/>
      </w:pPr>
      <w:r>
        <w:rPr>
          <w:rFonts w:ascii="游明朝" w:cs="游明朝" w:eastAsia="游明朝" w:hAnsi="游明朝"/>
          <w:b/>
          <w:bCs/>
          <w:color w:val="000000"/>
          <w:sz w:val="22"/>
          <w:szCs w:val="22"/>
        </w:rPr>
        <w:t xml:space="preserve">【2030年】統一体系施行・経過措置開始</w:t>
      </w:r>
    </w:p>
    <w:p>
      <w:pPr>
        <w:pStyle w:val="ListParagraph"/>
        <w:numPr>
          <w:ilvl w:val="0"/>
          <w:numId w:val="2"/>
        </w:numPr>
        <w:spacing w:after="40" w:before="40" w:line="320"/>
      </w:pPr>
      <w:r>
        <w:rPr>
          <w:rFonts w:ascii="游明朝" w:cs="游明朝" w:eastAsia="游明朝" w:hAnsi="游明朝"/>
          <w:sz w:val="22"/>
          <w:szCs w:val="22"/>
        </w:rPr>
        <w:t xml:space="preserve">統一料金体系の施行(全県一斉)</w:t>
      </w:r>
    </w:p>
    <w:p>
      <w:pPr>
        <w:pStyle w:val="ListParagraph"/>
        <w:numPr>
          <w:ilvl w:val="0"/>
          <w:numId w:val="2"/>
        </w:numPr>
        <w:spacing w:after="40" w:before="40" w:line="320"/>
      </w:pPr>
      <w:r>
        <w:rPr>
          <w:rFonts w:ascii="游明朝" w:cs="游明朝" w:eastAsia="游明朝" w:hAnsi="游明朝"/>
          <w:sz w:val="22"/>
          <w:szCs w:val="22"/>
        </w:rPr>
        <w:t xml:space="preserve">女川町の経過措置開始(以後10年間の段階的調整)</w:t>
      </w:r>
    </w:p>
    <w:p>
      <w:pPr>
        <w:pStyle w:val="ListParagraph"/>
        <w:numPr>
          <w:ilvl w:val="0"/>
          <w:numId w:val="2"/>
        </w:numPr>
        <w:spacing w:after="40" w:before="40" w:line="320"/>
      </w:pPr>
      <w:r>
        <w:rPr>
          <w:rFonts w:ascii="游明朝" w:cs="游明朝" w:eastAsia="游明朝" w:hAnsi="游明朝"/>
          <w:sz w:val="22"/>
          <w:szCs w:val="22"/>
        </w:rPr>
        <w:t xml:space="preserve">水産加工業振興特別料金の認定業務開始</w:t>
      </w:r>
    </w:p>
    <w:p>
      <w:pPr>
        <w:pStyle w:val="ListParagraph"/>
        <w:numPr>
          <w:ilvl w:val="0"/>
          <w:numId w:val="2"/>
        </w:numPr>
        <w:spacing w:after="40" w:before="40" w:line="320"/>
      </w:pPr>
      <w:r>
        <w:rPr>
          <w:rFonts w:ascii="游明朝" w:cs="游明朝" w:eastAsia="游明朝" w:hAnsi="游明朝"/>
          <w:sz w:val="22"/>
          <w:szCs w:val="22"/>
        </w:rPr>
        <w:t xml:space="preserve">節水・水再利用補助制度の運用開始</w:t>
      </w:r>
    </w:p>
    <w:p>
      <w:r>
        <w:t xml:space="preserve"/>
      </w:r>
    </w:p>
    <w:p>
      <w:pPr>
        <w:spacing w:after="60" w:before="60" w:line="340"/>
        <w:jc w:val="left"/>
      </w:pPr>
      <w:r>
        <w:rPr>
          <w:rFonts w:ascii="游明朝" w:cs="游明朝" w:eastAsia="游明朝" w:hAnsi="游明朝"/>
          <w:b/>
          <w:bCs/>
          <w:color w:val="000000"/>
          <w:sz w:val="22"/>
          <w:szCs w:val="22"/>
        </w:rPr>
        <w:t xml:space="preserve">【2035年】中間レビュー</w:t>
      </w:r>
    </w:p>
    <w:p>
      <w:pPr>
        <w:pStyle w:val="ListParagraph"/>
        <w:numPr>
          <w:ilvl w:val="0"/>
          <w:numId w:val="2"/>
        </w:numPr>
        <w:spacing w:after="40" w:before="40" w:line="320"/>
      </w:pPr>
      <w:r>
        <w:rPr>
          <w:rFonts w:ascii="游明朝" w:cs="游明朝" w:eastAsia="游明朝" w:hAnsi="游明朝"/>
          <w:sz w:val="22"/>
          <w:szCs w:val="22"/>
        </w:rPr>
        <w:t xml:space="preserve">経過措置5年経過時点での効果検証</w:t>
      </w:r>
    </w:p>
    <w:p>
      <w:pPr>
        <w:pStyle w:val="ListParagraph"/>
        <w:numPr>
          <w:ilvl w:val="0"/>
          <w:numId w:val="2"/>
        </w:numPr>
        <w:spacing w:after="40" w:before="40" w:line="320"/>
      </w:pPr>
      <w:r>
        <w:rPr>
          <w:rFonts w:ascii="游明朝" w:cs="游明朝" w:eastAsia="游明朝" w:hAnsi="游明朝"/>
          <w:sz w:val="22"/>
          <w:szCs w:val="22"/>
        </w:rPr>
        <w:t xml:space="preserve">水産加工業への影響実態調査</w:t>
      </w:r>
    </w:p>
    <w:p>
      <w:pPr>
        <w:pStyle w:val="ListParagraph"/>
        <w:numPr>
          <w:ilvl w:val="0"/>
          <w:numId w:val="2"/>
        </w:numPr>
        <w:spacing w:after="40" w:before="40" w:line="320"/>
      </w:pPr>
      <w:r>
        <w:rPr>
          <w:rFonts w:ascii="游明朝" w:cs="游明朝" w:eastAsia="游明朝" w:hAnsi="游明朝"/>
          <w:sz w:val="22"/>
          <w:szCs w:val="22"/>
        </w:rPr>
        <w:t xml:space="preserve">料金水準の見直し(原価変動を反映)</w:t>
      </w:r>
    </w:p>
    <w:p>
      <w:pPr>
        <w:pStyle w:val="ListParagraph"/>
        <w:numPr>
          <w:ilvl w:val="0"/>
          <w:numId w:val="2"/>
        </w:numPr>
        <w:spacing w:after="40" w:before="40" w:line="320"/>
      </w:pPr>
      <w:r>
        <w:rPr>
          <w:rFonts w:ascii="游明朝" w:cs="游明朝" w:eastAsia="游明朝" w:hAnsi="游明朝"/>
          <w:sz w:val="22"/>
          <w:szCs w:val="22"/>
        </w:rPr>
        <w:t xml:space="preserve">認定業種・適用基準の見直し検討</w:t>
      </w:r>
    </w:p>
    <w:p>
      <w:r>
        <w:t xml:space="preserve"/>
      </w:r>
    </w:p>
    <w:p>
      <w:pPr>
        <w:spacing w:after="60" w:before="60" w:line="340"/>
        <w:jc w:val="left"/>
      </w:pPr>
      <w:r>
        <w:rPr>
          <w:rFonts w:ascii="游明朝" w:cs="游明朝" w:eastAsia="游明朝" w:hAnsi="游明朝"/>
          <w:b/>
          <w:bCs/>
          <w:color w:val="000000"/>
          <w:sz w:val="22"/>
          <w:szCs w:val="22"/>
        </w:rPr>
        <w:t xml:space="preserve">【2040年】経過措置終了・完全統一</w:t>
      </w:r>
    </w:p>
    <w:p>
      <w:pPr>
        <w:pStyle w:val="ListParagraph"/>
        <w:numPr>
          <w:ilvl w:val="0"/>
          <w:numId w:val="2"/>
        </w:numPr>
        <w:spacing w:after="40" w:before="40" w:line="320"/>
      </w:pPr>
      <w:r>
        <w:rPr>
          <w:rFonts w:ascii="游明朝" w:cs="游明朝" w:eastAsia="游明朝" w:hAnsi="游明朝"/>
          <w:sz w:val="22"/>
          <w:szCs w:val="22"/>
        </w:rPr>
        <w:t xml:space="preserve">女川町の経過措置終了、完全な統一料金体系への移行</w:t>
      </w:r>
    </w:p>
    <w:p>
      <w:pPr>
        <w:pStyle w:val="ListParagraph"/>
        <w:numPr>
          <w:ilvl w:val="0"/>
          <w:numId w:val="2"/>
        </w:numPr>
        <w:spacing w:after="40" w:before="40" w:line="320"/>
      </w:pPr>
      <w:r>
        <w:rPr>
          <w:rFonts w:ascii="游明朝" w:cs="游明朝" w:eastAsia="游明朝" w:hAnsi="游明朝"/>
          <w:sz w:val="22"/>
          <w:szCs w:val="22"/>
        </w:rPr>
        <w:t xml:space="preserve">広域化の効果検証と次期計画策定</w:t>
      </w:r>
    </w:p>
    <w:p>
      <w:r>
        <w:t xml:space="preserve"/>
      </w:r>
    </w:p>
    <w:p>
      <w:pPr>
        <w:pStyle w:val="Heading2"/>
      </w:pPr>
      <w:r>
        <w:rPr>
          <w:rFonts w:ascii="游ゴシック" w:cs="游ゴシック" w:eastAsia="游ゴシック" w:hAnsi="游ゴシック"/>
        </w:rPr>
        <w:t xml:space="preserve">9.2 推進体制</w:t>
      </w:r>
    </w:p>
    <w:p>
      <w:pPr>
        <w:pStyle w:val="ListParagraph"/>
        <w:numPr>
          <w:ilvl w:val="0"/>
          <w:numId w:val="2"/>
        </w:numPr>
        <w:spacing w:after="40" w:before="40" w:line="320"/>
      </w:pPr>
      <w:r>
        <w:rPr>
          <w:rFonts w:ascii="游明朝" w:cs="游明朝" w:eastAsia="游明朝" w:hAnsi="游明朝"/>
          <w:sz w:val="22"/>
          <w:szCs w:val="22"/>
        </w:rPr>
        <w:t xml:space="preserve">中核: 宮城県保健福祉部生活衛生課(水道行政担当)が事務局となり、関係市町・企業団による協議会を設置</w:t>
      </w:r>
    </w:p>
    <w:p>
      <w:pPr>
        <w:pStyle w:val="ListParagraph"/>
        <w:numPr>
          <w:ilvl w:val="0"/>
          <w:numId w:val="2"/>
        </w:numPr>
        <w:spacing w:after="40" w:before="40" w:line="320"/>
      </w:pPr>
      <w:r>
        <w:rPr>
          <w:rFonts w:ascii="游明朝" w:cs="游明朝" w:eastAsia="游明朝" w:hAnsi="游明朝"/>
          <w:sz w:val="22"/>
          <w:szCs w:val="22"/>
        </w:rPr>
        <w:t xml:space="preserve">関係市町: 各市町水道部局長クラスによる実務調整会議を月次開催</w:t>
      </w:r>
    </w:p>
    <w:p>
      <w:pPr>
        <w:pStyle w:val="ListParagraph"/>
        <w:numPr>
          <w:ilvl w:val="0"/>
          <w:numId w:val="2"/>
        </w:numPr>
        <w:spacing w:after="40" w:before="40" w:line="320"/>
      </w:pPr>
      <w:r>
        <w:rPr>
          <w:rFonts w:ascii="游明朝" w:cs="游明朝" w:eastAsia="游明朝" w:hAnsi="游明朝"/>
          <w:sz w:val="22"/>
          <w:szCs w:val="22"/>
        </w:rPr>
        <w:t xml:space="preserve">業界: 水産加工業界、商工会議所、漁業協同組合による諮問委員会の設置</w:t>
      </w:r>
    </w:p>
    <w:p>
      <w:pPr>
        <w:pStyle w:val="ListParagraph"/>
        <w:numPr>
          <w:ilvl w:val="0"/>
          <w:numId w:val="2"/>
        </w:numPr>
        <w:spacing w:after="40" w:before="40" w:line="320"/>
      </w:pPr>
      <w:r>
        <w:rPr>
          <w:rFonts w:ascii="游明朝" w:cs="游明朝" w:eastAsia="游明朝" w:hAnsi="游明朝"/>
          <w:sz w:val="22"/>
          <w:szCs w:val="22"/>
        </w:rPr>
        <w:t xml:space="preserve">学識: 公営企業経営論・公共政策・水道工学の専門家による検証委員会の設置</w:t>
      </w:r>
    </w:p>
    <w:p>
      <w:r>
        <w:br w:type="page"/>
      </w:r>
    </w:p>
    <w:p>
      <w:pPr>
        <w:pStyle w:val="Heading1"/>
      </w:pPr>
      <w:r>
        <w:rPr>
          <w:rFonts w:ascii="游ゴシック" w:cs="游ゴシック" w:eastAsia="游ゴシック" w:hAnsi="游ゴシック"/>
        </w:rPr>
        <w:t xml:space="preserve">第10章 残された課題と次のアクション</w:t>
      </w:r>
    </w:p>
    <w:p>
      <w:pPr>
        <w:pStyle w:val="Heading2"/>
      </w:pPr>
      <w:r>
        <w:rPr>
          <w:rFonts w:ascii="游ゴシック" w:cs="游ゴシック" w:eastAsia="游ゴシック" w:hAnsi="游ゴシック"/>
        </w:rPr>
        <w:t xml:space="preserve">10.1 短期的に対応が必要な事項</w:t>
      </w:r>
    </w:p>
    <w:p>
      <w:pPr>
        <w:pStyle w:val="ListParagraph"/>
        <w:numPr>
          <w:ilvl w:val="0"/>
          <w:numId w:val="2"/>
        </w:numPr>
        <w:spacing w:after="40" w:before="40" w:line="320"/>
      </w:pPr>
      <w:r>
        <w:rPr>
          <w:rFonts w:ascii="游明朝" w:cs="游明朝" w:eastAsia="游明朝" w:hAnsi="游明朝"/>
          <w:sz w:val="22"/>
          <w:szCs w:val="22"/>
        </w:rPr>
        <w:t xml:space="preserve">南三陸町の料金体系詳細(全口径の基本料金・段階別水量料金)の取得 ― 町上下水道事業所への直接照会</w:t>
      </w:r>
    </w:p>
    <w:p>
      <w:pPr>
        <w:pStyle w:val="ListParagraph"/>
        <w:numPr>
          <w:ilvl w:val="0"/>
          <w:numId w:val="2"/>
        </w:numPr>
        <w:spacing w:after="40" w:before="40" w:line="320"/>
      </w:pPr>
      <w:r>
        <w:rPr>
          <w:rFonts w:ascii="游明朝" w:cs="游明朝" w:eastAsia="游明朝" w:hAnsi="游明朝"/>
          <w:sz w:val="22"/>
          <w:szCs w:val="22"/>
        </w:rPr>
        <w:t xml:space="preserve">塩竈市『生産用水用』の実際の適用事業者数・使用水量データ取得 ― 同市上下水道部への情報照会</w:t>
      </w:r>
    </w:p>
    <w:p>
      <w:pPr>
        <w:pStyle w:val="ListParagraph"/>
        <w:numPr>
          <w:ilvl w:val="0"/>
          <w:numId w:val="2"/>
        </w:numPr>
        <w:spacing w:after="40" w:before="40" w:line="320"/>
      </w:pPr>
      <w:r>
        <w:rPr>
          <w:rFonts w:ascii="游明朝" w:cs="游明朝" w:eastAsia="游明朝" w:hAnsi="游明朝"/>
          <w:sz w:val="22"/>
          <w:szCs w:val="22"/>
        </w:rPr>
        <w:t xml:space="preserve">塩竈市『公衆浴場用(60円/㎥)』の対象範囲確認</w:t>
      </w:r>
    </w:p>
    <w:p>
      <w:pPr>
        <w:pStyle w:val="ListParagraph"/>
        <w:numPr>
          <w:ilvl w:val="0"/>
          <w:numId w:val="2"/>
        </w:numPr>
        <w:spacing w:after="40" w:before="40" w:line="320"/>
      </w:pPr>
      <w:r>
        <w:rPr>
          <w:rFonts w:ascii="游明朝" w:cs="游明朝" w:eastAsia="游明朝" w:hAnsi="游明朝"/>
          <w:sz w:val="22"/>
          <w:szCs w:val="22"/>
        </w:rPr>
        <w:t xml:space="preserve">気仙沼市R8.2~4月基本料金減免措置の政策的背景の確認</w:t>
      </w:r>
    </w:p>
    <w:p>
      <w:pPr>
        <w:pStyle w:val="ListParagraph"/>
        <w:numPr>
          <w:ilvl w:val="0"/>
          <w:numId w:val="2"/>
        </w:numPr>
        <w:spacing w:after="40" w:before="40" w:line="320"/>
      </w:pPr>
      <w:r>
        <w:rPr>
          <w:rFonts w:ascii="游明朝" w:cs="游明朝" w:eastAsia="游明朝" w:hAnsi="游明朝"/>
          <w:sz w:val="22"/>
          <w:szCs w:val="22"/>
        </w:rPr>
        <w:t xml:space="preserve">各団体の水道事業会計の財政指標(給水原価・供給単価・料金回収率)の取得</w:t>
      </w:r>
    </w:p>
    <w:p>
      <w:r>
        <w:t xml:space="preserve"/>
      </w:r>
    </w:p>
    <w:p>
      <w:pPr>
        <w:pStyle w:val="Heading2"/>
      </w:pPr>
      <w:r>
        <w:rPr>
          <w:rFonts w:ascii="游ゴシック" w:cs="游ゴシック" w:eastAsia="游ゴシック" w:hAnsi="游ゴシック"/>
        </w:rPr>
        <w:t xml:space="preserve">10.2 中期的に取得すべきデータ</w:t>
      </w:r>
    </w:p>
    <w:p>
      <w:pPr>
        <w:pStyle w:val="ListParagraph"/>
        <w:numPr>
          <w:ilvl w:val="0"/>
          <w:numId w:val="2"/>
        </w:numPr>
        <w:spacing w:after="40" w:before="40" w:line="320"/>
      </w:pPr>
      <w:r>
        <w:rPr>
          <w:rFonts w:ascii="游明朝" w:cs="游明朝" w:eastAsia="游明朝" w:hAnsi="游明朝"/>
          <w:sz w:val="22"/>
          <w:szCs w:val="22"/>
        </w:rPr>
        <w:t xml:space="preserve">4団体水産加工業者の実使用水量データ(事業者別・月別・年間)</w:t>
      </w:r>
    </w:p>
    <w:p>
      <w:pPr>
        <w:pStyle w:val="ListParagraph"/>
        <w:numPr>
          <w:ilvl w:val="0"/>
          <w:numId w:val="2"/>
        </w:numPr>
        <w:spacing w:after="40" w:before="40" w:line="320"/>
      </w:pPr>
      <w:r>
        <w:rPr>
          <w:rFonts w:ascii="游明朝" w:cs="游明朝" w:eastAsia="游明朝" w:hAnsi="游明朝"/>
          <w:sz w:val="22"/>
          <w:szCs w:val="22"/>
        </w:rPr>
        <w:t xml:space="preserve">水産加工業者の売上高・営業利益データ(料金改定耐性分析用)</w:t>
      </w:r>
    </w:p>
    <w:p>
      <w:pPr>
        <w:pStyle w:val="ListParagraph"/>
        <w:numPr>
          <w:ilvl w:val="0"/>
          <w:numId w:val="2"/>
        </w:numPr>
        <w:spacing w:after="40" w:before="40" w:line="320"/>
      </w:pPr>
      <w:r>
        <w:rPr>
          <w:rFonts w:ascii="游明朝" w:cs="游明朝" w:eastAsia="游明朝" w:hAnsi="游明朝"/>
          <w:sz w:val="22"/>
          <w:szCs w:val="22"/>
        </w:rPr>
        <w:t xml:space="preserve">各団体の工業用水道接続状況と代替供給可能性</w:t>
      </w:r>
    </w:p>
    <w:p>
      <w:pPr>
        <w:pStyle w:val="ListParagraph"/>
        <w:numPr>
          <w:ilvl w:val="0"/>
          <w:numId w:val="2"/>
        </w:numPr>
        <w:spacing w:after="40" w:before="40" w:line="320"/>
      </w:pPr>
      <w:r>
        <w:rPr>
          <w:rFonts w:ascii="游明朝" w:cs="游明朝" w:eastAsia="游明朝" w:hAnsi="游明朝"/>
          <w:sz w:val="22"/>
          <w:szCs w:val="22"/>
        </w:rPr>
        <w:t xml:space="preserve">水産加工業の業態別水使用原単位(製品トン当たり水使用量)</w:t>
      </w:r>
    </w:p>
    <w:p>
      <w:pPr>
        <w:pStyle w:val="ListParagraph"/>
        <w:numPr>
          <w:ilvl w:val="0"/>
          <w:numId w:val="2"/>
        </w:numPr>
        <w:spacing w:after="40" w:before="40" w:line="320"/>
      </w:pPr>
      <w:r>
        <w:rPr>
          <w:rFonts w:ascii="游明朝" w:cs="游明朝" w:eastAsia="游明朝" w:hAnsi="游明朝"/>
          <w:sz w:val="22"/>
          <w:szCs w:val="22"/>
        </w:rPr>
        <w:t xml:space="preserve">節水・水再利用技術導入による使用量削減ポテンシャルの業種別試算</w:t>
      </w:r>
    </w:p>
    <w:p>
      <w:r>
        <w:t xml:space="preserve"/>
      </w:r>
    </w:p>
    <w:p>
      <w:pPr>
        <w:pStyle w:val="Heading2"/>
      </w:pPr>
      <w:r>
        <w:rPr>
          <w:rFonts w:ascii="游ゴシック" w:cs="游ゴシック" w:eastAsia="游ゴシック" w:hAnsi="游ゴシック"/>
        </w:rPr>
        <w:t xml:space="preserve">10.3 制度設計上の論点</w:t>
      </w:r>
    </w:p>
    <w:p>
      <w:pPr>
        <w:pStyle w:val="ListParagraph"/>
        <w:numPr>
          <w:ilvl w:val="0"/>
          <w:numId w:val="2"/>
        </w:numPr>
        <w:spacing w:after="40" w:before="40" w:line="320"/>
      </w:pPr>
      <w:r>
        <w:rPr>
          <w:rFonts w:ascii="游明朝" w:cs="游明朝" w:eastAsia="游明朝" w:hAnsi="游明朝"/>
          <w:sz w:val="22"/>
          <w:szCs w:val="22"/>
        </w:rPr>
        <w:t xml:space="preserve">『生産用水用』の適用基準(月間使用量下限、業種指定の細部)</w:t>
      </w:r>
    </w:p>
    <w:p>
      <w:pPr>
        <w:pStyle w:val="ListParagraph"/>
        <w:numPr>
          <w:ilvl w:val="0"/>
          <w:numId w:val="2"/>
        </w:numPr>
        <w:spacing w:after="40" w:before="40" w:line="320"/>
      </w:pPr>
      <w:r>
        <w:rPr>
          <w:rFonts w:ascii="游明朝" w:cs="游明朝" w:eastAsia="游明朝" w:hAnsi="游明朝"/>
          <w:sz w:val="22"/>
          <w:szCs w:val="22"/>
        </w:rPr>
        <w:t xml:space="preserve">認定取消基準(目的外使用、基準未達時の取扱い)</w:t>
      </w:r>
    </w:p>
    <w:p>
      <w:pPr>
        <w:pStyle w:val="ListParagraph"/>
        <w:numPr>
          <w:ilvl w:val="0"/>
          <w:numId w:val="2"/>
        </w:numPr>
        <w:spacing w:after="40" w:before="40" w:line="320"/>
      </w:pPr>
      <w:r>
        <w:rPr>
          <w:rFonts w:ascii="游明朝" w:cs="游明朝" w:eastAsia="游明朝" w:hAnsi="游明朝"/>
          <w:sz w:val="22"/>
          <w:szCs w:val="22"/>
        </w:rPr>
        <w:t xml:space="preserve">経過措置中の二重体系の運用管理</w:t>
      </w:r>
    </w:p>
    <w:p>
      <w:pPr>
        <w:pStyle w:val="ListParagraph"/>
        <w:numPr>
          <w:ilvl w:val="0"/>
          <w:numId w:val="2"/>
        </w:numPr>
        <w:spacing w:after="40" w:before="40" w:line="320"/>
      </w:pPr>
      <w:r>
        <w:rPr>
          <w:rFonts w:ascii="游明朝" w:cs="游明朝" w:eastAsia="游明朝" w:hAnsi="游明朝"/>
          <w:sz w:val="22"/>
          <w:szCs w:val="22"/>
        </w:rPr>
        <w:t xml:space="preserve">近隣自治体間での事業者移転防止のための運用調整</w:t>
      </w:r>
    </w:p>
    <w:p>
      <w:pPr>
        <w:pStyle w:val="ListParagraph"/>
        <w:numPr>
          <w:ilvl w:val="0"/>
          <w:numId w:val="2"/>
        </w:numPr>
        <w:spacing w:after="40" w:before="40" w:line="320"/>
      </w:pPr>
      <w:r>
        <w:rPr>
          <w:rFonts w:ascii="游明朝" w:cs="游明朝" w:eastAsia="游明朝" w:hAnsi="游明朝"/>
          <w:sz w:val="22"/>
          <w:szCs w:val="22"/>
        </w:rPr>
        <w:t xml:space="preserve">水道事業の収益減を補填する財源(交付金、家庭用料金調整、効率化)</w:t>
      </w:r>
    </w:p>
    <w:p>
      <w:r>
        <w:t xml:space="preserve"/>
      </w:r>
    </w:p>
    <w:p>
      <w:pPr>
        <w:pStyle w:val="Heading2"/>
      </w:pPr>
      <w:r>
        <w:rPr>
          <w:rFonts w:ascii="游ゴシック" w:cs="游ゴシック" w:eastAsia="游ゴシック" w:hAnsi="游ゴシック"/>
        </w:rPr>
        <w:t xml:space="preserve">10.4 関係者との対話</w:t>
      </w:r>
    </w:p>
    <w:p>
      <w:pPr>
        <w:pStyle w:val="ListParagraph"/>
        <w:numPr>
          <w:ilvl w:val="0"/>
          <w:numId w:val="2"/>
        </w:numPr>
        <w:spacing w:after="40" w:before="40" w:line="320"/>
      </w:pPr>
      <w:r>
        <w:rPr>
          <w:rFonts w:ascii="游明朝" w:cs="游明朝" w:eastAsia="游明朝" w:hAnsi="游明朝"/>
          <w:sz w:val="22"/>
          <w:szCs w:val="22"/>
        </w:rPr>
        <w:t xml:space="preserve">女川町水産加工団地19社との個別ヒアリング</w:t>
      </w:r>
    </w:p>
    <w:p>
      <w:pPr>
        <w:pStyle w:val="ListParagraph"/>
        <w:numPr>
          <w:ilvl w:val="0"/>
          <w:numId w:val="2"/>
        </w:numPr>
        <w:spacing w:after="40" w:before="40" w:line="320"/>
      </w:pPr>
      <w:r>
        <w:rPr>
          <w:rFonts w:ascii="游明朝" w:cs="游明朝" w:eastAsia="游明朝" w:hAnsi="游明朝"/>
          <w:sz w:val="22"/>
          <w:szCs w:val="22"/>
        </w:rPr>
        <w:t xml:space="preserve">気仙沼市・石巻市・塩竈市の水産加工業協会との意見交換</w:t>
      </w:r>
    </w:p>
    <w:p>
      <w:pPr>
        <w:pStyle w:val="ListParagraph"/>
        <w:numPr>
          <w:ilvl w:val="0"/>
          <w:numId w:val="2"/>
        </w:numPr>
        <w:spacing w:after="40" w:before="40" w:line="320"/>
      </w:pPr>
      <w:r>
        <w:rPr>
          <w:rFonts w:ascii="游明朝" w:cs="游明朝" w:eastAsia="游明朝" w:hAnsi="游明朝"/>
          <w:sz w:val="22"/>
          <w:szCs w:val="22"/>
        </w:rPr>
        <w:t xml:space="preserve">宮城県漁業協同組合との連携(漁業者の出口確保の観点)</w:t>
      </w:r>
    </w:p>
    <w:p>
      <w:pPr>
        <w:pStyle w:val="ListParagraph"/>
        <w:numPr>
          <w:ilvl w:val="0"/>
          <w:numId w:val="2"/>
        </w:numPr>
        <w:spacing w:after="40" w:before="40" w:line="320"/>
      </w:pPr>
      <w:r>
        <w:rPr>
          <w:rFonts w:ascii="游明朝" w:cs="游明朝" w:eastAsia="游明朝" w:hAnsi="游明朝"/>
          <w:sz w:val="22"/>
          <w:szCs w:val="22"/>
        </w:rPr>
        <w:t xml:space="preserve">国(厚生労働省・経済産業省)との財源協議</w:t>
      </w:r>
    </w:p>
    <w:p>
      <w:r>
        <w:t xml:space="preserve"/>
      </w:r>
    </w:p>
    <w:p>
      <w:pPr>
        <w:pStyle w:val="Heading2"/>
      </w:pPr>
      <w:r>
        <w:rPr>
          <w:rFonts w:ascii="游ゴシック" w:cs="游ゴシック" w:eastAsia="游ゴシック" w:hAnsi="游ゴシック"/>
        </w:rPr>
        <w:t xml:space="preserve">10.5 本検討の限界</w:t>
      </w:r>
    </w:p>
    <w:p>
      <w:pPr>
        <w:pStyle w:val="ListParagraph"/>
        <w:numPr>
          <w:ilvl w:val="0"/>
          <w:numId w:val="2"/>
        </w:numPr>
        <w:spacing w:after="40" w:before="40" w:line="320"/>
      </w:pPr>
      <w:r>
        <w:rPr>
          <w:rFonts w:ascii="游明朝" w:cs="游明朝" w:eastAsia="游明朝" w:hAnsi="游明朝"/>
          <w:sz w:val="22"/>
          <w:szCs w:val="22"/>
        </w:rPr>
        <w:t xml:space="preserve">水産加工業者の規模分布(小5+中8+大5+超大1=19社モデル)は女川町をベースにした想定で、各団体の実態とは異なる可能性</w:t>
      </w:r>
    </w:p>
    <w:p>
      <w:pPr>
        <w:pStyle w:val="ListParagraph"/>
        <w:numPr>
          <w:ilvl w:val="0"/>
          <w:numId w:val="2"/>
        </w:numPr>
        <w:spacing w:after="40" w:before="40" w:line="320"/>
      </w:pPr>
      <w:r>
        <w:rPr>
          <w:rFonts w:ascii="游明朝" w:cs="游明朝" w:eastAsia="游明朝" w:hAnsi="游明朝"/>
          <w:sz w:val="22"/>
          <w:szCs w:val="22"/>
        </w:rPr>
        <w:t xml:space="preserve">水産加工業の社数(気仙沼120社、石巻180社、塩竈90社)は一般情報からの概算で、水道給水台帳上の業種別事業者数とは異なる可能性</w:t>
      </w:r>
    </w:p>
    <w:p>
      <w:pPr>
        <w:pStyle w:val="ListParagraph"/>
        <w:numPr>
          <w:ilvl w:val="0"/>
          <w:numId w:val="2"/>
        </w:numPr>
        <w:spacing w:after="40" w:before="40" w:line="320"/>
      </w:pPr>
      <w:r>
        <w:rPr>
          <w:rFonts w:ascii="游明朝" w:cs="游明朝" w:eastAsia="游明朝" w:hAnsi="游明朝"/>
          <w:sz w:val="22"/>
          <w:szCs w:val="22"/>
        </w:rPr>
        <w:t xml:space="preserve">統一料金水準の『加重平均』は議論用の仮置きであり、実際の決定にあたっては各団体の財政条件・目標給水原価を踏まえた精緻な設計が必要</w:t>
      </w:r>
    </w:p>
    <w:p>
      <w:pPr>
        <w:pStyle w:val="ListParagraph"/>
        <w:numPr>
          <w:ilvl w:val="0"/>
          <w:numId w:val="2"/>
        </w:numPr>
        <w:spacing w:after="40" w:before="40" w:line="320"/>
      </w:pPr>
      <w:r>
        <w:rPr>
          <w:rFonts w:ascii="游明朝" w:cs="游明朝" w:eastAsia="游明朝" w:hAnsi="游明朝"/>
          <w:sz w:val="22"/>
          <w:szCs w:val="22"/>
        </w:rPr>
        <w:t xml:space="preserve">塩竈市の生産用水用区分の適用実績データが未取得のため、実際の財政影響は本試算より緩やかな可能性</w:t>
      </w:r>
    </w:p>
    <w:p>
      <w:r>
        <w:br w:type="page"/>
      </w:r>
    </w:p>
    <w:p>
      <w:pPr>
        <w:pStyle w:val="Heading1"/>
      </w:pPr>
      <w:r>
        <w:rPr>
          <w:rFonts w:ascii="游ゴシック" w:cs="游ゴシック" w:eastAsia="游ゴシック" w:hAnsi="游ゴシック"/>
        </w:rPr>
        <w:t xml:space="preserve">参考資料・出典一覧</w:t>
      </w:r>
    </w:p>
    <w:p>
      <w:pPr>
        <w:pStyle w:val="Heading2"/>
      </w:pPr>
      <w:r>
        <w:rPr>
          <w:rFonts w:ascii="游ゴシック" w:cs="游ゴシック" w:eastAsia="游ゴシック" w:hAnsi="游ゴシック"/>
        </w:rPr>
        <w:t xml:space="preserve">各団体の料金体系資料(逆算検証で使用)</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女川町公式ウェブサイト『上下水道料金及び支払方法』(令和6年4月~適用)</w:t>
      </w:r>
    </w:p>
    <w:p>
      <w:pPr>
        <w:pStyle w:val="ListParagraph"/>
        <w:numPr>
          <w:ilvl w:val="0"/>
          <w:numId w:val="2"/>
        </w:numPr>
        <w:spacing w:after="40" w:before="40" w:line="320"/>
      </w:pPr>
      <w:r>
        <w:rPr>
          <w:rFonts w:ascii="游明朝" w:cs="游明朝" w:eastAsia="游明朝" w:hAnsi="游明朝"/>
          <w:sz w:val="22"/>
          <w:szCs w:val="22"/>
        </w:rPr>
        <w:t xml:space="preserve">気仙沼市『水道料金表(R5.4~R8.3)』PDF ― 条例別表</w:t>
      </w:r>
    </w:p>
    <w:p>
      <w:pPr>
        <w:pStyle w:val="ListParagraph"/>
        <w:numPr>
          <w:ilvl w:val="0"/>
          <w:numId w:val="2"/>
        </w:numPr>
        <w:spacing w:after="40" w:before="40" w:line="320"/>
      </w:pPr>
      <w:r>
        <w:rPr>
          <w:rFonts w:ascii="游明朝" w:cs="游明朝" w:eastAsia="游明朝" w:hAnsi="游明朝"/>
          <w:sz w:val="22"/>
          <w:szCs w:val="22"/>
        </w:rPr>
        <w:t xml:space="preserve">気仙沼市『水道料金早見表(R5.4~)』PDF ― 14サンプル逆算検証済み</w:t>
      </w:r>
    </w:p>
    <w:p>
      <w:pPr>
        <w:pStyle w:val="ListParagraph"/>
        <w:numPr>
          <w:ilvl w:val="0"/>
          <w:numId w:val="2"/>
        </w:numPr>
        <w:spacing w:after="40" w:before="40" w:line="320"/>
      </w:pPr>
      <w:r>
        <w:rPr>
          <w:rFonts w:ascii="游明朝" w:cs="游明朝" w:eastAsia="游明朝" w:hAnsi="游明朝"/>
          <w:sz w:val="22"/>
          <w:szCs w:val="22"/>
        </w:rPr>
        <w:t xml:space="preserve">気仙沼市『気仙沼市の水道料金』ウェブページ ― 計算例3件で構造確認</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石巻地方広域水道企業団『水道料金の改定について』(R5.4改定)</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 早見表PDF ― 13mm・25mm・50mm・75mm・100mm全口径で逆算検証済み</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石巻地方広域水道企業団給水条例(別表第1)</w:t>
      </w:r>
    </w:p>
    <w:p>
      <w:pPr>
        <w:pStyle w:val="ListParagraph"/>
        <w:numPr>
          <w:ilvl w:val="0"/>
          <w:numId w:val="2"/>
        </w:numPr>
        <w:spacing w:after="40" w:before="40" w:line="320"/>
      </w:pPr>
      <w:r>
        <w:rPr>
          <w:rFonts w:ascii="游明朝" w:cs="游明朝" w:eastAsia="游明朝" w:hAnsi="游明朝"/>
          <w:sz w:val="22"/>
          <w:szCs w:val="22"/>
        </w:rPr>
        <w:t xml:space="preserve">塩竈市『上下水道料金早見表(塩釜地区)』PDF ― 条例別表1~3完全収録版で逆算検証済み</w:t>
      </w:r>
    </w:p>
    <w:p>
      <w:pPr>
        <w:pStyle w:val="ListParagraph"/>
        <w:numPr>
          <w:ilvl w:val="0"/>
          <w:numId w:val="2"/>
        </w:numPr>
        <w:spacing w:after="40" w:before="40" w:line="320"/>
      </w:pPr>
      <w:r>
        <w:rPr>
          <w:rFonts w:ascii="游明朝" w:cs="游明朝" w:eastAsia="游明朝" w:hAnsi="游明朝"/>
          <w:sz w:val="22"/>
          <w:szCs w:val="22"/>
        </w:rPr>
        <w:t xml:space="preserve">塩竈市『水道料金・支払い』ウェブページ</w:t>
      </w:r>
    </w:p>
    <w:p>
      <w:pPr>
        <w:pStyle w:val="ListParagraph"/>
        <w:numPr>
          <w:ilvl w:val="0"/>
          <w:numId w:val="2"/>
        </w:numPr>
        <w:spacing w:after="40" w:before="40" w:line="320"/>
      </w:pPr>
      <w:r>
        <w:rPr>
          <w:rFonts w:ascii="游明朝" w:cs="游明朝" w:eastAsia="游明朝" w:hAnsi="游明朝"/>
          <w:sz w:val="22"/>
          <w:szCs w:val="22"/>
        </w:rPr>
        <w:t xml:space="preserve">南三陸町『上水道について』(令和元年10月~料金、計算例のみ)</w:t>
      </w:r>
    </w:p>
    <w:p>
      <w:pPr>
        <w:pStyle w:val="ListParagraph"/>
        <w:numPr>
          <w:ilvl w:val="0"/>
          <w:numId w:val="2"/>
        </w:numPr>
        <w:spacing w:after="40" w:before="40" w:line="320"/>
      </w:pPr>
      <w:r>
        <w:rPr>
          <w:rFonts w:ascii="游明朝" w:cs="游明朝" w:eastAsia="游明朝" w:hAnsi="游明朝"/>
          <w:sz w:val="22"/>
          <w:szCs w:val="22"/>
        </w:rPr>
        <w:t xml:space="preserve">南三陸町給水条例(令和3年・令和6年改正含む)</w:t>
      </w:r>
    </w:p>
    <w:p>
      <w:r>
        <w:t xml:space="preserve"/>
      </w:r>
    </w:p>
    <w:p>
      <w:pPr>
        <w:pStyle w:val="Heading2"/>
      </w:pPr>
      <w:r>
        <w:rPr>
          <w:rFonts w:ascii="游ゴシック" w:cs="游ゴシック" w:eastAsia="游ゴシック" w:hAnsi="游ゴシック"/>
        </w:rPr>
        <w:t xml:space="preserve">広域化・統一化の先進事例</w:t>
      </w:r>
    </w:p>
    <w:p>
      <w:pPr>
        <w:pStyle w:val="ListParagraph"/>
        <w:numPr>
          <w:ilvl w:val="0"/>
          <w:numId w:val="2"/>
        </w:numPr>
        <w:spacing w:after="40" w:before="40" w:line="320"/>
      </w:pPr>
      <w:r>
        <w:rPr>
          <w:rFonts w:ascii="游明朝" w:cs="游明朝" w:eastAsia="游明朝" w:hAnsi="游明朝"/>
          <w:sz w:val="22"/>
          <w:szCs w:val="22"/>
        </w:rPr>
        <w:t xml:space="preserve">香川県広域水道企業団『香川県水道広域化基本計画』(経過措置の参考事例)</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石巻地方広域水道企業団『水道事業の広域化について』</w:t>
      </w:r>
    </w:p>
    <w:p>
      <w:r>
        <w:t xml:space="preserve"/>
      </w:r>
    </w:p>
    <w:p>
      <w:pPr>
        <w:pStyle w:val="Heading2"/>
      </w:pPr>
      <w:r>
        <w:rPr>
          <w:rFonts w:ascii="游ゴシック" w:cs="游ゴシック" w:eastAsia="游ゴシック" w:hAnsi="游ゴシック"/>
        </w:rPr>
        <w:t xml:space="preserve">一般情報・統計</w:t>
      </w:r>
    </w:p>
    <w:p>
      <w:pPr>
        <w:pStyle w:val="ListParagraph"/>
        <w:numPr>
          <w:ilvl w:val="0"/>
          <w:numId w:val="2"/>
        </w:numPr>
        <w:spacing w:after="40" w:before="40" w:line="320"/>
      </w:pPr>
      <w:r>
        <w:rPr>
          <w:rFonts w:ascii="游明朝" w:cs="游明朝" w:eastAsia="游明朝" w:hAnsi="游明朝"/>
          <w:sz w:val="22"/>
          <w:szCs w:val="22"/>
        </w:rPr>
        <w:t xml:space="preserve">日本水道協会『水道料金表』(令和6年4月1日現在)</w:t>
      </w:r>
    </w:p>
    <w:p>
      <w:pPr>
        <w:pStyle w:val="ListParagraph"/>
        <w:numPr>
          <w:ilvl w:val="0"/>
          <w:numId w:val="2"/>
        </w:numPr>
        <w:spacing w:after="40" w:before="40" w:line="320"/>
      </w:pPr>
      <w:r>
        <w:rPr>
          <w:rFonts w:ascii="游明朝" w:cs="游明朝" w:eastAsia="游明朝" w:hAnsi="游明朝"/>
          <w:sz w:val="22"/>
          <w:szCs w:val="22"/>
        </w:rPr>
        <w:t xml:space="preserve">仙台市水道局『よくある質問Q&amp;A(水道料金)』</w:t>
      </w:r>
    </w:p>
    <w:p>
      <w:pPr>
        <w:pStyle w:val="ListParagraph"/>
        <w:numPr>
          <w:ilvl w:val="0"/>
          <w:numId w:val="2"/>
        </w:numPr>
        <w:spacing w:after="40" w:before="40" w:line="320"/>
      </w:pPr>
      <w:r>
        <w:rPr>
          <w:rFonts w:ascii="游明朝" w:cs="游明朝" w:eastAsia="游明朝" w:hAnsi="游明朝"/>
          <w:sz w:val="22"/>
          <w:szCs w:val="22"/>
        </w:rPr>
        <w:t xml:space="preserve">気仙沼市議会議員 今川悟ブログ『復興10年で水道料金を23%値上げする理由』(R3年3月)</w:t>
      </w:r>
    </w:p>
    <w:p>
      <w:pPr>
        <w:pStyle w:val="ListParagraph"/>
        <w:numPr>
          <w:ilvl w:val="0"/>
          <w:numId w:val="2"/>
        </w:numPr>
        <w:spacing w:after="40" w:before="40" w:line="320"/>
      </w:pPr>
      <w:r>
        <w:rPr>
          <w:rFonts w:ascii="游明朝" w:cs="游明朝" w:eastAsia="游明朝" w:hAnsi="游明朝"/>
          <w:sz w:val="22"/>
          <w:szCs w:val="22"/>
        </w:rPr>
        <w:t xml:space="preserve">日本経済新聞『女川町地方卸売市場・水産加工団地公募で19社選定』報道</w:t>
      </w:r>
    </w:p>
    <w:p>
      <w:r>
        <w:t xml:space="preserve"/>
      </w:r>
    </w:p>
    <w:p>
      <w:pPr>
        <w:pStyle w:val="Heading2"/>
      </w:pPr>
      <w:r>
        <w:rPr>
          <w:rFonts w:ascii="游ゴシック" w:cs="游ゴシック" w:eastAsia="游ゴシック" w:hAnsi="游ゴシック"/>
        </w:rPr>
        <w:t xml:space="preserve">関連法令・制度</w:t>
      </w:r>
    </w:p>
    <w:p>
      <w:pPr>
        <w:pStyle w:val="ListParagraph"/>
        <w:numPr>
          <w:ilvl w:val="0"/>
          <w:numId w:val="2"/>
        </w:numPr>
        <w:spacing w:after="40" w:before="40" w:line="320"/>
      </w:pPr>
      <w:r>
        <w:rPr>
          <w:rFonts w:ascii="游明朝" w:cs="游明朝" w:eastAsia="游明朝" w:hAnsi="游明朝"/>
          <w:sz w:val="22"/>
          <w:szCs w:val="22"/>
        </w:rPr>
        <w:t xml:space="preserve">水道法</w:t>
      </w:r>
    </w:p>
    <w:p>
      <w:pPr>
        <w:pStyle w:val="ListParagraph"/>
        <w:numPr>
          <w:ilvl w:val="0"/>
          <w:numId w:val="2"/>
        </w:numPr>
        <w:spacing w:after="40" w:before="40" w:line="320"/>
      </w:pPr>
      <w:r>
        <w:rPr>
          <w:rFonts w:ascii="游明朝" w:cs="游明朝" w:eastAsia="游明朝" w:hAnsi="游明朝"/>
          <w:sz w:val="22"/>
          <w:szCs w:val="22"/>
        </w:rPr>
        <w:t xml:space="preserve">地方公営企業法</w:t>
      </w:r>
    </w:p>
    <w:p>
      <w:pPr>
        <w:pStyle w:val="ListParagraph"/>
        <w:numPr>
          <w:ilvl w:val="0"/>
          <w:numId w:val="2"/>
        </w:numPr>
        <w:spacing w:after="40" w:before="40" w:line="320"/>
      </w:pPr>
      <w:r>
        <w:rPr>
          <w:rFonts w:ascii="游明朝" w:cs="游明朝" w:eastAsia="游明朝" w:hAnsi="游明朝"/>
          <w:sz w:val="22"/>
          <w:szCs w:val="22"/>
        </w:rPr>
        <w:t xml:space="preserve">公衆浴場の確保のための特別措置に関する法律(公衆浴場用料金区分の根拠)</w:t>
      </w:r>
    </w:p>
    <w:p>
      <w:pPr>
        <w:pStyle w:val="ListParagraph"/>
        <w:numPr>
          <w:ilvl w:val="0"/>
          <w:numId w:val="2"/>
        </w:numPr>
        <w:spacing w:after="40" w:before="40" w:line="320"/>
      </w:pPr>
      <w:r>
        <w:rPr>
          <w:rFonts w:ascii="游明朝" w:cs="游明朝" w:eastAsia="游明朝" w:hAnsi="游明朝"/>
          <w:sz w:val="22"/>
          <w:szCs w:val="22"/>
        </w:rPr>
        <w:t xml:space="preserve">水道広域化支援事業(厚生労働省・国土交通省)</w:t>
      </w:r>
    </w:p>
    <w:p>
      <w:r>
        <w:t xml:space="preserve"/>
      </w:r>
    </w:p>
    <w:p>
      <w:r>
        <w:t xml:space="preserve"/>
      </w:r>
    </w:p>
    <w:p>
      <w:pPr>
        <w:pBdr>
          <w:top w:val="single" w:color="1F4E78" w:sz="6" w:space="10"/>
        </w:pBdr>
        <w:spacing w:after="200" w:before="600"/>
        <w:jc w:val="center"/>
      </w:pPr>
      <w:r>
        <w:rPr>
          <w:rFonts w:ascii="游ゴシック" w:cs="游ゴシック" w:eastAsia="游ゴシック" w:hAnsi="游ゴシック"/>
          <w:b/>
          <w:bCs/>
          <w:color w:val="1F4E78"/>
          <w:sz w:val="22"/>
          <w:szCs w:val="22"/>
        </w:rPr>
        <w:t xml:space="preserve">本報告書について</w:t>
      </w:r>
    </w:p>
    <w:p>
      <w:pPr>
        <w:spacing w:after="60" w:before="60" w:line="340"/>
        <w:jc w:val="left"/>
      </w:pPr>
      <w:r>
        <w:rPr>
          <w:rFonts w:ascii="游明朝" w:cs="游明朝" w:eastAsia="游明朝" w:hAnsi="游明朝"/>
          <w:b w:val="false"/>
          <w:bCs w:val="false"/>
          <w:color w:val="555555"/>
          <w:sz w:val="20"/>
          <w:szCs w:val="20"/>
        </w:rPr>
        <w:t xml:space="preserve">本報告書は、宮城県内水道料金体系統一化検討の初期段階における基礎資料です。料金データは公表資料からの逆算検証を経た確定値ですが、水産加工業集積規模等の前提値は概算であり、政策決定時には各団体の最新経営データ・実使用水量データを踏まえた精緻な再試算が必要です。</w:t>
      </w:r>
    </w:p>
    <w:p>
      <w:r>
        <w:t xml:space="preserve"/>
      </w:r>
    </w:p>
    <w:p>
      <w:pPr>
        <w:spacing w:after="60" w:before="60" w:line="340"/>
        <w:jc w:val="left"/>
      </w:pPr>
      <w:r>
        <w:rPr>
          <w:rFonts w:ascii="游明朝" w:cs="游明朝" w:eastAsia="游明朝" w:hAnsi="游明朝"/>
          <w:b w:val="false"/>
          <w:bCs w:val="false"/>
          <w:color w:val="555555"/>
          <w:sz w:val="20"/>
          <w:szCs w:val="20"/>
        </w:rPr>
        <w:t xml:space="preserve">本報告書の検討プロセスで得られた主要な発見は以下の通り。</w:t>
      </w:r>
    </w:p>
    <w:p>
      <w:pPr>
        <w:spacing w:after="60" w:before="60" w:line="340"/>
        <w:jc w:val="left"/>
      </w:pPr>
      <w:r>
        <w:rPr>
          <w:rFonts w:ascii="游明朝" w:cs="游明朝" w:eastAsia="游明朝" w:hAnsi="游明朝"/>
          <w:b w:val="false"/>
          <w:bCs w:val="false"/>
          <w:color w:val="555555"/>
          <w:sz w:val="20"/>
          <w:szCs w:val="20"/>
        </w:rPr>
        <w:t xml:space="preserve">(1) 女川町の現行料金は他3団体の約1/3水準であり、単純統一は同町水産加工業に深刻な影響を与える。</w:t>
      </w:r>
    </w:p>
    <w:p>
      <w:pPr>
        <w:spacing w:after="60" w:before="60" w:line="340"/>
        <w:jc w:val="left"/>
      </w:pPr>
      <w:r>
        <w:rPr>
          <w:rFonts w:ascii="游明朝" w:cs="游明朝" w:eastAsia="游明朝" w:hAnsi="游明朝"/>
          <w:b w:val="false"/>
          <w:bCs w:val="false"/>
          <w:color w:val="555555"/>
          <w:sz w:val="20"/>
          <w:szCs w:val="20"/>
        </w:rPr>
        <w:t xml:space="preserve">(2) 塩竈市には既に『生産用水用』区分という産業用優遇制度があり、女川町の逓減制と実質同水準を提供している。</w:t>
      </w:r>
    </w:p>
    <w:p>
      <w:pPr>
        <w:spacing w:after="60" w:before="60" w:line="340"/>
        <w:jc w:val="left"/>
      </w:pPr>
      <w:r>
        <w:rPr>
          <w:rFonts w:ascii="游明朝" w:cs="游明朝" w:eastAsia="游明朝" w:hAnsi="游明朝"/>
          <w:b w:val="false"/>
          <w:bCs w:val="false"/>
          <w:color w:val="555555"/>
          <w:sz w:val="20"/>
          <w:szCs w:val="20"/>
        </w:rPr>
        <w:t xml:space="preserve">(3) 塩竈モデルの全県導入により、女川町の影響を+3%程度に抑制しつつ統一を実現可能。</w:t>
      </w:r>
    </w:p>
    <w:p>
      <w:pPr>
        <w:spacing w:after="60" w:before="60" w:line="340"/>
        <w:jc w:val="left"/>
      </w:pPr>
      <w:r>
        <w:rPr>
          <w:rFonts w:ascii="游明朝" w:cs="游明朝" w:eastAsia="游明朝" w:hAnsi="游明朝"/>
          <w:b w:val="false"/>
          <w:bCs w:val="false"/>
          <w:color w:val="555555"/>
          <w:sz w:val="20"/>
          <w:szCs w:val="20"/>
        </w:rPr>
        <w:t xml:space="preserve">(4) 10年経過措置の併設、節水設備補助との組み合わせで、より穏当な制度移行が実現可能。</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宮城県水道料金体系統一化 検討報告書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游明朝" w:cs="游明朝" w:eastAsia="游明朝" w:hAnsi="游明朝"/>
        <w:sz w:val="22"/>
        <w:szCs w:val="22"/>
      </w:rPr>
    </w:lvl>
    <w:lvl w:ilvl="1" w15:tentative="1">
      <w:start w:val="1"/>
      <w:numFmt w:val="bullet"/>
      <w:lvlText w:val="○"/>
      <w:lvlJc w:val="left"/>
      <w:pPr>
        <w:ind w:left="1080" w:hanging="270"/>
      </w:pPr>
      <w:rPr>
        <w:rFonts w:ascii="游明朝" w:cs="游明朝" w:eastAsia="游明朝" w:hAnsi="游明朝"/>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8" w:space="4"/>
      </w:pBdr>
      <w:spacing w:after="240" w:before="360"/>
      <w:outlineLvl w:val="0"/>
    </w:pPr>
    <w:rPr>
      <w:rFonts w:ascii="游ゴシック" w:cs="游ゴシック" w:eastAsia="游ゴシック" w:hAnsi="游ゴシック"/>
      <w:b/>
      <w:bCs/>
      <w:color w:val="1F4E78"/>
      <w:sz w:val="30"/>
      <w:szCs w:val="30"/>
    </w:rPr>
  </w:style>
  <w:style w:type="paragraph" w:styleId="Heading2">
    <w:name w:val="Heading 2"/>
    <w:basedOn w:val="Normal"/>
    <w:next w:val="Normal"/>
    <w:qFormat/>
    <w:pPr>
      <w:spacing w:after="140" w:before="280"/>
      <w:outlineLvl w:val="1"/>
    </w:pPr>
    <w:rPr>
      <w:rFonts w:ascii="游ゴシック" w:cs="游ゴシック" w:eastAsia="游ゴシック" w:hAnsi="游ゴシック"/>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90535e7ce23a47624cea04de069df20650c792.png"/><Relationship Id="rId10" Type="http://schemas.openxmlformats.org/officeDocument/2006/relationships/image" Target="media/6563874e907642746d7516328d4be8babff6185b.png"/><Relationship Id="rId11" Type="http://schemas.openxmlformats.org/officeDocument/2006/relationships/image" Target="media/07681c58871666d51c15a6745e407500fddd89e5.png"/><Relationship Id="rId12" Type="http://schemas.openxmlformats.org/officeDocument/2006/relationships/image" Target="media/4c635c614f738e4a72a4dfb957ed2983ff58214d.png"/><Relationship Id="rId13" Type="http://schemas.openxmlformats.org/officeDocument/2006/relationships/image" Target="media/c4240d81262e85da7f2d002cf22c4660b6ae42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宮城県水道料金体系統一化に関する検討報告書</dc:title>
  <dc:subject>令和8年度上下水道経営指標評価書作成等業務委託</dc:subject>
  <dc:creator>若山諒太</dc:creator>
  <cp:lastModifiedBy>若山諒太</cp:lastModifiedBy>
  <cp:revision>1</cp:revision>
  <dcterms:created xsi:type="dcterms:W3CDTF">2026-09-28T10:27:08Z</dcterms:created>
  <dcterms:modified xsi:type="dcterms:W3CDTF">2026-09-28T10:27:08Z</dcterms:modified>
  <cp:category>ビズアップ公共コンサルティング株式会社</cp:category>
</cp:coreProperties>
</file>

<file path=docProps/custom.xml><?xml version="1.0" encoding="utf-8"?>
<Properties xmlns="http://schemas.openxmlformats.org/officeDocument/2006/custom-properties" xmlns:vt="http://schemas.openxmlformats.org/officeDocument/2006/docPropsVTypes"/>
</file>