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游ゴシック" w:cs="游ゴシック" w:eastAsia="游ゴシック" w:hAnsi="游ゴシック"/>
          <w:b/>
          <w:bCs/>
          <w:sz w:val="36"/>
          <w:szCs w:val="36"/>
        </w:rPr>
        <w:t xml:space="preserve">宮城県水道料金体系統一化に関する検討資料</w:t>
      </w:r>
    </w:p>
    <w:p>
      <w:pPr>
        <w:spacing w:after="400"/>
        <w:jc w:val="center"/>
      </w:pPr>
      <w:r>
        <w:rPr>
          <w:rFonts w:ascii="游ゴシック" w:cs="游ゴシック" w:eastAsia="游ゴシック" w:hAnsi="游ゴシック"/>
          <w:color w:val="555555"/>
          <w:sz w:val="24"/>
          <w:szCs w:val="24"/>
        </w:rPr>
        <w:t xml:space="preserve">― 現行料金体系の把握と統一化の方向性 ―</w:t>
      </w:r>
    </w:p>
    <w:p>
      <w:pPr>
        <w:pStyle w:val="Heading1"/>
      </w:pPr>
      <w:r>
        <w:rPr>
          <w:rFonts w:ascii="游ゴシック" w:cs="游ゴシック" w:eastAsia="游ゴシック" w:hAnsi="游ゴシック"/>
        </w:rPr>
        <w:t xml:space="preserve">1. 検討の背景と目的</w:t>
      </w:r>
    </w:p>
    <w:p>
      <w:pPr>
        <w:spacing w:after="60" w:before="60" w:line="340"/>
        <w:jc w:val="left"/>
      </w:pPr>
      <w:r>
        <w:rPr>
          <w:rFonts w:ascii="游明朝" w:cs="游明朝" w:eastAsia="游明朝" w:hAnsi="游明朝"/>
          <w:b w:val="false"/>
          <w:bCs w:val="false"/>
          <w:sz w:val="22"/>
          <w:szCs w:val="22"/>
        </w:rPr>
        <w:t xml:space="preserve">宮城県内の水道事業は、人口減少による給水収益の減少、施設の老朽化に伴う大量更新時期の到来、水道事業従事者の技術継承といった構造的課題に直面している。改正水道法(令和元年10月施行)により、県には「水道事業者等の広域的な連携の推進」の責務が規定されており、広域化は基盤強化の有効な方策の一つとされている。</w:t>
      </w:r>
    </w:p>
    <w:p>
      <w:pPr>
        <w:spacing w:after="60" w:before="60" w:line="340"/>
        <w:jc w:val="left"/>
      </w:pPr>
      <w:r>
        <w:rPr>
          <w:rFonts w:ascii="游明朝" w:cs="游明朝" w:eastAsia="游明朝" w:hAnsi="游明朝"/>
          <w:b w:val="false"/>
          <w:bCs w:val="false"/>
          <w:sz w:val="22"/>
          <w:szCs w:val="22"/>
        </w:rPr>
        <w:t xml:space="preserve">本資料は、県内水道事業の料金体系を将来的に統一化することを視野に、</w:t>
      </w:r>
    </w:p>
    <w:p>
      <w:pPr>
        <w:pStyle w:val="ListParagraph"/>
        <w:numPr>
          <w:ilvl w:val="0"/>
          <w:numId w:val="2"/>
        </w:numPr>
        <w:spacing w:after="40" w:before="40" w:line="320"/>
      </w:pPr>
      <w:r>
        <w:rPr>
          <w:rFonts w:ascii="游明朝" w:cs="游明朝" w:eastAsia="游明朝" w:hAnsi="游明朝"/>
          <w:sz w:val="22"/>
          <w:szCs w:val="22"/>
        </w:rPr>
        <w:t xml:space="preserve">現行の料金体系区分(県営広域水道と市町村水道の二層構造)の整理</w:t>
      </w:r>
    </w:p>
    <w:p>
      <w:pPr>
        <w:pStyle w:val="ListParagraph"/>
        <w:numPr>
          <w:ilvl w:val="0"/>
          <w:numId w:val="2"/>
        </w:numPr>
        <w:spacing w:after="40" w:before="40" w:line="320"/>
      </w:pPr>
      <w:r>
        <w:rPr>
          <w:rFonts w:ascii="游明朝" w:cs="游明朝" w:eastAsia="游明朝" w:hAnsi="游明朝"/>
          <w:sz w:val="22"/>
          <w:szCs w:val="22"/>
        </w:rPr>
        <w:t xml:space="preserve">県内自治体間の料金体系および料金水準の格差の把握</w:t>
      </w:r>
    </w:p>
    <w:p>
      <w:pPr>
        <w:pStyle w:val="ListParagraph"/>
        <w:numPr>
          <w:ilvl w:val="0"/>
          <w:numId w:val="2"/>
        </w:numPr>
        <w:spacing w:after="40" w:before="40" w:line="320"/>
      </w:pPr>
      <w:r>
        <w:rPr>
          <w:rFonts w:ascii="游明朝" w:cs="游明朝" w:eastAsia="游明朝" w:hAnsi="游明朝"/>
          <w:sz w:val="22"/>
          <w:szCs w:val="22"/>
        </w:rPr>
        <w:t xml:space="preserve">他県の先行事例(香川県等)を踏まえた統一化の論点整理</w:t>
      </w:r>
    </w:p>
    <w:p>
      <w:pPr>
        <w:spacing w:after="60" w:before="60" w:line="340"/>
        <w:jc w:val="left"/>
      </w:pPr>
      <w:r>
        <w:rPr>
          <w:rFonts w:ascii="游明朝" w:cs="游明朝" w:eastAsia="游明朝" w:hAnsi="游明朝"/>
          <w:b w:val="false"/>
          <w:bCs w:val="false"/>
          <w:sz w:val="22"/>
          <w:szCs w:val="22"/>
        </w:rPr>
        <w:t xml:space="preserve">を行い、今後の検討の基礎資料とするものである。</w:t>
      </w:r>
    </w:p>
    <w:p>
      <w:r>
        <w:t xml:space="preserve"/>
      </w:r>
    </w:p>
    <w:p>
      <w:pPr>
        <w:pStyle w:val="Heading1"/>
      </w:pPr>
      <w:r>
        <w:rPr>
          <w:rFonts w:ascii="游ゴシック" w:cs="游ゴシック" w:eastAsia="游ゴシック" w:hAnsi="游ゴシック"/>
        </w:rPr>
        <w:t xml:space="preserve">2. 現行の料金体系区分</w:t>
      </w:r>
    </w:p>
    <w:p>
      <w:pPr>
        <w:spacing w:after="60" w:before="60" w:line="340"/>
        <w:jc w:val="left"/>
      </w:pPr>
      <w:r>
        <w:rPr>
          <w:rFonts w:ascii="游明朝" w:cs="游明朝" w:eastAsia="游明朝" w:hAnsi="游明朝"/>
          <w:b w:val="false"/>
          <w:bCs w:val="false"/>
          <w:sz w:val="22"/>
          <w:szCs w:val="22"/>
        </w:rPr>
        <w:t xml:space="preserve">宮城県の水道料金は、県企業局が運営する『水道用水供給事業(卸売)』と、各市町村が運営する『水道事業(小売)』の二層構造となっている。</w:t>
      </w:r>
    </w:p>
    <w:p>
      <w:r>
        <w:t xml:space="preserve"/>
      </w:r>
    </w:p>
    <w:p>
      <w:pPr>
        <w:pStyle w:val="Heading2"/>
      </w:pPr>
      <w:r>
        <w:rPr>
          <w:rFonts w:ascii="游ゴシック" w:cs="游ゴシック" w:eastAsia="游ゴシック" w:hAnsi="游ゴシック"/>
        </w:rPr>
        <w:t xml:space="preserve">2.1 県営広域水道事業(卸売)</w:t>
      </w:r>
    </w:p>
    <w:p>
      <w:pPr>
        <w:spacing w:after="60" w:before="60" w:line="340"/>
        <w:jc w:val="left"/>
      </w:pPr>
      <w:r>
        <w:rPr>
          <w:rFonts w:ascii="游明朝" w:cs="游明朝" w:eastAsia="游明朝" w:hAnsi="游明朝"/>
          <w:b w:val="false"/>
          <w:bCs w:val="false"/>
          <w:sz w:val="22"/>
          <w:szCs w:val="22"/>
        </w:rPr>
        <w:t xml:space="preserve">宮城県企業局が、一般家庭へ直接水を届けるのではなく、水道事業者(水道事業を経営する者)に水道用水を供給する『水道用水供給事業(水の卸売業)』として、下記2事業を運営している。料金は概ね5年ごとに見直され、現行料金期間は令和6年4月1日から令和11年3月31日までの5年間であ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事業名</w:t>
            </w:r>
          </w:p>
        </w:tc>
        <w:tc>
          <w:tcPr>
            <w:tcW w:type="dxa" w:w="348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受水市町村</w:t>
            </w:r>
          </w:p>
        </w:tc>
        <w:tc>
          <w:tcPr>
            <w:tcW w:type="dxa" w:w="348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令和6年改定の主な内容</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大崎広域水道事業</w:t>
            </w:r>
          </w:p>
        </w:tc>
        <w:tc>
          <w:tcPr>
            <w:tcW w:type="dxa" w:w="3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大崎市、栗原市、富谷市、加美町、涌谷町、美里町、大和町、大郷町、松島町、大衡村(10市町村)</w:t>
            </w:r>
          </w:p>
        </w:tc>
        <w:tc>
          <w:tcPr>
            <w:tcW w:type="dxa" w:w="3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みやぎ型管理運営方式の導入効果を反映し、令和7年度予定を1年前倒しして令和6年度から改定</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仙南・仙塩広域水道事業</w:t>
            </w:r>
          </w:p>
        </w:tc>
        <w:tc>
          <w:tcPr>
            <w:tcW w:type="dxa" w:w="3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仙台市、塩竈市、白石市、名取市、角田市、多賀城市、岩沼市、富谷市、蔵王町、大河原町、村田町、柴田町、亘理町、山元町、松島町、七ヶ浜町、利府町(17市町)</w:t>
            </w:r>
          </w:p>
        </w:tc>
        <w:tc>
          <w:tcPr>
            <w:tcW w:type="dxa" w:w="3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供給単価を約5.5%引き下げ(コスト削減効果の還元)</w:t>
            </w:r>
          </w:p>
        </w:tc>
      </w:tr>
    </w:tbl>
    <w:p>
      <w:r>
        <w:t xml:space="preserve"/>
      </w:r>
    </w:p>
    <w:p>
      <w:pPr>
        <w:pStyle w:val="Heading2"/>
      </w:pPr>
      <w:r>
        <w:rPr>
          <w:rFonts w:ascii="游ゴシック" w:cs="游ゴシック" w:eastAsia="游ゴシック" w:hAnsi="游ゴシック"/>
        </w:rPr>
        <w:t xml:space="preserve">2.2 市町村の水道事業(小売)</w:t>
      </w:r>
    </w:p>
    <w:p>
      <w:pPr>
        <w:spacing w:after="60" w:before="60" w:line="340"/>
        <w:jc w:val="left"/>
      </w:pPr>
      <w:r>
        <w:rPr>
          <w:rFonts w:ascii="游明朝" w:cs="游明朝" w:eastAsia="游明朝" w:hAnsi="游明朝"/>
          <w:b w:val="false"/>
          <w:bCs w:val="false"/>
          <w:sz w:val="22"/>
          <w:szCs w:val="22"/>
        </w:rPr>
        <w:t xml:space="preserve">各市町村が条例に基づき料金を定めており、料金は一般に『基本料金(口径別・月額固定)+従量料金(段階別逓増制)』の二部料金制を採用している。仙台市の例では、従量料金は1~10㎥、11~20㎥、21~50㎥等の段階区分ごとに単価が設定されている。</w:t>
      </w:r>
    </w:p>
    <w:p>
      <w:r>
        <w:t xml:space="preserve"/>
      </w:r>
    </w:p>
    <w:p>
      <w:pPr>
        <w:pStyle w:val="Heading1"/>
      </w:pPr>
      <w:r>
        <w:rPr>
          <w:rFonts w:ascii="游ゴシック" w:cs="游ゴシック" w:eastAsia="游ゴシック" w:hAnsi="游ゴシック"/>
        </w:rPr>
        <w:t xml:space="preserve">3. 県内自治体間の料金格差の現状</w:t>
      </w:r>
    </w:p>
    <w:p>
      <w:pPr>
        <w:spacing w:after="60" w:before="60" w:line="340"/>
        <w:jc w:val="left"/>
      </w:pPr>
      <w:r>
        <w:rPr>
          <w:rFonts w:ascii="游明朝" w:cs="游明朝" w:eastAsia="游明朝" w:hAnsi="游明朝"/>
          <w:b w:val="false"/>
          <w:bCs w:val="false"/>
          <w:sz w:val="22"/>
          <w:szCs w:val="22"/>
        </w:rPr>
        <w:t xml:space="preserve">県内自治体間には料金水準に大きなばらつきが存在する。全国の水道事業体1,299団体中(令和6年4月現在)、家庭用10㎥使用時の料金で登米市が全国3位・県内最高水準にあり、仙台市は全国平均をやや上回る水準(3,553円/20㎥、税込)にあ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団体</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特徴</w:t>
            </w:r>
          </w:p>
        </w:tc>
        <w:tc>
          <w:tcPr>
            <w:tcW w:type="dxa" w:w="5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料金水準が異なる主な要因</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仙台市</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県内最大規模
全国平均をやや上回る水準</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都市化の進展に伴う施設建設投資の返済負担、広域水道受水費、人口集積に対する配水管使用効率の制約</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登米市</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全国3位・県内2位の高料金</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水量安定した地下水源が乏しく北上川を水源として保呂羽浄水場で約85%を処理、広い区域・低人口密度による管路延長、創設期の高利率企業債の影響</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その他の受水市町村</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県営広域水道への依存度により差異</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受水費の比重、自己水源の有無、施設の老朽化度合いや企業債残高により水準が分岐</w:t>
            </w:r>
          </w:p>
        </w:tc>
      </w:tr>
    </w:tbl>
    <w:p>
      <w:r>
        <w:t xml:space="preserve"/>
      </w:r>
    </w:p>
    <w:p>
      <w:pPr>
        <w:spacing w:after="60" w:before="60" w:line="340"/>
        <w:jc w:val="left"/>
      </w:pPr>
      <w:r>
        <w:rPr>
          <w:rFonts w:ascii="游明朝" w:cs="游明朝" w:eastAsia="游明朝" w:hAnsi="游明朝"/>
          <w:b/>
          <w:bCs/>
          <w:sz w:val="22"/>
          <w:szCs w:val="22"/>
        </w:rPr>
        <w:t xml:space="preserve">料金格差を生む構造的要因は主に次のとおり整理できる。</w:t>
      </w:r>
    </w:p>
    <w:p>
      <w:pPr>
        <w:pStyle w:val="ListParagraph"/>
        <w:numPr>
          <w:ilvl w:val="0"/>
          <w:numId w:val="2"/>
        </w:numPr>
        <w:spacing w:after="40" w:before="40" w:line="320"/>
      </w:pPr>
      <w:r>
        <w:rPr>
          <w:rFonts w:ascii="游明朝" w:cs="游明朝" w:eastAsia="游明朝" w:hAnsi="游明朝"/>
          <w:sz w:val="22"/>
          <w:szCs w:val="22"/>
        </w:rPr>
        <w:t xml:space="preserve">水源構成の違い(自己水源中心か、県営広域水道受水中心か、河川水かダム水か)</w:t>
      </w:r>
    </w:p>
    <w:p>
      <w:pPr>
        <w:pStyle w:val="ListParagraph"/>
        <w:numPr>
          <w:ilvl w:val="0"/>
          <w:numId w:val="2"/>
        </w:numPr>
        <w:spacing w:after="40" w:before="40" w:line="320"/>
      </w:pPr>
      <w:r>
        <w:rPr>
          <w:rFonts w:ascii="游明朝" w:cs="游明朝" w:eastAsia="游明朝" w:hAnsi="游明朝"/>
          <w:sz w:val="22"/>
          <w:szCs w:val="22"/>
        </w:rPr>
        <w:t xml:space="preserve">施設整備時期と企業債残高の差(創設期の高利率債務の有無)</w:t>
      </w:r>
    </w:p>
    <w:p>
      <w:pPr>
        <w:pStyle w:val="ListParagraph"/>
        <w:numPr>
          <w:ilvl w:val="0"/>
          <w:numId w:val="2"/>
        </w:numPr>
        <w:spacing w:after="40" w:before="40" w:line="320"/>
      </w:pPr>
      <w:r>
        <w:rPr>
          <w:rFonts w:ascii="游明朝" w:cs="游明朝" w:eastAsia="游明朝" w:hAnsi="游明朝"/>
          <w:sz w:val="22"/>
          <w:szCs w:val="22"/>
        </w:rPr>
        <w:t xml:space="preserve">給水人口密度と管路延長(1人当たりの維持更新コストに直結)</w:t>
      </w:r>
    </w:p>
    <w:p>
      <w:pPr>
        <w:pStyle w:val="ListParagraph"/>
        <w:numPr>
          <w:ilvl w:val="0"/>
          <w:numId w:val="2"/>
        </w:numPr>
        <w:spacing w:after="40" w:before="40" w:line="320"/>
      </w:pPr>
      <w:r>
        <w:rPr>
          <w:rFonts w:ascii="游明朝" w:cs="游明朝" w:eastAsia="游明朝" w:hAnsi="游明朝"/>
          <w:sz w:val="22"/>
          <w:szCs w:val="22"/>
        </w:rPr>
        <w:t xml:space="preserve">大口使用者の比率(登米市では約98%が小口径で、収益基盤が脆弱)</w:t>
      </w:r>
    </w:p>
    <w:p>
      <w:r>
        <w:t xml:space="preserve"/>
      </w:r>
    </w:p>
    <w:p>
      <w:pPr>
        <w:pStyle w:val="Heading1"/>
      </w:pPr>
      <w:r>
        <w:rPr>
          <w:rFonts w:ascii="游ゴシック" w:cs="游ゴシック" w:eastAsia="游ゴシック" w:hAnsi="游ゴシック"/>
        </w:rPr>
        <w:t xml:space="preserve">4. 県における広域化・基盤強化の取組</w:t>
      </w:r>
    </w:p>
    <w:p>
      <w:pPr>
        <w:spacing w:after="60" w:before="60" w:line="340"/>
        <w:jc w:val="left"/>
      </w:pPr>
      <w:r>
        <w:rPr>
          <w:rFonts w:ascii="游明朝" w:cs="游明朝" w:eastAsia="游明朝" w:hAnsi="游明朝"/>
          <w:b w:val="false"/>
          <w:bCs w:val="false"/>
          <w:sz w:val="22"/>
          <w:szCs w:val="22"/>
        </w:rPr>
        <w:t xml:space="preserve">県は広域化に向けて以下の枠組みを構築している。</w:t>
      </w:r>
    </w:p>
    <w:p>
      <w:pPr>
        <w:pStyle w:val="ListParagraph"/>
        <w:numPr>
          <w:ilvl w:val="0"/>
          <w:numId w:val="2"/>
        </w:numPr>
        <w:spacing w:after="40" w:before="40" w:line="320"/>
      </w:pPr>
      <w:r>
        <w:rPr>
          <w:rFonts w:ascii="游明朝" w:cs="游明朝" w:eastAsia="游明朝" w:hAnsi="游明朝"/>
          <w:sz w:val="22"/>
          <w:szCs w:val="22"/>
        </w:rPr>
        <w:t xml:space="preserve">宮城県水道事業広域連携検討会を設置(県内4地域ごとの地域部会を含む)し、令和5年4月には水道法で定める広域的連携等推進協議会に位置づけ</w:t>
      </w:r>
    </w:p>
    <w:p>
      <w:pPr>
        <w:pStyle w:val="ListParagraph"/>
        <w:numPr>
          <w:ilvl w:val="0"/>
          <w:numId w:val="2"/>
        </w:numPr>
        <w:spacing w:after="40" w:before="40" w:line="320"/>
      </w:pPr>
      <w:r>
        <w:rPr>
          <w:rFonts w:ascii="游明朝" w:cs="游明朝" w:eastAsia="游明朝" w:hAnsi="游明朝"/>
          <w:sz w:val="22"/>
          <w:szCs w:val="22"/>
        </w:rPr>
        <w:t xml:space="preserve">『宮城県水道広域化推進プラン』を策定し、市町村水道の広域化に係る施策の方向性を提示</w:t>
      </w:r>
    </w:p>
    <w:p>
      <w:pPr>
        <w:pStyle w:val="ListParagraph"/>
        <w:numPr>
          <w:ilvl w:val="0"/>
          <w:numId w:val="2"/>
        </w:numPr>
        <w:spacing w:after="40" w:before="40" w:line="320"/>
      </w:pPr>
      <w:r>
        <w:rPr>
          <w:rFonts w:ascii="游明朝" w:cs="游明朝" w:eastAsia="游明朝" w:hAnsi="游明朝"/>
          <w:sz w:val="22"/>
          <w:szCs w:val="22"/>
        </w:rPr>
        <w:t xml:space="preserve">令和6年度以降、水道基盤強化計画の策定に向けた検討を推進</w:t>
      </w:r>
    </w:p>
    <w:p>
      <w:pPr>
        <w:pStyle w:val="ListParagraph"/>
        <w:numPr>
          <w:ilvl w:val="0"/>
          <w:numId w:val="2"/>
        </w:numPr>
        <w:spacing w:after="40" w:before="40" w:line="320"/>
      </w:pPr>
      <w:r>
        <w:rPr>
          <w:rFonts w:ascii="游明朝" w:cs="游明朝" w:eastAsia="游明朝" w:hAnsi="游明朝"/>
          <w:sz w:val="22"/>
          <w:szCs w:val="22"/>
        </w:rPr>
        <w:t xml:space="preserve">黒川地区・塩釜地区等を先進事例として検討、機能別検討部会・個別研究会により具体化</w:t>
      </w:r>
    </w:p>
    <w:p>
      <w:pPr>
        <w:spacing w:after="60" w:before="60" w:line="340"/>
        <w:jc w:val="left"/>
      </w:pPr>
      <w:r>
        <w:rPr>
          <w:rFonts w:ascii="游明朝" w:cs="游明朝" w:eastAsia="游明朝" w:hAnsi="游明朝"/>
          <w:b w:val="false"/>
          <w:bCs w:val="false"/>
          <w:sz w:val="22"/>
          <w:szCs w:val="22"/>
        </w:rPr>
        <w:t xml:space="preserve">なお、県営広域水道事業に導入されている『みやぎ型管理運営方式』(コンセッション方式)は、県が事業主体として施設所有権・水質管理・料金決定権を保持したまま、運転・点検・修繕業務を民間に委ねる仕組みであり、20年間で約337億円のコスト削減が見込まれている。令和6年度の卸売料金改定でその効果が受水市町村に還元され始めている。</w:t>
      </w:r>
    </w:p>
    <w:p>
      <w:r>
        <w:t xml:space="preserve"/>
      </w:r>
    </w:p>
    <w:p>
      <w:pPr>
        <w:pStyle w:val="Heading1"/>
      </w:pPr>
      <w:r>
        <w:rPr>
          <w:rFonts w:ascii="游ゴシック" w:cs="游ゴシック" w:eastAsia="游ゴシック" w:hAnsi="游ゴシック"/>
        </w:rPr>
        <w:t xml:space="preserve">5. 他県の料金統一化事例(参考)</w:t>
      </w:r>
    </w:p>
    <w:p>
      <w:pPr>
        <w:pStyle w:val="Heading2"/>
      </w:pPr>
      <w:r>
        <w:rPr>
          <w:rFonts w:ascii="游ゴシック" w:cs="游ゴシック" w:eastAsia="游ゴシック" w:hAnsi="游ゴシック"/>
        </w:rPr>
        <w:t xml:space="preserve">5.1 香川県(県内1水道・全国初)</w:t>
      </w:r>
    </w:p>
    <w:p>
      <w:pPr>
        <w:spacing w:after="60" w:before="60" w:line="340"/>
        <w:jc w:val="left"/>
      </w:pPr>
      <w:r>
        <w:rPr>
          <w:rFonts w:ascii="游明朝" w:cs="游明朝" w:eastAsia="游明朝" w:hAnsi="游明朝"/>
          <w:b w:val="false"/>
          <w:bCs w:val="false"/>
          <w:sz w:val="22"/>
          <w:szCs w:val="22"/>
        </w:rPr>
        <w:t xml:space="preserve">香川県は平成29年11月に『香川県広域水道企業団』を設立(県と直島町を除く16市町で構成)し、平成30年4月から事業を開始した。全国初の『県内1水道』方式である。</w:t>
      </w:r>
    </w:p>
    <w:p>
      <w:pPr>
        <w:spacing w:after="60" w:before="60" w:line="340"/>
        <w:jc w:val="left"/>
      </w:pPr>
      <w:r>
        <w:rPr>
          <w:rFonts w:ascii="游明朝" w:cs="游明朝" w:eastAsia="游明朝" w:hAnsi="游明朝"/>
          <w:b w:val="false"/>
          <w:bCs w:val="false"/>
          <w:sz w:val="22"/>
          <w:szCs w:val="22"/>
        </w:rPr>
        <w:t xml:space="preserve">留意すべきは、統一化までのロードマップに段階的アプローチが採られている点である。</w:t>
      </w:r>
    </w:p>
    <w:p>
      <w:pPr>
        <w:pStyle w:val="ListParagraph"/>
        <w:numPr>
          <w:ilvl w:val="0"/>
          <w:numId w:val="2"/>
        </w:numPr>
        <w:spacing w:after="40" w:before="40" w:line="320"/>
      </w:pPr>
      <w:r>
        <w:rPr>
          <w:rFonts w:ascii="游明朝" w:cs="游明朝" w:eastAsia="游明朝" w:hAnsi="游明朝"/>
          <w:sz w:val="22"/>
          <w:szCs w:val="22"/>
        </w:rPr>
        <w:t xml:space="preserve">事業開始後10年間は旧事業体ごとの区分経理(市町ごとの料金体系を維持)</w:t>
      </w:r>
    </w:p>
    <w:p>
      <w:pPr>
        <w:pStyle w:val="ListParagraph"/>
        <w:numPr>
          <w:ilvl w:val="0"/>
          <w:numId w:val="2"/>
        </w:numPr>
        <w:spacing w:after="40" w:before="40" w:line="320"/>
      </w:pPr>
      <w:r>
        <w:rPr>
          <w:rFonts w:ascii="游明朝" w:cs="游明朝" w:eastAsia="游明朝" w:hAnsi="游明朝"/>
          <w:sz w:val="22"/>
          <w:szCs w:val="22"/>
        </w:rPr>
        <w:t xml:space="preserve">10年かけて財政条件(企業債残高・内部留保資金等)の平準化を進める</w:t>
      </w:r>
    </w:p>
    <w:p>
      <w:pPr>
        <w:pStyle w:val="ListParagraph"/>
        <w:numPr>
          <w:ilvl w:val="0"/>
          <w:numId w:val="2"/>
        </w:numPr>
        <w:spacing w:after="40" w:before="40" w:line="320"/>
      </w:pPr>
      <w:r>
        <w:rPr>
          <w:rFonts w:ascii="游明朝" w:cs="游明朝" w:eastAsia="游明朝" w:hAnsi="游明朝"/>
          <w:sz w:val="22"/>
          <w:szCs w:val="22"/>
        </w:rPr>
        <w:t xml:space="preserve">平成40年度(令和10年度)に料金統一を達成する計画</w:t>
      </w:r>
    </w:p>
    <w:p>
      <w:pPr>
        <w:spacing w:after="60" w:before="60" w:line="340"/>
        <w:jc w:val="left"/>
      </w:pPr>
      <w:r>
        <w:rPr>
          <w:rFonts w:ascii="游明朝" w:cs="游明朝" w:eastAsia="游明朝" w:hAnsi="游明朝"/>
          <w:b w:val="false"/>
          <w:bCs w:val="false"/>
          <w:sz w:val="22"/>
          <w:szCs w:val="22"/>
        </w:rPr>
        <w:t xml:space="preserve">これは、施設整備水準と料金水準の格差が大きい状況で一気に統一すると自治体間の受容性が保てないため、負担調整を段階的に行う実務的な工夫である。</w:t>
      </w:r>
    </w:p>
    <w:p>
      <w:r>
        <w:t xml:space="preserve"/>
      </w:r>
    </w:p>
    <w:p>
      <w:pPr>
        <w:pStyle w:val="Heading2"/>
      </w:pPr>
      <w:r>
        <w:rPr>
          <w:rFonts w:ascii="游ゴシック" w:cs="游ゴシック" w:eastAsia="游ゴシック" w:hAnsi="游ゴシック"/>
        </w:rPr>
        <w:t xml:space="preserve">5.2 奈良県</w:t>
      </w:r>
    </w:p>
    <w:p>
      <w:pPr>
        <w:spacing w:after="60" w:before="60" w:line="340"/>
        <w:jc w:val="left"/>
      </w:pPr>
      <w:r>
        <w:rPr>
          <w:rFonts w:ascii="游明朝" w:cs="游明朝" w:eastAsia="游明朝" w:hAnsi="游明朝"/>
          <w:b w:val="false"/>
          <w:bCs w:val="false"/>
          <w:sz w:val="22"/>
          <w:szCs w:val="22"/>
        </w:rPr>
        <w:t xml:space="preserve">県が行う用水供給事業と、28市町村の末端給水事業を垂直統合することを検討。県全域での垂直統合による基盤強化モデルとして参照可能。</w:t>
      </w:r>
    </w:p>
    <w:p>
      <w:r>
        <w:t xml:space="preserve"/>
      </w:r>
    </w:p>
    <w:p>
      <w:pPr>
        <w:pStyle w:val="Heading2"/>
      </w:pPr>
      <w:r>
        <w:rPr>
          <w:rFonts w:ascii="游ゴシック" w:cs="游ゴシック" w:eastAsia="游ゴシック" w:hAnsi="游ゴシック"/>
        </w:rPr>
        <w:t xml:space="preserve">5.3 岩手県(中部圏域)</w:t>
      </w:r>
    </w:p>
    <w:p>
      <w:pPr>
        <w:spacing w:after="60" w:before="60" w:line="340"/>
        <w:jc w:val="left"/>
      </w:pPr>
      <w:r>
        <w:rPr>
          <w:rFonts w:ascii="游明朝" w:cs="游明朝" w:eastAsia="游明朝" w:hAnsi="游明朝"/>
          <w:b w:val="false"/>
          <w:bCs w:val="false"/>
          <w:sz w:val="22"/>
          <w:szCs w:val="22"/>
        </w:rPr>
        <w:t xml:space="preserve">用水供給事業を行う岩手中部広域水道企業団と末端給水を行う2市1町が統合し、岩手中部水道企業団を設立。複数市町による部分統合の事例。</w:t>
      </w:r>
    </w:p>
    <w:p>
      <w:r>
        <w:t xml:space="preserve"/>
      </w:r>
    </w:p>
    <w:p>
      <w:pPr>
        <w:pStyle w:val="Heading1"/>
      </w:pPr>
      <w:r>
        <w:rPr>
          <w:rFonts w:ascii="游ゴシック" w:cs="游ゴシック" w:eastAsia="游ゴシック" w:hAnsi="游ゴシック"/>
        </w:rPr>
        <w:t xml:space="preserve">6. 体系区分変更(統一化)にあたっての論点</w:t>
      </w:r>
    </w:p>
    <w:p>
      <w:pPr>
        <w:spacing w:after="60" w:before="60" w:line="340"/>
        <w:jc w:val="left"/>
      </w:pPr>
      <w:r>
        <w:rPr>
          <w:rFonts w:ascii="游明朝" w:cs="游明朝" w:eastAsia="游明朝" w:hAnsi="游明朝"/>
          <w:b w:val="false"/>
          <w:bCs w:val="false"/>
          <w:sz w:val="22"/>
          <w:szCs w:val="22"/>
        </w:rPr>
        <w:t xml:space="preserve">県内での料金体系統一化を『収益構造の安定化』および『公平性・負担調整』の観点から検討するにあたり、以下の論点を整理する必要がある。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論点</w:t>
            </w:r>
          </w:p>
        </w:tc>
        <w:tc>
          <w:tcPr>
            <w:tcW w:type="dxa" w:w="358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検討の視点</w:t>
            </w:r>
          </w:p>
        </w:tc>
        <w:tc>
          <w:tcPr>
            <w:tcW w:type="dxa" w:w="358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pPr>
              <w:jc w:val="center"/>
            </w:pPr>
            <w:r>
              <w:rPr>
                <w:rFonts w:ascii="游ゴシック" w:cs="游ゴシック" w:eastAsia="游ゴシック" w:hAnsi="游ゴシック"/>
                <w:b/>
                <w:bCs/>
                <w:color w:val="FFFFFF"/>
                <w:sz w:val="20"/>
                <w:szCs w:val="20"/>
              </w:rPr>
              <w:t xml:space="preserve">参考となる考え方</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料金体系の型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基本+従量の二部料金制を維持するか、用途別(家事用・業務用)を統合するか、逓増段階を整理するか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段階区分を統合するほど料金計算は簡素化するが、大口使用者と家庭用の負担配分が変化する</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口径別基本料金</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口径区分の数と単価差をどう設定するか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小口径利用者が大半を占める団体では、口径別負担の見直しが収益に直結</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逓増度</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逓増制の強弱、水量区分の切り方</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節水型社会への移行を踏まえ、収益安定化のためには逓増度を緩和する傾向が全国的に見られる</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統一までの経過措置</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一気に統一するか、経過期間を設けるか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香川県は10年間の区分経理+財政条件クリアを経て統一する段階的アプローチ</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資産維持費の組込み</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更新費用を料金原価に組み込むか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岩手県平泉町等では資産維持費の導入により、更新財源の確保と料金の平準化を実現</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游ゴシック" w:cs="游ゴシック" w:eastAsia="游ゴシック" w:hAnsi="游ゴシック"/>
                <w:b/>
                <w:bCs/>
                <w:sz w:val="20"/>
                <w:szCs w:val="20"/>
              </w:rPr>
              <w:t xml:space="preserve">統一後の経営形態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企業団方式(一部事務組合)か、事業統合を伴わない料金のみの統一か</w:t>
            </w:r>
          </w:p>
        </w:tc>
        <w:tc>
          <w:tcPr>
            <w:tcW w:type="dxa" w:w="35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游ゴシック" w:cs="游ゴシック" w:eastAsia="游ゴシック" w:hAnsi="游ゴシック"/>
                <w:b w:val="false"/>
                <w:bCs w:val="false"/>
                <w:sz w:val="20"/>
                <w:szCs w:val="20"/>
              </w:rPr>
              <w:t xml:space="preserve">全国の先行事例は企業団による事業統合が主流。料金のみの統一は法的根拠と合意形成の難度が高い</w:t>
            </w:r>
          </w:p>
        </w:tc>
      </w:tr>
    </w:tbl>
    <w:p>
      <w:r>
        <w:t xml:space="preserve"/>
      </w:r>
    </w:p>
    <w:p>
      <w:pPr>
        <w:pStyle w:val="Heading1"/>
      </w:pPr>
      <w:r>
        <w:rPr>
          <w:rFonts w:ascii="游ゴシック" w:cs="游ゴシック" w:eastAsia="游ゴシック" w:hAnsi="游ゴシック"/>
        </w:rPr>
        <w:t xml:space="preserve">7. 収益構造の安定化・公平性の観点からの示唆</w:t>
      </w:r>
    </w:p>
    <w:p>
      <w:pPr>
        <w:pStyle w:val="Heading2"/>
      </w:pPr>
      <w:r>
        <w:rPr>
          <w:rFonts w:ascii="游ゴシック" w:cs="游ゴシック" w:eastAsia="游ゴシック" w:hAnsi="游ゴシック"/>
        </w:rPr>
        <w:t xml:space="preserve">7.1 収益構造の安定化</w:t>
      </w:r>
    </w:p>
    <w:p>
      <w:pPr>
        <w:pStyle w:val="ListParagraph"/>
        <w:numPr>
          <w:ilvl w:val="0"/>
          <w:numId w:val="2"/>
        </w:numPr>
        <w:spacing w:after="40" w:before="40" w:line="320"/>
      </w:pPr>
      <w:r>
        <w:rPr>
          <w:rFonts w:ascii="游明朝" w:cs="游明朝" w:eastAsia="游明朝" w:hAnsi="游明朝"/>
          <w:sz w:val="22"/>
          <w:szCs w:val="22"/>
        </w:rPr>
        <w:t xml:space="preserve">節水型社会の進展により従量料金依存度が高い現行体系では、使用水量の減少がそのまま収入減につながりやすく、年度ごとの収入が安定しない。統一化を機に、基本料金ウェイトを引き上げる設計が選択肢となる</w:t>
      </w:r>
    </w:p>
    <w:p>
      <w:pPr>
        <w:pStyle w:val="ListParagraph"/>
        <w:numPr>
          <w:ilvl w:val="0"/>
          <w:numId w:val="2"/>
        </w:numPr>
        <w:spacing w:after="40" w:before="40" w:line="320"/>
      </w:pPr>
      <w:r>
        <w:rPr>
          <w:rFonts w:ascii="游明朝" w:cs="游明朝" w:eastAsia="游明朝" w:hAnsi="游明朝"/>
          <w:sz w:val="22"/>
          <w:szCs w:val="22"/>
        </w:rPr>
        <w:t xml:space="preserve">小規模事業体ほど固定費比率が高く料金収入減の影響が大きい。県全域の規模に統合することで固定費の分散が可能</w:t>
      </w:r>
    </w:p>
    <w:p>
      <w:pPr>
        <w:pStyle w:val="ListParagraph"/>
        <w:numPr>
          <w:ilvl w:val="0"/>
          <w:numId w:val="2"/>
        </w:numPr>
        <w:spacing w:after="40" w:before="40" w:line="320"/>
      </w:pPr>
      <w:r>
        <w:rPr>
          <w:rFonts w:ascii="游明朝" w:cs="游明朝" w:eastAsia="游明朝" w:hAnsi="游明朝"/>
          <w:sz w:val="22"/>
          <w:szCs w:val="22"/>
        </w:rPr>
        <w:t xml:space="preserve">資産維持費の原価算入を統一ルール化することで、将来の更新投資の財源を安定的に確保できる</w:t>
      </w:r>
    </w:p>
    <w:p>
      <w:r>
        <w:t xml:space="preserve"/>
      </w:r>
    </w:p>
    <w:p>
      <w:pPr>
        <w:pStyle w:val="Heading2"/>
      </w:pPr>
      <w:r>
        <w:rPr>
          <w:rFonts w:ascii="游ゴシック" w:cs="游ゴシック" w:eastAsia="游ゴシック" w:hAnsi="游ゴシック"/>
        </w:rPr>
        <w:t xml:space="preserve">7.2 公平性・負担調整</w:t>
      </w:r>
    </w:p>
    <w:p>
      <w:pPr>
        <w:pStyle w:val="ListParagraph"/>
        <w:numPr>
          <w:ilvl w:val="0"/>
          <w:numId w:val="2"/>
        </w:numPr>
        <w:spacing w:after="40" w:before="40" w:line="320"/>
      </w:pPr>
      <w:r>
        <w:rPr>
          <w:rFonts w:ascii="游明朝" w:cs="游明朝" w:eastAsia="游明朝" w:hAnsi="游明朝"/>
          <w:sz w:val="22"/>
          <w:szCs w:val="22"/>
        </w:rPr>
        <w:t xml:space="preserve">統一前の料金水準の高低が大きいため、低料金団体の住民には値上げ感、高料金団体の住民には値下げ感が生じうる。経過措置期間の設計が受容性の鍵</w:t>
      </w:r>
    </w:p>
    <w:p>
      <w:pPr>
        <w:pStyle w:val="ListParagraph"/>
        <w:numPr>
          <w:ilvl w:val="0"/>
          <w:numId w:val="2"/>
        </w:numPr>
        <w:spacing w:after="40" w:before="40" w:line="320"/>
      </w:pPr>
      <w:r>
        <w:rPr>
          <w:rFonts w:ascii="游明朝" w:cs="游明朝" w:eastAsia="游明朝" w:hAnsi="游明朝"/>
          <w:sz w:val="22"/>
          <w:szCs w:val="22"/>
        </w:rPr>
        <w:t xml:space="preserve">各団体の企業債残高や内部留保資金に差があるため、統一前に財政条件の平準化(償還進捗・繰出金等)が必要</w:t>
      </w:r>
    </w:p>
    <w:p>
      <w:pPr>
        <w:pStyle w:val="ListParagraph"/>
        <w:numPr>
          <w:ilvl w:val="0"/>
          <w:numId w:val="2"/>
        </w:numPr>
        <w:spacing w:after="40" w:before="40" w:line="320"/>
      </w:pPr>
      <w:r>
        <w:rPr>
          <w:rFonts w:ascii="游明朝" w:cs="游明朝" w:eastAsia="游明朝" w:hAnsi="游明朝"/>
          <w:sz w:val="22"/>
          <w:szCs w:val="22"/>
        </w:rPr>
        <w:t xml:space="preserve">施設整備水準の差(耐震化率、老朽度)により、統一後も地域間で便益に差が残る可能性がある。併せて広域施設整備計画の策定を検討</w:t>
      </w:r>
    </w:p>
    <w:p>
      <w:r>
        <w:t xml:space="preserve"/>
      </w:r>
    </w:p>
    <w:p>
      <w:pPr>
        <w:pStyle w:val="Heading1"/>
      </w:pPr>
      <w:r>
        <w:rPr>
          <w:rFonts w:ascii="游ゴシック" w:cs="游ゴシック" w:eastAsia="游ゴシック" w:hAnsi="游ゴシック"/>
        </w:rPr>
        <w:t xml:space="preserve">8. 次のステップ(想定)</w:t>
      </w:r>
    </w:p>
    <w:p>
      <w:pPr>
        <w:pStyle w:val="ListParagraph"/>
        <w:numPr>
          <w:ilvl w:val="0"/>
          <w:numId w:val="2"/>
        </w:numPr>
        <w:spacing w:after="40" w:before="40" w:line="320"/>
      </w:pPr>
      <w:r>
        <w:rPr>
          <w:rFonts w:ascii="游明朝" w:cs="游明朝" w:eastAsia="游明朝" w:hAnsi="游明朝"/>
          <w:sz w:val="22"/>
          <w:szCs w:val="22"/>
        </w:rPr>
        <w:t xml:space="preserve">県内全自治体の料金体系(基本料金の口径区分、従量料金の段階区分・単価)の悉皆調査</w:t>
      </w:r>
    </w:p>
    <w:p>
      <w:pPr>
        <w:pStyle w:val="ListParagraph"/>
        <w:numPr>
          <w:ilvl w:val="0"/>
          <w:numId w:val="2"/>
        </w:numPr>
        <w:spacing w:after="40" w:before="40" w:line="320"/>
      </w:pPr>
      <w:r>
        <w:rPr>
          <w:rFonts w:ascii="游明朝" w:cs="游明朝" w:eastAsia="游明朝" w:hAnsi="游明朝"/>
          <w:sz w:val="22"/>
          <w:szCs w:val="22"/>
        </w:rPr>
        <w:t xml:space="preserve">各団体の財政指標(企業債残高、内部留保資金、給水原価、資産維持費)の比較分析</w:t>
      </w:r>
    </w:p>
    <w:p>
      <w:pPr>
        <w:pStyle w:val="ListParagraph"/>
        <w:numPr>
          <w:ilvl w:val="0"/>
          <w:numId w:val="2"/>
        </w:numPr>
        <w:spacing w:after="40" w:before="40" w:line="320"/>
      </w:pPr>
      <w:r>
        <w:rPr>
          <w:rFonts w:ascii="游明朝" w:cs="游明朝" w:eastAsia="游明朝" w:hAnsi="游明朝"/>
          <w:sz w:val="22"/>
          <w:szCs w:val="22"/>
        </w:rPr>
        <w:t xml:space="preserve">統一料金体系の試算(現行の加重平均、全県1体系としたシミュレーション、団体別影響額)</w:t>
      </w:r>
    </w:p>
    <w:p>
      <w:pPr>
        <w:pStyle w:val="ListParagraph"/>
        <w:numPr>
          <w:ilvl w:val="0"/>
          <w:numId w:val="2"/>
        </w:numPr>
        <w:spacing w:after="40" w:before="40" w:line="320"/>
      </w:pPr>
      <w:r>
        <w:rPr>
          <w:rFonts w:ascii="游明朝" w:cs="游明朝" w:eastAsia="游明朝" w:hAnsi="游明朝"/>
          <w:sz w:val="22"/>
          <w:szCs w:val="22"/>
        </w:rPr>
        <w:t xml:space="preserve">経過措置期間の設計(一気統一・段階統一・ブロック統一の比較)</w:t>
      </w:r>
    </w:p>
    <w:p>
      <w:pPr>
        <w:pStyle w:val="ListParagraph"/>
        <w:numPr>
          <w:ilvl w:val="0"/>
          <w:numId w:val="2"/>
        </w:numPr>
        <w:spacing w:after="40" w:before="40" w:line="320"/>
      </w:pPr>
      <w:r>
        <w:rPr>
          <w:rFonts w:ascii="游明朝" w:cs="游明朝" w:eastAsia="游明朝" w:hAnsi="游明朝"/>
          <w:sz w:val="22"/>
          <w:szCs w:val="22"/>
        </w:rPr>
        <w:t xml:space="preserve">広域連携推進協議会・地域部会における合意形成プロセスの整理</w:t>
      </w:r>
    </w:p>
    <w:p>
      <w:r>
        <w:t xml:space="preserve"/>
      </w:r>
    </w:p>
    <w:p>
      <w:pPr>
        <w:pStyle w:val="Heading1"/>
      </w:pPr>
      <w:r>
        <w:rPr>
          <w:rFonts w:ascii="游ゴシック" w:cs="游ゴシック" w:eastAsia="游ゴシック" w:hAnsi="游ゴシック"/>
        </w:rPr>
        <w:t xml:space="preserve">出典・参考資料</w:t>
      </w:r>
    </w:p>
    <w:p>
      <w:pPr>
        <w:pStyle w:val="ListParagraph"/>
        <w:numPr>
          <w:ilvl w:val="0"/>
          <w:numId w:val="2"/>
        </w:numPr>
        <w:spacing w:after="40" w:before="40" w:line="320"/>
      </w:pPr>
      <w:r>
        <w:rPr>
          <w:rFonts w:ascii="游明朝" w:cs="游明朝" w:eastAsia="游明朝" w:hAnsi="游明朝"/>
          <w:sz w:val="22"/>
          <w:szCs w:val="22"/>
        </w:rPr>
        <w:t xml:space="preserve">宮城県公式ウェブサイト「大崎広域水道事業及び仙南・仙塩広域水道事業の料金改定について」</w:t>
      </w:r>
    </w:p>
    <w:p>
      <w:pPr>
        <w:pStyle w:val="ListParagraph"/>
        <w:numPr>
          <w:ilvl w:val="0"/>
          <w:numId w:val="2"/>
        </w:numPr>
        <w:spacing w:after="40" w:before="40" w:line="320"/>
      </w:pPr>
      <w:r>
        <w:rPr>
          <w:rFonts w:ascii="游明朝" w:cs="游明朝" w:eastAsia="游明朝" w:hAnsi="游明朝"/>
          <w:sz w:val="22"/>
          <w:szCs w:val="22"/>
        </w:rPr>
        <w:t xml:space="preserve">宮城県公式ウェブサイト「宮城県水道広域化推進プランについて」</w:t>
      </w:r>
    </w:p>
    <w:p>
      <w:pPr>
        <w:pStyle w:val="ListParagraph"/>
        <w:numPr>
          <w:ilvl w:val="0"/>
          <w:numId w:val="2"/>
        </w:numPr>
        <w:spacing w:after="40" w:before="40" w:line="320"/>
      </w:pPr>
      <w:r>
        <w:rPr>
          <w:rFonts w:ascii="游明朝" w:cs="游明朝" w:eastAsia="游明朝" w:hAnsi="游明朝"/>
          <w:sz w:val="22"/>
          <w:szCs w:val="22"/>
        </w:rPr>
        <w:t xml:space="preserve">宮城県公式ウェブサイト「水道事業の広域化への取組について」</w:t>
      </w:r>
    </w:p>
    <w:p>
      <w:pPr>
        <w:pStyle w:val="ListParagraph"/>
        <w:numPr>
          <w:ilvl w:val="0"/>
          <w:numId w:val="2"/>
        </w:numPr>
        <w:spacing w:after="40" w:before="40" w:line="320"/>
      </w:pPr>
      <w:r>
        <w:rPr>
          <w:rFonts w:ascii="游明朝" w:cs="游明朝" w:eastAsia="游明朝" w:hAnsi="游明朝"/>
          <w:sz w:val="22"/>
          <w:szCs w:val="22"/>
        </w:rPr>
        <w:t xml:space="preserve">仙台市水道局「よくある質問Q&amp;A(水道料金)」、「水道料金のしくみと料金表」</w:t>
      </w:r>
    </w:p>
    <w:p>
      <w:pPr>
        <w:pStyle w:val="ListParagraph"/>
        <w:numPr>
          <w:ilvl w:val="0"/>
          <w:numId w:val="2"/>
        </w:numPr>
        <w:spacing w:after="40" w:before="40" w:line="320"/>
      </w:pPr>
      <w:r>
        <w:rPr>
          <w:rFonts w:ascii="游明朝" w:cs="游明朝" w:eastAsia="游明朝" w:hAnsi="游明朝"/>
          <w:sz w:val="22"/>
          <w:szCs w:val="22"/>
        </w:rPr>
        <w:t xml:space="preserve">登米市上下水道部「登米市の水道料金」</w:t>
      </w:r>
    </w:p>
    <w:p>
      <w:pPr>
        <w:pStyle w:val="ListParagraph"/>
        <w:numPr>
          <w:ilvl w:val="0"/>
          <w:numId w:val="2"/>
        </w:numPr>
        <w:spacing w:after="40" w:before="40" w:line="320"/>
      </w:pPr>
      <w:r>
        <w:rPr>
          <w:rFonts w:ascii="游明朝" w:cs="游明朝" w:eastAsia="游明朝" w:hAnsi="游明朝"/>
          <w:sz w:val="22"/>
          <w:szCs w:val="22"/>
        </w:rPr>
        <w:t xml:space="preserve">総務省「取組事例~香川県における水道広域化~」(全国都道府県・指定都市公営企業管理者会議 資料5)</w:t>
      </w:r>
    </w:p>
    <w:p>
      <w:pPr>
        <w:pStyle w:val="ListParagraph"/>
        <w:numPr>
          <w:ilvl w:val="0"/>
          <w:numId w:val="2"/>
        </w:numPr>
        <w:spacing w:after="40" w:before="40" w:line="320"/>
      </w:pPr>
      <w:r>
        <w:rPr>
          <w:rFonts w:ascii="游明朝" w:cs="游明朝" w:eastAsia="游明朝" w:hAnsi="游明朝"/>
          <w:sz w:val="22"/>
          <w:szCs w:val="22"/>
        </w:rPr>
        <w:t xml:space="preserve">総務省「広域化の取組状況等について」(平成30年3月)</w:t>
      </w:r>
    </w:p>
    <w:p>
      <w:pPr>
        <w:pStyle w:val="ListParagraph"/>
        <w:numPr>
          <w:ilvl w:val="0"/>
          <w:numId w:val="2"/>
        </w:numPr>
        <w:spacing w:after="40" w:before="40" w:line="320"/>
      </w:pPr>
      <w:r>
        <w:rPr>
          <w:rFonts w:ascii="游明朝" w:cs="游明朝" w:eastAsia="游明朝" w:hAnsi="游明朝"/>
          <w:sz w:val="22"/>
          <w:szCs w:val="22"/>
        </w:rPr>
        <w:t xml:space="preserve">香川県広域水道企業団「香川県水道広域化基本計画」</w:t>
      </w:r>
    </w:p>
    <w:p>
      <w:r>
        <w:t xml:space="preserve"/>
      </w:r>
    </w:p>
    <w:p>
      <w:pPr>
        <w:spacing w:after="60" w:before="60" w:line="340"/>
        <w:jc w:val="left"/>
      </w:pPr>
      <w:r>
        <w:rPr>
          <w:rFonts w:ascii="游明朝" w:cs="游明朝" w:eastAsia="游明朝" w:hAnsi="游明朝"/>
          <w:b w:val="false"/>
          <w:bCs w:val="false"/>
          <w:sz w:val="22"/>
          <w:szCs w:val="22"/>
        </w:rPr>
        <w:t xml:space="preserve">※ 本資料は公表資料に基づく整理であり、個別団体の具体的な料金体系や最新の改定状況については、各団体の条例・規則等を直接確認する必要があります。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宮城県水道料金体系統一化 検討資料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lvl w:ilvl="1" w15:tentative="1">
      <w:start w:val="1"/>
      <w:numFmt w:val="bullet"/>
      <w:lvlText w:val="○"/>
      <w:lvlJc w:val="left"/>
      <w:pPr>
        <w:ind w:left="108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4"/>
      </w:pBdr>
      <w:spacing w:after="180" w:before="360"/>
      <w:outlineLvl w:val="0"/>
    </w:pPr>
    <w:rPr>
      <w:rFonts w:ascii="游ゴシック" w:cs="游ゴシック" w:eastAsia="游ゴシック" w:hAnsi="游ゴシック"/>
      <w:b/>
      <w:bCs/>
      <w:color w:val="1F4E78"/>
      <w:sz w:val="30"/>
      <w:szCs w:val="30"/>
    </w:rPr>
  </w:style>
  <w:style w:type="paragraph" w:styleId="Heading2">
    <w:name w:val="Heading 2"/>
    <w:basedOn w:val="Normal"/>
    <w:next w:val="Normal"/>
    <w:qFormat/>
    <w:pPr>
      <w:spacing w:after="120" w:before="240"/>
      <w:outlineLvl w:val="1"/>
    </w:pPr>
    <w:rPr>
      <w:rFonts w:ascii="游ゴシック" w:cs="游ゴシック" w:eastAsia="游ゴシック" w:hAnsi="游ゴシック"/>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宮城県水道料金体系統一化に関する検討資料</dc:title>
  <dc:subject>令和8年度上下水道経営指標評価書作成等業務委託</dc:subject>
  <dc:creator>若山諒太</dc:creator>
  <cp:lastModifiedBy>若山諒太</cp:lastModifiedBy>
  <cp:revision>1</cp:revision>
  <dcterms:created xsi:type="dcterms:W3CDTF">2026-09-28T10:27:08Z</dcterms:created>
  <dcterms:modified xsi:type="dcterms:W3CDTF">2026-09-28T10:27:08Z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