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jc w:val="right"/>
      </w:pPr>
      <w:r>
        <w:rPr>
          <w:rFonts w:ascii="游ゴシック" w:cs="游ゴシック" w:eastAsia="游ゴシック" w:hAnsi="游ゴシック"/>
          <w:sz w:val="21"/>
          <w:szCs w:val="21"/>
        </w:rPr>
        <w:t xml:space="preserve">令和8年10月6日</w:t>
      </w:r>
    </w:p>
    <w:p>
      <w:pPr>
        <w:spacing w:after="120" w:line="300"/>
      </w:pPr>
      <w:r>
        <w:rPr>
          <w:rFonts w:ascii="游ゴシック" w:cs="游ゴシック" w:eastAsia="游ゴシック" w:hAnsi="游ゴシック"/>
          <w:b/>
          <w:bCs/>
          <w:sz w:val="24"/>
          <w:szCs w:val="24"/>
        </w:rPr>
        <w:t xml:space="preserve">北塩原村役場　保健福祉課　福祉係　御中</w:t>
      </w:r>
    </w:p>
    <w:p>
      <w:pPr>
        <w:spacing w:after="400" w:line="300"/>
        <w:jc w:val="right"/>
      </w:pPr>
      <w:r>
        <w:rPr>
          <w:rFonts w:ascii="游ゴシック" w:cs="游ゴシック" w:eastAsia="游ゴシック" w:hAnsi="游ゴシック"/>
          <w:sz w:val="21"/>
          <w:szCs w:val="21"/>
        </w:rPr>
        <w:t xml:space="preserve">ビズアップ公共コンサルティング株式会社</w:t>
      </w:r>
    </w:p>
    <w:p>
      <w:pPr>
        <w:spacing w:after="60" w:line="300"/>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jc w:val="center"/>
      </w:pPr>
      <w:r>
        <w:rPr>
          <w:rFonts w:ascii="游ゴシック" w:cs="游ゴシック" w:eastAsia="游ゴシック" w:hAnsi="游ゴシック"/>
          <w:b/>
          <w:bCs/>
          <w:color w:val="1F3864"/>
          <w:sz w:val="30"/>
          <w:szCs w:val="30"/>
        </w:rPr>
        <w:t xml:space="preserve">照会票　束2　給付実績・決算と第9期の計画値</w:t>
      </w:r>
    </w:p>
    <w:p>
      <w:pPr>
        <w:spacing w:after="280" w:line="300"/>
        <w:jc w:val="center"/>
      </w:pPr>
      <w:r>
        <w:rPr>
          <w:rFonts w:ascii="游ゴシック" w:cs="游ゴシック" w:eastAsia="游ゴシック" w:hAnsi="游ゴシック"/>
          <w:color w:val="595959"/>
          <w:sz w:val="22"/>
          <w:szCs w:val="22"/>
        </w:rPr>
        <w:t xml:space="preserve">ご確認・ご提供をお願いしたい事項　59件</w:t>
      </w:r>
    </w:p>
    <w:p>
      <w:pPr>
        <w:keepNext/>
        <w:spacing w:after="100" w:line="300"/>
      </w:pPr>
      <w:r>
        <w:rPr>
          <w:rFonts w:ascii="游ゴシック" w:cs="游ゴシック" w:eastAsia="游ゴシック" w:hAnsi="游ゴシック"/>
          <w:b/>
          <w:bCs/>
          <w:color w:val="1F3864"/>
          <w:sz w:val="22"/>
          <w:szCs w:val="22"/>
        </w:rPr>
        <w:t xml:space="preserve">このまとまりのねらい</w:t>
      </w:r>
    </w:p>
    <w:p>
      <w:pPr>
        <w:spacing w:after="240" w:line="300"/>
      </w:pPr>
      <w:r>
        <w:rPr>
          <w:rFonts w:ascii="游明朝" w:cs="游明朝" w:eastAsia="游明朝" w:hAnsi="游明朝"/>
          <w:sz w:val="21"/>
          <w:szCs w:val="21"/>
        </w:rPr>
        <w:t xml:space="preserve">令和6・7年度の決算と給付実績、将来推計総括表、第9期計画の本文、見える化に系列のない事業（養護老人ホーム措置・軽費老人ホーム・老人クラブ）を1通にまとめる。</w:t>
      </w:r>
    </w:p>
    <w:p>
      <w:pPr>
        <w:keepNext/>
        <w:spacing w:after="100" w:line="300"/>
      </w:pPr>
      <w:r>
        <w:rPr>
          <w:rFonts w:ascii="游ゴシック" w:cs="游ゴシック" w:eastAsia="游ゴシック" w:hAnsi="游ゴシック"/>
          <w:b/>
          <w:bCs/>
          <w:color w:val="1F3864"/>
          <w:sz w:val="22"/>
          <w:szCs w:val="22"/>
        </w:rPr>
        <w:t xml:space="preserve">ご回答の方法</w:t>
      </w:r>
    </w:p>
    <w:p>
      <w:pPr>
        <w:spacing w:after="100" w:line="300"/>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46件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国の介護保険事業計画作成支援ツール（将来推計総括表）の出力一式</w:t>
            </w:r>
          </w:p>
        </w:tc>
        <w:tc>
          <w:tcPr>
            <w:tcW w:type="dxa" w:w="271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第9期の計画値は概要版と計画書本文から復元した値を用いている。総括表の出力がないと復元値の当否を確かめられず、計画値と実績の乖離分析が参考値にとどまる。</w:t>
            </w:r>
          </w:p>
        </w:tc>
        <w:tc>
          <w:tcPr>
            <w:tcW w:type="dxa" w:w="1217"/>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中山間・人口減少地域（特定地域）の指定を受ける意向</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中山間・人口減少地域（特定地域）の該当を素案1-8(3)に記載している。指定を受ける意向が定まらないと5-4(4)の仮置きを外せない。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介護SCR（標準化給付費比）データの提供</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介護SCR（標準化給付費比）がないため、1人あたり費用額の順位で代替している。給付適正化の目標の置き方に関わる。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国の推計ワークシートが求める在宅サービス利用率の分母</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在宅サービス利用率を認定者数ベースで算定している。国のツールが残余ベースを求める場合は換算が必要になる。K-148（社内で確認）と対になる。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居宅療養管理指導・短期入所生活介護を3か年平均と令和7年度水準のどちらで置くか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居宅療養管理指導・短期入所生活介護を3か年平均で置いている。令和7年度水準に替えると見込量と給付費が動く。</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特定地域サービス・特定地域居宅サービス等事業を活用するかどうか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特定地域サービス・特定地域居宅サービス等事業を0で仮置きしている。活用するならサービス種類が増え、見込量の表の行が増える。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第9期計画の本文（サービス別見込量の表を含む全体）</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第9期のサービス別見込量は概要版と復元値で代替している。本文があれば復元の当否を確かめられる。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認知症対応型共同生活介護（村内27人分）の待機者数と、村外のグループホームを利用している方の人数</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認知症対応型共同生活介護の必要利用定員総数を現状の27人で3か年据え置いている。待機者数と村外利用者数がわかれば増床の要否を判断できる。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養護老人ホーム措置・軽費老人ホーム・老人クラブの実績は見える化に系列が一切ない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養護老人ホーム措置・軽費老人ホーム・老人クラブは見える化に系列が一切なく、老人福祉事業の量の目標（Ⅱ-110）が立てられない。村提供のみが情報源。</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ケアプラン点検に村外の有料老人ホーム・サービス付き高齢者向け住宅の入居者分を含める体制の構築可否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ケアプラン点検の対象範囲を村内に限って記載している。村外の有料老人ホーム等を含める体制ができれば対象件数の目標が変わる。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在宅医療・介護連携推進事業の実施体制（村単独か会津圏域か）と課題・対応策の検討の場</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在宅医療・介護連携推進事業の実施体制を会津圏域と推定して記載している。村単独か圏域かで施策の書き分けが変わる。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施設サービスが伸びない要因「重度化による病院への転院」の裏づけデータ</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施設サービスが伸びない要因を「重度化による病院への転院」と推定して記載している。裏づけがなければ推定であることを明記したまま残す。</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認知症関連事業の実績（認知症カフェの箇所数、認知症初期集中支援推進事業の対象者数、認知症地域支援推進員の活動実績）</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認知症カフェ・初期集中支援・推進員の活動実績が空欄のまま。素案5-12(1)に掲げている。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ACP（人生会議）の普及啓発・看取りに関する住民向け取組の有無</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支援交付金目標Ⅲ「人生の最終段階における支援」4項目が0点（配点計8点）。</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W125「第9期計画作成に向けた各種調査の実施」が4項目とも0点である理由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第9期報告書には調査結果が掲載されており、報告漏れの可能性が高い。第10期では確実に得点化したい。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「地域で見守り・育む高齢者の支援」（生涯学習推進計画の施策）と生活支援体制整備事業の役割分担</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両計画で同一施策が重複。所管（教育委員会／住民課／社協）を明記して連携を書く必要がある。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「見える化」地域分析の「在宅死亡者数（自宅）」の単位（36.74・単位は「人」とされている）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素案2-5および資6の事項三。δ1-c 医療介護連携に収録されている値で、偏差値は33.68と全国平均を大きく下回る。値36.74の単位が「人」とされているが、本村の年間死亡数に照らすと実数とは考えられず、割合か人口あたりの率とみられる。定義が定まれば基本指針の別表「事項三 死亡場所別の死亡数」への対応を一部から対応に改められる。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シルバー人材センターの会員数・受注実績</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高齢者の就労的活動の実績として記載可能か。生涯学習推進計画にも施策として位置づけあり。</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ニーズ調査 問1(4)（住まいの種類）を削除したままとする場合の代替資料</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基本指針が求める「高齢者の居住安定に係る施策との連携」と施策2-3の根拠になる唯一の設問だった。公営住宅・借家の高齢者を把握する手段がなくなるため、村の住宅施策の資料で補う。</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交付金「文書負担軽減」が11点→7点に低下した理由（取組の後退か判定基準の変更か）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評価指標の読み方に影響。</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介護サービス事業所のBCP・要配慮者利用施設の避難確保計画の策定状況</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基本指針が求める災害・感染症対策の体制整備。村内2事業所（GH・通所介護）が対象になり得る。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介護人材の確保に関する福島県の事業（介護人材確保対策・修学資金貸付）の内容と本村からの利用実績</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度の交付金（都道府県分）により、介護人材の確保・サービス提供基盤の整備は福島県が全国平均を13.1点下回る県全体の課題であることが判明した（本村は▲4.8点）。本村単独では動かしにくいため、施策4-6は県の事業と定住自立圏（喜多方市・西会津町）の研修費用助成を活用する形に組み立てた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介護保険事業状況報告 月報 第2表・第3表（サービス種類別の受給者数）</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込量推計の停止要因。施設サービス（特養・老健・介護医療院）と居住系サービス（GH・特定施設）は、見える化にサービス種類別の受給者数の系列がない。現在は給付費の構成比で按分した参考値を置いているが、種類ごとに単価が違うため実態とずれる。計画に載せる確定値にするには月報の実数が要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介護保険法第117条第2項各号・第3項各号および基本指針の記載事項の条項番号の照合</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この作業環境ではe-Gov法令検索・厚労省サイトが外部接続ポリシーで遮断されており、条文本文を直接確認できていない。法令集または村・県への照会で照合が必要。給付適正化の条項を第3項第5号・第6号としていた誤りは訂正済（正しくは第2項第3号・第4号）。</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介護給付と予防給付を分けたサービス種類別の受給者数・給付費</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計画の様式は介護給付と予防給付を分けて記載する。見える化は両者を合算した値のみ。要支援1・2の在宅受給者は48.3人／月で在宅全体の43%を占めるため、分離しないと予防給付の見込量が立てられない。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令和6年度・令和7年度の介護サービス等諸費／介護予防サービス等諸費の決算額</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介護給付費と予防給付費の分離に用いる単価は、見える化D48-b系により令和3〜5年度までしか把握できない。5-4の受給率（令和5〜7年度の3か年平均）と期間が1年ずれている。令和6・7年度の決算で揃える。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令和6年度決算および令和7年度の給付費見込</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第9期の計画値と実績の乖離を確定させるために必要。</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図2-9の平成29年度の1人1月あたり費用額（25,039円）の出所</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見える化の地域分析P3は平成30年度からの収録であり、平成29年度の値を突き合わせられない。図2-14が平成29年度を起点とするため図2-9も同年度から描いている。別の出所によるものか確かめる。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地域密着型サービスの必要利用定員総数（グループホーム27人を維持するか）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介護保険法第117条第2項第1号の義務的記載事項。素案5-4(5)に27人維持で仮置きした。稼働率93%で第10期は増加見込みのため、増床・村外対応・在宅対応のいずれを取るかで数値が変わる。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地域支援事業費・総合事業費の決算の複数年の推移（可能な範囲で5か年以上）</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素案5-6は令和5年度決算（地域支援事業費39,886千円・総合事業費16,463千円）を3か年据え置いている。手元にある決算は令和4・5年度の2か年のみで、趨勢か単年度の振れかを判断できない。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家族介護者リフレッシュ事業・介護用品支給・サポーター養成講座・成年後見の各実績</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任意事業・認知症施策・成年後見の評価に必要。令和6年度実績、可能であれば令和7年度。</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居宅介護支援・介護予防支援の受給者数（居宅と予防の内訳）</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成果目標・活動指標の目標値の設定方針（認定率を据置とするか／トレンド継続か／政策効果を織り込むか）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政策効果を織り込む案を採る場合は、その根拠を指標に置く必要がある。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村内の介護サービス事業所の従事者数（常勤換算・職種別）</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国の基本指針は介護人材の必要数の見通しを踏まえた計画の策定を求めているが、本村は事業所の従事者数の実績を持たないため必要数を直接には算定できない。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村内の住宅型有料老人ホーム・サービス付き高齢者向け住宅の有無（老人福祉法第29条の届出・高齢者住まい法の登録。県の所管）</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基本指針の別表 事項八が求める「高齢者向け住まいの状況」。介護保険の指定を受けた特定施設入居者生活介護・地域密着型特定施設入居者生活介護は、受領データにより村内に平成24年度から令和6年度まで一貫して0であることを確かめた（素案2-5）。残っているのは指定を受けない住まいの有無で、届出と登録はいずれも県の所管のため村に情報が入ら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村内の認知症対応型共同生活介護の入退所の状況（年度ごとの入所者数・退所者数と退所の理由）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基本指針の別表 事項七が求める「入退所の状況」。施設・事業所数と入所率・稼働率は「見える化」システムの受領データで把握できたため（素案2-5・5-4(8)）、事項七で残っているのは入退所の状況と従事者数の2つで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村外事業所の通常の事業実施地域（重要事項説明書または指定情報）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別表第七。村内にほぼ事業所がないため、どの村外事業所が本村を事業実施地域に含むかが供給の範囲を決める。5-4(14)の24時間対応サービスの確保方策①の可否に直結する。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村外施設の入退所・待機の実績（介護老人福祉施設・介護老人保健施設・介護医療院）</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別表第七の入所率・入退所の状況。5-4(13)の真に入所が必要と判断される被保険者の把握と、認知症対応型共同生活介護27人分の定員の変更の判断に用いる。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特別会計の歳入内訳の区分変更の有無（令和3→4年度）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総務費繰入金・低所得者保険料軽減繰入金が0になり一般会計繰入金が急増。時系列グラフが不連続になる。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特定健診・後期高齢者健診の受診率、特定保健指導の実施率</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介護予防と保健事業の一体的実施（施策1-6）の評価に必要。</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特定健診・後期高齢者健診の受診率は見える化に系列がない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施策1-6（保健事業と介護予防の一体的実施）の指標に用いる。見える化に系列がないため、村または国保データベース（KDB）システムから取る。KDBは見える化とは別のシステムであり、アクセスの可否を村に確認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特定福祉用具販売・住宅改修の件数（令和5〜7年度）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計画の様式は「件／年」で記載する。見える化は給付費のみで件数の系列がない。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福島県保健医療計画（第八次）の会津・南会津区域に関する記載</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介護保険法第117条第5項により本計画は医療計画と整合が図られたものでなければならない。素案1-4に整合の記述を追加したが内容が未確定。</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第9期概要版④「地域支援事業費」の集計範囲（任意事業の扱い）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決算と6,300〜10,100千円ずれる。揃えないと第10期が第9期と比較不能になる。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第9期計画の本文（第5章81〜92ページ）</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老人福祉事業の量の目標を第9期計画のどこに記載していたかを確認し、第10期の配置を揃えるために必要。現在は第4章末（4-6）に置いている。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老人福祉事業の量の実績（養護老人ホーム措置・軽費老人ホーム・老人クラブ）</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老人福祉法第20条の8第2項が「定めるものとする」とする義務的記載事項。素案に量の目標の表がなかったため4-6を新設したが、実績値がないと目標が置けない。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要介護2の3区分の利用率の合計が101.5%となること</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73.5%＋居住系15.7%＋施設12.3%＝101.5%。年度の途中で在宅から施設へ移った方が両方に数えられているためとみられる（受給者数は年度の延べ）。重複は1.5%。給付実績により実人数を確認する。他の要介護度で100%に届かない分はサービスを使っていない方の割合（要介護1で13.1%、要介護5で21.0%）。</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訪問入浴介護・地域密着型通所介護を0に戻すかどうか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令和7年度の利用は0だが、3か年平均により令和9年度以降も0.6人／月・0.3人／月が立っている。直近に利用のないサービスを3か年平均で復活させてよいかの判断。利用の見込みの有無を村に確認する。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訪問診療・訪問看護の提供実績（村内外の事業所別・令和6〜7年度）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素案の施策4-3に在宅医療・介護連携の4場面ごとの目指すべき姿を新設し、①日常の療養支援の現状を【要確認】としている。村内は南東北裏磐梯診療所・桧原診療所の2か所で訪問看護事業所は村内にない。訪問診療の実施状況と村外からの訪問看護の提供量が分からないと、日常の療養支援の余力を示せない。県への提供依頼で把握できる範囲もあわせてご相談した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診療所（南東北裏磐梯・桧原）の診療日数および患者数</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在宅医療・介護連携の分析に直結するがこれまで把握していなかった。</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認定率の分母をB1（第1号被保険者数）に統一することの可否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第9期は同一計画書内に19.0%（193/1,016）と19.7%（197/1,002）が併記されていた。統一すると第9期の公表値と異なる数値を示すことになる。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認知症の人および家族等の意見聴取の方法（認知症基本法第13条）</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策定委員会の委員に認知症の本人・家族が含まれるかを確認する必要がある。含まれない場合は家族会・認知症カフェ等での意見聴取の機会が要る。記述の追加では埋まらず策定過程に関わるため、第2回策定委員会までに方針決定が必要。</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認知症対応型共同生活介護の定員（27人）を超える需要への対応方針</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7年度の居住系受給者は26.9人／月で、村内GHの定員27人に対する稼働率は93%。第10期に居住系の利用が増える見込みだが村内に受け皿の余地がない。施設整備の意向、村外施設での対応、在宅での対応のいずれを取るかで見込量と施策の両方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認知症対応型通所介護を再開するかどうか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平成30年度を最後に実績がない。地域密着型サービスは村の指定によりはじめて提供されるため村の判断による。認知症高齢者が増えるなかで在宅を支える類型として検討の余地がある。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認知症高齢者自立度（B7）の認定者数合計が認定者数（B4-a）と一致しない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B7の令和6年10月末の認定者数合計253人に対し、B4-aの令和7年3月末の認定者数は198人で55人の差。集計範囲が異なるとみられるが確認が取れていない。素案2-3では実数ではなく構成比（Ⅱ以上の割合63.6%）を中心に記載して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高齢者生きがい健康づくり事業・高齢者教室の実施状況（開催回数・参加人数）</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教育委員会所管。介護予防（通いの場）の実績にカウントできるものがあるかを確認。</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高齢者福祉事業（村単独事業）の実績資料</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現行計画の評価に必要。</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高齢者虐待への対応実績（相談・通報件数、虐待と判断した件数、措置件数）</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国の基本指針が権利擁護として記載を求める事項。地域包括支援センターの権利擁護業務の中核でもある。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死亡場所別の死亡数（人口動態統計の市町村別の公表の粒度）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別表第三。本村の規模では公表の粒度により値が得られない可能性があるため、まず入手可能性を確かめる。施策4-3の看取りへの対応の裏付けに用いる。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pPr>
      <w:r>
        <w:rPr>
          <w:rFonts w:ascii="游ゴシック" w:cs="游ゴシック" w:eastAsia="游ゴシック" w:hAnsi="游ゴシック"/>
          <w:b/>
          <w:bCs/>
          <w:color w:val="1F3864"/>
          <w:sz w:val="24"/>
          <w:szCs w:val="24"/>
        </w:rPr>
        <w:t xml:space="preserve">お問い合わせ・ご返送先</w:t>
      </w:r>
    </w:p>
    <w:p>
      <w:pPr>
        <w:spacing w:after="60" w:line="300"/>
      </w:pPr>
      <w:r>
        <w:rPr>
          <w:rFonts w:ascii="游ゴシック" w:cs="游ゴシック" w:eastAsia="游ゴシック" w:hAnsi="游ゴシック"/>
          <w:sz w:val="21"/>
          <w:szCs w:val="21"/>
        </w:rPr>
        <w:t xml:space="preserve">ビズアップ公共コンサルティング株式会社</w:t>
      </w:r>
    </w:p>
    <w:p>
      <w:pPr>
        <w:spacing w:after="240" w:line="300"/>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束2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2026-10-06T04:19:18.972Z</dcterms:created>
  <dcterms:modified xsi:type="dcterms:W3CDTF">2026-10-06T04:19:18.972Z</dcterms:modified>
</cp:coreProperties>
</file>

<file path=docProps/custom.xml><?xml version="1.0" encoding="utf-8"?>
<Properties xmlns="http://schemas.openxmlformats.org/officeDocument/2006/custom-properties" xmlns:vt="http://schemas.openxmlformats.org/officeDocument/2006/docPropsVTypes"/>
</file>