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令和8年10月6日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束4　認知症施策と権利擁護</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10件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認知症関連事業の実績、意見を聴く方法、権利擁護センターの相談減の要因を1通にまとめる。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会津権利擁護・成年後見センターへの相談が1年で件数▲43%・時間▲55%と減少した要因</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会津権利擁護・成年後見センターへの相談が1年で件数▲43%・時間▲55%と減った事実を記載している。要因により施策の方向が変わる。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認知症の人およびご家族から意見を聴く方法を定めていない。基本指針が求める事項で、資6（7-6）に一部対応として記載している。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認知症サポーター養成数・認知症地域支援推進員の配置と活動内容・チームオレンジの整備予定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認知症サポーター養成数は交付金の調査票の値で記載している。推進員の活動内容とチームオレンジの整備予定は空欄。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認知症施策の実施状況の評価と公表の運用</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認知症施策推進計画としての評価・公表の運用を「村が定める」として記載している。運用が決まれば6-2に具体を書ける。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難聴高齢者の早期発見・早期介入の取組（健診での聴力チェック等）の有無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難聴の取組の有無を空欄としている。K-033と対になる。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公共交通事業者・金融機関・小売業者等との連携の範囲</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認知症基本法第7条は、これらの事業者に認知症の人への必要かつ合理的な配慮を求める（努力義務）。第15条のバリアフリー化の民間側の受け皿。村内および近隣の事業者にどこまで働きかけるかを定める。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成年後見の中核機関の整備圏域（調査票は「市町村圏域」だが実態は会津圏域13市町村の共同運営か）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相談件数表から会津権利擁護・成年後見センターへの委託と見られるが、調査票の回答は市町村圏域。計画の記述の正確性に関わる。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若年性認知症（65歳未満で認知症となった方）の状況</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16条第2項は、若年性認知症の人その他の認知症の人の意欲および能力に応じた雇用の継続・円滑な就職に資する施策を求める。若年性認知症の方は介護保険では第2号被保険者となり、就労の継続が生活の基盤に直結する。本村の該当者の状況が未把握。</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認知症の日（9月21日）・認知症月間（9月）の取組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9条第3項は、地方公共団体に対し認知症の日にふさわしい事業の実施（努力義務）と、認知症月間にふさわしい行事が実施されるよう奨励すること（義務）を定める。本村に該当する取組がない。普及啓発の機会として計画に位置づけたが、実施の可否と内容を村と協議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認知症施策推進計画として、基本法第15条（バリアフリー化）にどこまで取り組むか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認知症の人が外出・買い物・金融機関の利用などで困ることへの対応は介護保険の枠組みの外にある。庁内の関係部署および事業者との連携の範囲を定める必要がある。素案4-7(2)で【要検討】としている。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束4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2026-10-06T04:19:19.097Z</dcterms:created>
  <dcterms:modified xsi:type="dcterms:W3CDTF">2026-10-06T04:19:19.097Z</dcterms:modified>
</cp:coreProperties>
</file>

<file path=docProps/custom.xml><?xml version="1.0" encoding="utf-8"?>
<Properties xmlns="http://schemas.openxmlformats.org/officeDocument/2006/custom-properties" xmlns:vt="http://schemas.openxmlformats.org/officeDocument/2006/docPropsVTypes"/>
</file>