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本村は該当する見込みです（本節3）。施策3-1から3-4および5-4の見込量に関わります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補足給付（特定入所者介護サービス費）の基準費用額および補足給付の対象の見直し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令和8年8月および令和9年度中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令和9年度の開始前までに結論</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本村は中山間・人口減少地域に当たる見込みです（本節3）</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の該当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出典：厚生労働省配布「第10期将来推計用推計人口」を基礎に作成　単位：人</w:t>
      </w:r>
    </w:p>
    <w:p>
      <w:pPr>
        <w:spacing w:after="120" w:line="300"/>
      </w:pPr>
      <w:r>
        <w:rPr>
          <w:rFonts w:ascii="游ゴシック" w:cs="游ゴシック" w:eastAsia="游ゴシック" w:hAnsi="游ゴシック"/>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23.8人／月で村内定員27人の88.1%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23.8人／月（令和7年度）。稼働率88%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D13・D17により算定</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872"/>
        <w:gridCol w:w="2059"/>
        <w:gridCol w:w="1498"/>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各年1月1日時点。令和7年は令和7年12月末の実績です。</w:t>
      </w:r>
    </w:p>
    <w:p>
      <w:pPr>
        <w:spacing w:after="120" w:line="300"/>
      </w:pPr>
      <w:r>
        <w:rPr>
          <w:rFonts w:ascii="游ゴシック" w:cs="游ゴシック" w:eastAsia="游ゴシック" w:hAnsi="游ゴシック"/>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keepNext/>
        <w:keepLines/>
        <w:spacing w:after="100" w:line="300"/>
      </w:pPr>
      <w:r>
        <w:rPr>
          <w:rFonts w:ascii="游ゴシック" w:cs="游ゴシック" w:eastAsia="游ゴシック" w:hAnsi="游ゴシック"/>
          <w:b/>
          <w:bCs/>
          <w:color w:val="2E75B6"/>
          <w:sz w:val="22"/>
          <w:szCs w:val="22"/>
        </w:rPr>
        <w:t xml:space="preserve">推計の検証</w:t>
      </w:r>
    </w:p>
    <w:p>
      <w:pPr>
        <w:spacing w:after="120" w:line="300"/>
      </w:pPr>
      <w:r>
        <w:rPr>
          <w:rFonts w:ascii="游ゴシック" w:cs="游ゴシック" w:eastAsia="游ゴシック" w:hAnsi="游ゴシック"/>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842"/>
        <w:gridCol w:w="842"/>
        <w:gridCol w:w="842"/>
        <w:gridCol w:w="842"/>
        <w:gridCol w:w="842"/>
        <w:gridCol w:w="842"/>
        <w:gridCol w:w="842"/>
        <w:gridCol w:w="842"/>
        <w:gridCol w:w="131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keepNext/>
        <w:keepLines/>
        <w:spacing w:after="100" w:line="300"/>
      </w:pPr>
      <w:r>
        <w:rPr>
          <w:rFonts w:ascii="游ゴシック" w:cs="游ゴシック" w:eastAsia="游ゴシック" w:hAnsi="游ゴシック"/>
          <w:b/>
          <w:bCs/>
          <w:color w:val="2E75B6"/>
          <w:sz w:val="22"/>
          <w:szCs w:val="22"/>
        </w:rPr>
        <w:t xml:space="preserve">認定率の置き方による幅</w:t>
      </w:r>
    </w:p>
    <w:p>
      <w:pPr>
        <w:spacing w:after="120" w:line="300"/>
      </w:pPr>
      <w:r>
        <w:rPr>
          <w:rFonts w:ascii="游ゴシック" w:cs="游ゴシック" w:eastAsia="游ゴシック" w:hAnsi="游ゴシック"/>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498"/>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ゴシック" w:cs="游ゴシック" w:eastAsia="游ゴシック" w:hAnsi="游ゴシック"/>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7年度に23.8人／月で、村内グループホームの定員27人に対する稼働率は88%です。令和5年度の74.8%から上がり続けており、村内の受け皿の余地は狭まっています。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本村は特定地域に該当する見込みです（1-8の3）。人員配置と報酬の両面で成立の余地が広がるため、最も現実的な選択肢です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3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「0」は実績がないことを、「―」は村からの実績の提供を受けていないことを示します。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編集注記：令和6年度末実績および令和7年度末見込の提供を受けたうえで、計画的な取崩方針とあわせて記載します。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編集注記：第10期の第1号被保険者負担割合を定める政令の公布状況を村に確認します。第2回・第3回策定委員会では23%を本体としつつ24%を併記します。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編集注記：上表は令和5年度決算を基礎とした暫定値です。令和6年度・令和7年度の決算と基金残高の提供を受けて確定します。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四捨五入した額とすることが一般的です。両者は区別して扱う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98"/>
        <w:gridCol w:w="2434"/>
        <w:gridCol w:w="168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条例上の基準額（百円未満四捨五入）</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6,800円（＋100円）、24,000千円を取り崩す場合は6,100円（▲600円）となります。条例上の基準額を据え置く6,700円とするには、基金の取崩額を上記の中間に置くこと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編集注記：四捨五入の扱いは村の条例の定め方によります。第9期の条例において算定上の月額をどのように基準額に置き換えたかを確認したうえで、第10期も同じ扱いとします。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編集注記：令和6年度・令和7年度の決算および基金残高の提供を受けて確定します。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所得段階は、国の基準に基づき標準13段階を設定します。</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よ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1-5、1-8の3、2-1、施策2-1、施策2-6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88.1%・通所介護77.8%（令和7年度）として算定し、5-4(8)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d9f1cd090c5ab68fed2f1e1374a9588c6d73feb4.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2026-10-07T15:00:29.758Z</dcterms:created>
  <dcterms:modified xsi:type="dcterms:W3CDTF">2026-10-07T15:00:29.766Z</dcterms:modified>
</cp:coreProperties>
</file>

<file path=docProps/custom.xml><?xml version="1.0" encoding="utf-8"?>
<Properties xmlns="http://schemas.openxmlformats.org/officeDocument/2006/custom-properties" xmlns:vt="http://schemas.openxmlformats.org/officeDocument/2006/docPropsVTypes"/>
</file>