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次に着手するもの（10月6日（火））</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町・国・県の回答を待たずに進められる作業は15件・41.0時間分あり、うち10件（23.0時間）が令和8年10月5日までに済んでいます。</w:t>
      </w:r>
      <w:r>
        <w:rPr>
          <w:rFonts w:ascii="游ゴシック" w:hAnsi="游ゴシック" w:eastAsia="游ゴシック"/>
          <w:b w:val="0"/>
          <w:i w:val="0"/>
          <w:sz w:val="21"/>
        </w:rPr>
        <w:t>令和8年10月6日は残り5件のうち2件（6.0時間）に着手します。</w:t>
      </w:r>
    </w:p>
    <w:p>
      <w:pPr>
        <w:spacing w:before="60" w:after="60"/>
      </w:pPr>
      <w:r>
        <w:rPr>
          <w:rFonts w:ascii="游ゴシック" w:hAnsi="游ゴシック" w:eastAsia="游ゴシック"/>
          <w:b/>
          <w:i w:val="0"/>
          <w:sz w:val="21"/>
        </w:rPr>
        <w:t>進捗の乖離を測ったところ、高齢者計画は予定より+15.4ポイント、障がい計画は-17.5ポイントでした。</w:t>
      </w:r>
      <w:r>
        <w:rPr>
          <w:rFonts w:ascii="游ゴシック" w:hAnsi="游ゴシック" w:eastAsia="游ゴシック"/>
          <w:b/>
          <w:i w:val="0"/>
          <w:sz w:val="21"/>
        </w:rPr>
        <w:t>障がい計画の遅れが大きく、期限を過ぎてなお終わっていない作業が9件あります。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77</w:t>
            </w:r>
          </w:p>
        </w:tc>
        <w:tc>
          <w:tcPr>
            <w:tcW w:type="dxa" w:w="1247"/>
            <w:vAlign w:val="center"/>
          </w:tcPr>
          <w:p>
            <w:pPr>
              <w:spacing w:before="20" w:after="20"/>
              <w:jc w:val="right"/>
            </w:pPr>
            <w:r>
              <w:rPr>
                <w:rFonts w:ascii="游ゴシック" w:hAnsi="游ゴシック" w:eastAsia="游ゴシック"/>
                <w:b w:val="0"/>
                <w:i w:val="0"/>
                <w:sz w:val="17"/>
              </w:rPr>
              <w:t>54.9％</w:t>
            </w:r>
          </w:p>
        </w:tc>
        <w:tc>
          <w:tcPr>
            <w:tcW w:type="dxa" w:w="1247"/>
            <w:vAlign w:val="center"/>
          </w:tcPr>
          <w:p>
            <w:pPr>
              <w:spacing w:before="20" w:after="20"/>
              <w:jc w:val="right"/>
            </w:pPr>
            <w:r>
              <w:rPr>
                <w:rFonts w:ascii="游ゴシック" w:hAnsi="游ゴシック" w:eastAsia="游ゴシック"/>
                <w:b w:val="0"/>
                <w:i w:val="0"/>
                <w:sz w:val="17"/>
              </w:rPr>
              <w:t>70.3％</w:t>
            </w:r>
          </w:p>
        </w:tc>
        <w:tc>
          <w:tcPr>
            <w:tcW w:type="dxa" w:w="1020"/>
            <w:vAlign w:val="center"/>
          </w:tcPr>
          <w:p>
            <w:pPr>
              <w:spacing w:before="20" w:after="20"/>
              <w:jc w:val="right"/>
            </w:pPr>
            <w:r>
              <w:rPr>
                <w:rFonts w:ascii="游ゴシック" w:hAnsi="游ゴシック" w:eastAsia="游ゴシック"/>
                <w:b w:val="0"/>
                <w:i w:val="0"/>
                <w:sz w:val="17"/>
              </w:rPr>
              <w:t>+15.4pt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44</w:t>
            </w:r>
          </w:p>
        </w:tc>
        <w:tc>
          <w:tcPr>
            <w:tcW w:type="dxa" w:w="1247"/>
            <w:vAlign w:val="center"/>
          </w:tcPr>
          <w:p>
            <w:pPr>
              <w:spacing w:before="20" w:after="20"/>
              <w:jc w:val="right"/>
            </w:pPr>
            <w:r>
              <w:rPr>
                <w:rFonts w:ascii="游ゴシック" w:hAnsi="游ゴシック" w:eastAsia="游ゴシック"/>
                <w:b w:val="0"/>
                <w:i w:val="0"/>
                <w:sz w:val="17"/>
              </w:rPr>
              <w:t>50.6％</w:t>
            </w:r>
          </w:p>
        </w:tc>
        <w:tc>
          <w:tcPr>
            <w:tcW w:type="dxa" w:w="1247"/>
            <w:vAlign w:val="center"/>
          </w:tcPr>
          <w:p>
            <w:pPr>
              <w:spacing w:before="20" w:after="20"/>
              <w:jc w:val="right"/>
            </w:pPr>
            <w:r>
              <w:rPr>
                <w:rFonts w:ascii="游ゴシック" w:hAnsi="游ゴシック" w:eastAsia="游ゴシック"/>
                <w:b w:val="0"/>
                <w:i w:val="0"/>
                <w:sz w:val="17"/>
              </w:rPr>
              <w:t>33.1％</w:t>
            </w:r>
          </w:p>
        </w:tc>
        <w:tc>
          <w:tcPr>
            <w:tcW w:type="dxa" w:w="1020"/>
            <w:vAlign w:val="center"/>
          </w:tcPr>
          <w:p>
            <w:pPr>
              <w:spacing w:before="20" w:after="20"/>
              <w:jc w:val="right"/>
            </w:pPr>
            <w:r>
              <w:rPr>
                <w:rFonts w:ascii="游ゴシック" w:hAnsi="游ゴシック" w:eastAsia="游ゴシック"/>
                <w:b w:val="0"/>
                <w:i w:val="0"/>
                <w:sz w:val="17"/>
              </w:rPr>
              <w:t>-17.5pt</w:t>
            </w:r>
          </w:p>
        </w:tc>
        <w:tc>
          <w:tcPr>
            <w:tcW w:type="dxa" w:w="1191"/>
            <w:vAlign w:val="center"/>
          </w:tcPr>
          <w:p>
            <w:pPr>
              <w:spacing w:before="20" w:after="20"/>
              <w:jc w:val="right"/>
            </w:pPr>
            <w:r>
              <w:rPr>
                <w:rFonts w:ascii="游ゴシック" w:hAnsi="游ゴシック" w:eastAsia="游ゴシック"/>
                <w:b w:val="0"/>
                <w:i w:val="0"/>
                <w:sz w:val="17"/>
              </w:rPr>
              <w:t>9件</w:t>
            </w:r>
          </w:p>
        </w:tc>
        <w:tc>
          <w:tcPr>
            <w:tcW w:type="dxa" w:w="1134"/>
            <w:vAlign w:val="center"/>
          </w:tcPr>
          <w:p>
            <w:pPr>
              <w:spacing w:before="20" w:after="20"/>
              <w:jc w:val="right"/>
            </w:pPr>
            <w:r>
              <w:rPr>
                <w:rFonts w:ascii="游ゴシック" w:hAnsi="游ゴシック" w:eastAsia="游ゴシック"/>
                <w:b w:val="0"/>
                <w:i w:val="0"/>
                <w:sz w:val="17"/>
              </w:rPr>
              <w:t>4件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予定進捗率は、予定開始の月初から予定完了の月末までを直線で見たときの令和8年10月5日時点の値。判定は差が±10ポイント以内なら「おおむね予定どおり」とした。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高齢者計画は予定を+15.4ポイント上回っています。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一方で障がい計画は-17.5ポイント下回っており、こちらが本業務全体の弱いところです。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38％</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bl>
    <w:p>
      <w:pPr>
        <w:spacing w:after="40"/>
      </w:pPr>
    </w:p>
    <w:p>
      <w:pPr>
        <w:keepNext/>
        <w:spacing w:before="180" w:after="80"/>
      </w:pPr>
      <w:r>
        <w:rPr>
          <w:rFonts w:ascii="游ゴシック" w:hAnsi="游ゴシック" w:eastAsia="游ゴシック"/>
          <w:b/>
          <w:i w:val="0"/>
          <w:color w:val="1F4D78"/>
          <w:sz w:val="22"/>
        </w:rPr>
        <w:t>障がい計画（13件）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調査用品の準備・印刷</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調査票の確定。</w:t>
            </w:r>
            <w:r>
              <w:rPr>
                <w:rFonts w:ascii="游ゴシック" w:hAnsi="游ゴシック" w:eastAsia="游ゴシック"/>
                <w:b/>
                <w:i w:val="0"/>
                <w:sz w:val="17"/>
              </w:rPr>
              <w:t>墨印刷でのルビ可読性は実物校正が必要</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2-4</w:t>
            </w:r>
          </w:p>
        </w:tc>
        <w:tc>
          <w:tcPr>
            <w:tcW w:type="dxa" w:w="1928"/>
            <w:vAlign w:val="center"/>
          </w:tcPr>
          <w:p>
            <w:pPr>
              <w:spacing w:before="20" w:after="20"/>
            </w:pPr>
            <w:r>
              <w:rPr>
                <w:rFonts w:ascii="游ゴシック" w:hAnsi="游ゴシック" w:eastAsia="游ゴシック"/>
                <w:b w:val="0"/>
                <w:i w:val="0"/>
                <w:sz w:val="17"/>
              </w:rPr>
              <w:t>調査票原案の町の確認</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val="0"/>
                <w:i w:val="0"/>
                <w:sz w:val="17"/>
              </w:rPr>
              <w:t>調査票の復元</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宛名ラベルの作成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対象者の抽出</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2-3</w:t>
            </w:r>
          </w:p>
        </w:tc>
        <w:tc>
          <w:tcPr>
            <w:tcW w:type="dxa" w:w="1928"/>
            <w:vAlign w:val="center"/>
          </w:tcPr>
          <w:p>
            <w:pPr>
              <w:spacing w:before="20" w:after="20"/>
            </w:pPr>
            <w:r>
              <w:rPr>
                <w:rFonts w:ascii="游ゴシック" w:hAnsi="游ゴシック" w:eastAsia="游ゴシック"/>
                <w:b w:val="0"/>
                <w:i w:val="0"/>
                <w:sz w:val="17"/>
              </w:rPr>
              <w:t>調査票の作成と補修正</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★0727版が手元にない（依頼票D1）。工程全体の律速</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町による区分ごとの実数の回答（依頼票D2）。所管課をまたぐ照会で2〜3週間</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2-8</w:t>
            </w:r>
          </w:p>
        </w:tc>
        <w:tc>
          <w:tcPr>
            <w:tcW w:type="dxa" w:w="1928"/>
            <w:vAlign w:val="center"/>
          </w:tcPr>
          <w:p>
            <w:pPr>
              <w:spacing w:before="20" w:after="20"/>
            </w:pPr>
            <w:r>
              <w:rPr>
                <w:rFonts w:ascii="游ゴシック" w:hAnsi="游ゴシック" w:eastAsia="游ゴシック"/>
                <w:b w:val="0"/>
                <w:i w:val="0"/>
                <w:sz w:val="17"/>
              </w:rPr>
              <w:t>調査の発送・回収</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調査票の確定、対象者の抽出</w:t>
            </w:r>
          </w:p>
        </w:tc>
      </w:tr>
      <w:tr>
        <w:tc>
          <w:tcPr>
            <w:tcW w:type="dxa" w:w="510"/>
            <w:vAlign w:val="center"/>
          </w:tcPr>
          <w:p>
            <w:pPr>
              <w:spacing w:before="20" w:after="20"/>
            </w:pPr>
            <w:r>
              <w:rPr>
                <w:rFonts w:ascii="游ゴシック" w:hAnsi="游ゴシック" w:eastAsia="游ゴシック"/>
                <w:b w:val="0"/>
                <w:i w:val="0"/>
                <w:sz w:val="17"/>
              </w:rPr>
              <w:t>5-1</w:t>
            </w:r>
          </w:p>
        </w:tc>
        <w:tc>
          <w:tcPr>
            <w:tcW w:type="dxa" w:w="1928"/>
            <w:vAlign w:val="center"/>
          </w:tcPr>
          <w:p>
            <w:pPr>
              <w:spacing w:before="20" w:after="20"/>
            </w:pPr>
            <w:r>
              <w:rPr>
                <w:rFonts w:ascii="游ゴシック" w:hAnsi="游ゴシック" w:eastAsia="游ゴシック"/>
                <w:b w:val="0"/>
                <w:i w:val="0"/>
                <w:sz w:val="17"/>
              </w:rPr>
              <w:t>現行計画の取組み状況の検証</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町のサービス実績（依頼票D4・D7）</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前回調査で督促を行ったかが未確認（依頼票D3）。行っていた場合は12.4ptを督促以外で作る必要がある</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障がい計画の遅れ13件は、すべて町からの3点に連なっています。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町・国・県の回答を待たずに進められる作業は15件、合計41.0時間（1日8.0時間として約5.1日）です。</w:t>
      </w:r>
      <w:r>
        <w:rPr>
          <w:rFonts w:ascii="游ゴシック" w:hAnsi="游ゴシック" w:eastAsia="游ゴシック"/>
          <w:b/>
          <w:i w:val="0"/>
          <w:sz w:val="21"/>
        </w:rPr>
        <w:t>うち10件・23.0時間は令和8年10月5日までに済みました。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次に着手するもの（10月6日（火））</w:t>
      </w:r>
      <w:bookmarkEnd w:id="119"/>
    </w:p>
    <w:p>
      <w:pPr>
        <w:spacing w:before="60" w:after="60"/>
      </w:pPr>
      <w:r>
        <w:rPr>
          <w:rFonts w:ascii="游ゴシック" w:hAnsi="游ゴシック" w:eastAsia="游ゴシック"/>
          <w:b/>
          <w:i w:val="0"/>
          <w:sz w:val="21"/>
        </w:rPr>
        <w:t>2件・6.0時間。いずれも外部の回答を要しません。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T9</w:t>
            </w:r>
          </w:p>
        </w:tc>
        <w:tc>
          <w:tcPr>
            <w:tcW w:type="dxa" w:w="2268"/>
            <w:vAlign w:val="center"/>
          </w:tcPr>
          <w:p>
            <w:pPr>
              <w:spacing w:before="20" w:after="20"/>
            </w:pPr>
            <w:r>
              <w:rPr>
                <w:rFonts w:ascii="游ゴシック" w:hAnsi="游ゴシック" w:eastAsia="游ゴシック"/>
                <w:b w:val="0"/>
                <w:i w:val="0"/>
                <w:sz w:val="17"/>
              </w:rPr>
              <w:t>協議会 第2回の資料の骨格</w:t>
            </w:r>
          </w:p>
        </w:tc>
        <w:tc>
          <w:tcPr>
            <w:tcW w:type="dxa" w:w="680"/>
            <w:vAlign w:val="center"/>
          </w:tcPr>
          <w:p>
            <w:pPr>
              <w:spacing w:before="20" w:after="20"/>
              <w:jc w:val="right"/>
            </w:pPr>
            <w:r>
              <w:rPr>
                <w:rFonts w:ascii="游ゴシック" w:hAnsi="游ゴシック" w:eastAsia="游ゴシック"/>
                <w:b w:val="0"/>
                <w:i w:val="0"/>
                <w:sz w:val="17"/>
              </w:rPr>
              <w:t>4.0</w:t>
            </w:r>
          </w:p>
        </w:tc>
        <w:tc>
          <w:tcPr>
            <w:tcW w:type="dxa" w:w="5726"/>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T11</w:t>
            </w:r>
          </w:p>
        </w:tc>
        <w:tc>
          <w:tcPr>
            <w:tcW w:type="dxa" w:w="2268"/>
            <w:vAlign w:val="center"/>
          </w:tcPr>
          <w:p>
            <w:pPr>
              <w:spacing w:before="20" w:after="20"/>
            </w:pPr>
            <w:r>
              <w:rPr>
                <w:rFonts w:ascii="游ゴシック" w:hAnsi="游ゴシック" w:eastAsia="游ゴシック"/>
                <w:b w:val="0"/>
                <w:i w:val="0"/>
                <w:sz w:val="17"/>
              </w:rPr>
              <w:t>概要版（8頁）のページ割りと図の割付</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図の割付を先にやっておくと、素案の図を作るときに使い回せる</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T2</w:t>
            </w:r>
          </w:p>
        </w:tc>
        <w:tc>
          <w:tcPr>
            <w:tcW w:type="dxa" w:w="6066"/>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1247"/>
            <w:vAlign w:val="center"/>
          </w:tcPr>
          <w:p>
            <w:pPr>
              <w:spacing w:before="20" w:after="20"/>
              <w:jc w:val="right"/>
            </w:pPr>
            <w:r>
              <w:rPr>
                <w:rFonts w:ascii="游ゴシック" w:hAnsi="游ゴシック" w:eastAsia="游ゴシック"/>
                <w:b w:val="0"/>
                <w:i w:val="0"/>
                <w:sz w:val="17"/>
              </w:rPr>
              <w:t>4.0</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T10</w:t>
            </w:r>
          </w:p>
        </w:tc>
        <w:tc>
          <w:tcPr>
            <w:tcW w:type="dxa" w:w="6066"/>
            <w:vAlign w:val="center"/>
          </w:tcPr>
          <w:p>
            <w:pPr>
              <w:spacing w:before="20" w:after="20"/>
            </w:pPr>
            <w:r>
              <w:rPr>
                <w:rFonts w:ascii="游ゴシック" w:hAnsi="游ゴシック" w:eastAsia="游ゴシック"/>
                <w:b w:val="0"/>
                <w:i w:val="0"/>
                <w:sz w:val="17"/>
              </w:rPr>
              <w:t>単価の置き方の感度分析の文書化</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67"/>
            <w:vAlign w:val="center"/>
          </w:tcPr>
          <w:p>
            <w:pPr>
              <w:spacing w:before="20" w:after="20"/>
            </w:pPr>
            <w:r>
              <w:rPr>
                <w:rFonts w:ascii="游ゴシック" w:hAnsi="游ゴシック" w:eastAsia="游ゴシック"/>
                <w:b w:val="0"/>
                <w:i w:val="0"/>
                <w:sz w:val="17"/>
              </w:rPr>
              <w:t>T6</w:t>
            </w:r>
          </w:p>
        </w:tc>
        <w:tc>
          <w:tcPr>
            <w:tcW w:type="dxa" w:w="6066"/>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1247"/>
            <w:vAlign w:val="center"/>
          </w:tcPr>
          <w:p>
            <w:pPr>
              <w:spacing w:before="20" w:after="20"/>
              <w:jc w:val="right"/>
            </w:pPr>
            <w:r>
              <w:rPr>
                <w:rFonts w:ascii="游ゴシック" w:hAnsi="游ゴシック" w:eastAsia="游ゴシック"/>
                <w:b w:val="0"/>
                <w:i w:val="0"/>
                <w:sz w:val="17"/>
              </w:rPr>
              <w:t>2.0</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67"/>
            <w:vAlign w:val="center"/>
          </w:tcPr>
          <w:p>
            <w:pPr>
              <w:spacing w:before="20" w:after="20"/>
            </w:pPr>
            <w:r>
              <w:rPr>
                <w:rFonts w:ascii="游ゴシック" w:hAnsi="游ゴシック" w:eastAsia="游ゴシック"/>
                <w:b w:val="0"/>
                <w:i w:val="0"/>
                <w:sz w:val="17"/>
              </w:rPr>
              <w:t>T7</w:t>
            </w:r>
          </w:p>
        </w:tc>
        <w:tc>
          <w:tcPr>
            <w:tcW w:type="dxa" w:w="6066"/>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1247"/>
            <w:vAlign w:val="center"/>
          </w:tcPr>
          <w:p>
            <w:pPr>
              <w:spacing w:before="20" w:after="20"/>
              <w:jc w:val="right"/>
            </w:pPr>
            <w:r>
              <w:rPr>
                <w:rFonts w:ascii="游ゴシック" w:hAnsi="游ゴシック" w:eastAsia="游ゴシック"/>
                <w:b w:val="0"/>
                <w:i w:val="0"/>
                <w:sz w:val="17"/>
              </w:rPr>
              <w:t>4.0</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5</w:t>
            </w:r>
          </w:p>
        </w:tc>
        <w:tc>
          <w:tcPr>
            <w:tcW w:type="dxa" w:w="567"/>
            <w:vAlign w:val="center"/>
          </w:tcPr>
          <w:p>
            <w:pPr>
              <w:spacing w:before="20" w:after="20"/>
            </w:pPr>
            <w:r>
              <w:rPr>
                <w:rFonts w:ascii="游ゴシック" w:hAnsi="游ゴシック" w:eastAsia="游ゴシック"/>
                <w:b w:val="0"/>
                <w:i w:val="0"/>
                <w:sz w:val="17"/>
              </w:rPr>
              <w:t>T8</w:t>
            </w:r>
          </w:p>
        </w:tc>
        <w:tc>
          <w:tcPr>
            <w:tcW w:type="dxa" w:w="6066"/>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1247"/>
            <w:vAlign w:val="center"/>
          </w:tcPr>
          <w:p>
            <w:pPr>
              <w:spacing w:before="20" w:after="20"/>
              <w:jc w:val="right"/>
            </w:pPr>
            <w:r>
              <w:rPr>
                <w:rFonts w:ascii="游ゴシック" w:hAnsi="游ゴシック" w:eastAsia="游ゴシック"/>
                <w:b w:val="0"/>
                <w:i w:val="0"/>
                <w:sz w:val="17"/>
              </w:rPr>
              <w:t>2.5</w:t>
            </w:r>
          </w:p>
        </w:tc>
      </w:tr>
      <w:tr>
        <w:tc>
          <w:tcPr>
            <w:tcW w:type="dxa" w:w="1361"/>
            <w:vAlign w:val="center"/>
          </w:tcPr>
          <w:p>
            <w:pPr>
              <w:spacing w:before="20" w:after="20"/>
            </w:pPr>
            <w:r>
              <w:rPr>
                <w:rFonts w:ascii="游ゴシック" w:hAnsi="游ゴシック" w:eastAsia="游ゴシック"/>
                <w:b w:val="0"/>
                <w:i w:val="0"/>
                <w:sz w:val="17"/>
              </w:rPr>
              <w:t>10月5日（月）</w:t>
            </w:r>
          </w:p>
        </w:tc>
        <w:tc>
          <w:tcPr>
            <w:tcW w:type="dxa" w:w="510"/>
            <w:vAlign w:val="center"/>
          </w:tcPr>
          <w:p>
            <w:pPr>
              <w:spacing w:before="20" w:after="20"/>
              <w:jc w:val="right"/>
            </w:pPr>
            <w:r>
              <w:rPr>
                <w:rFonts w:ascii="游ゴシック" w:hAnsi="游ゴシック" w:eastAsia="游ゴシック"/>
                <w:b w:val="0"/>
                <w:i w:val="0"/>
                <w:sz w:val="17"/>
              </w:rPr>
              <w:t>6</w:t>
            </w:r>
          </w:p>
        </w:tc>
        <w:tc>
          <w:tcPr>
            <w:tcW w:type="dxa" w:w="567"/>
            <w:vAlign w:val="center"/>
          </w:tcPr>
          <w:p>
            <w:pPr>
              <w:spacing w:before="20" w:after="20"/>
            </w:pPr>
            <w:r>
              <w:rPr>
                <w:rFonts w:ascii="游ゴシック" w:hAnsi="游ゴシック" w:eastAsia="游ゴシック"/>
                <w:b w:val="0"/>
                <w:i w:val="0"/>
                <w:sz w:val="17"/>
              </w:rPr>
              <w:t>T13</w:t>
            </w:r>
          </w:p>
        </w:tc>
        <w:tc>
          <w:tcPr>
            <w:tcW w:type="dxa" w:w="6066"/>
            <w:vAlign w:val="center"/>
          </w:tcPr>
          <w:p>
            <w:pPr>
              <w:spacing w:before="20" w:after="20"/>
            </w:pPr>
            <w:r>
              <w:rPr>
                <w:rFonts w:ascii="游ゴシック" w:hAnsi="游ゴシック" w:eastAsia="游ゴシック"/>
                <w:b w:val="0"/>
                <w:i w:val="0"/>
                <w:sz w:val="17"/>
              </w:rPr>
              <w:t>印刷の仕様書と見積依頼の様式</w:t>
            </w:r>
          </w:p>
        </w:tc>
        <w:tc>
          <w:tcPr>
            <w:tcW w:type="dxa" w:w="1247"/>
            <w:vAlign w:val="center"/>
          </w:tcPr>
          <w:p>
            <w:pPr>
              <w:spacing w:before="20" w:after="20"/>
              <w:jc w:val="right"/>
            </w:pPr>
            <w:r>
              <w:rPr>
                <w:rFonts w:ascii="游ゴシック" w:hAnsi="游ゴシック" w:eastAsia="游ゴシック"/>
                <w:b w:val="0"/>
                <w:i w:val="0"/>
                <w:sz w:val="17"/>
              </w:rPr>
              <w:t>1.5</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6066"/>
            <w:vAlign w:val="center"/>
          </w:tcPr>
          <w:p>
            <w:pPr>
              <w:spacing w:before="20" w:after="20"/>
            </w:pPr>
            <w:r>
              <w:rPr>
                <w:rFonts w:ascii="游ゴシック" w:hAnsi="游ゴシック" w:eastAsia="游ゴシック"/>
                <w:b w:val="0"/>
                <w:i w:val="0"/>
                <w:sz w:val="17"/>
              </w:rPr>
              <w:t>障がい計画の素案の改訂（第2版）</w:t>
            </w:r>
          </w:p>
        </w:tc>
        <w:tc>
          <w:tcPr>
            <w:tcW w:type="dxa" w:w="1247"/>
            <w:vAlign w:val="center"/>
          </w:tcPr>
          <w:p>
            <w:pPr>
              <w:spacing w:before="20" w:after="20"/>
              <w:jc w:val="right"/>
            </w:pPr>
            <w:r>
              <w:rPr>
                <w:rFonts w:ascii="游ゴシック" w:hAnsi="游ゴシック" w:eastAsia="游ゴシック"/>
                <w:b w:val="0"/>
                <w:i w:val="0"/>
                <w:sz w:val="17"/>
              </w:rPr>
              <w:t>6.0</w:t>
            </w:r>
          </w:p>
        </w:tc>
      </w:tr>
      <w:tr>
        <w:tc>
          <w:tcPr>
            <w:tcW w:type="dxa" w:w="1361"/>
            <w:vAlign w:val="center"/>
          </w:tcPr>
          <w:p>
            <w:pPr>
              <w:spacing w:before="20" w:after="20"/>
            </w:pPr>
            <w:r>
              <w:rPr>
                <w:rFonts w:ascii="游ゴシック" w:hAnsi="游ゴシック" w:eastAsia="游ゴシック"/>
                <w:b w:val="0"/>
                <w:i w:val="0"/>
                <w:sz w:val="17"/>
              </w:rPr>
              <w:t>10月7日（水）</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67"/>
            <w:vAlign w:val="center"/>
          </w:tcPr>
          <w:p>
            <w:pPr>
              <w:spacing w:before="20" w:after="20"/>
            </w:pPr>
            <w:r>
              <w:rPr>
                <w:rFonts w:ascii="游ゴシック" w:hAnsi="游ゴシック" w:eastAsia="游ゴシック"/>
                <w:b w:val="0"/>
                <w:i w:val="0"/>
                <w:sz w:val="17"/>
              </w:rPr>
              <w:t>T14</w:t>
            </w:r>
          </w:p>
        </w:tc>
        <w:tc>
          <w:tcPr>
            <w:tcW w:type="dxa" w:w="6066"/>
            <w:vAlign w:val="center"/>
          </w:tcPr>
          <w:p>
            <w:pPr>
              <w:spacing w:before="20" w:after="20"/>
            </w:pPr>
            <w:r>
              <w:rPr>
                <w:rFonts w:ascii="游ゴシック" w:hAnsi="游ゴシック" w:eastAsia="游ゴシック"/>
                <w:b w:val="0"/>
                <w:i w:val="0"/>
                <w:sz w:val="17"/>
              </w:rPr>
              <w:t>一次資料との突合の対象を広げる</w:t>
            </w:r>
          </w:p>
        </w:tc>
        <w:tc>
          <w:tcPr>
            <w:tcW w:type="dxa" w:w="1247"/>
            <w:vAlign w:val="center"/>
          </w:tcPr>
          <w:p>
            <w:pPr>
              <w:spacing w:before="20" w:after="20"/>
              <w:jc w:val="right"/>
            </w:pPr>
            <w:r>
              <w:rPr>
                <w:rFonts w:ascii="游ゴシック" w:hAnsi="游ゴシック" w:eastAsia="游ゴシック"/>
                <w:b w:val="0"/>
                <w:i w:val="0"/>
                <w:sz w:val="17"/>
              </w:rPr>
              <w:t>2.0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資料：業務進捗管理表（17_業務進捗管理）令和8年10月5日版。高齢者計画のWBS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