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120件（条件付き55件・送付37件・内部保管23件・対象外5件）と計画素案（928段落145表36図）です。ビルドスクリプトは118本あり、うち30本が自らの計算を検算する自己点検を備えています（計419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自己点検を備えたスクリプト（30本・計419件）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40件</w:t>
            </w:r>
          </w:p>
        </w:tc>
        <w:tc>
          <w:tcPr>
            <w:tcW w:type="dxa" w:w="3572"/>
            <w:vAlign w:val="center"/>
          </w:tcPr>
          <w:p>
            <w:pPr>
              <w:spacing w:after="0"/>
            </w:pPr>
            <w:r>
              <w:rPr>
                <w:rFonts w:ascii="游ゴシック" w:hAnsi="游ゴシック" w:eastAsia="游ゴシック"/>
                <w:b w:val="0"/>
                <w:sz w:val="16"/>
              </w:rPr>
              <w:t>build_kanri_tanaoroshi.py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build_mikomiryo_santei.py</w:t>
            </w:r>
          </w:p>
        </w:tc>
        <w:tc>
          <w:tcPr>
            <w:tcW w:type="dxa" w:w="907"/>
            <w:shd w:val="clear" w:color="auto" w:fill="F2F5FA"/>
            <w:vAlign w:val="center"/>
          </w:tcPr>
          <w:p>
            <w:pPr>
              <w:spacing w:after="0"/>
              <w:jc w:val="center"/>
            </w:pPr>
            <w:r>
              <w:rPr>
                <w:rFonts w:ascii="游ゴシック" w:hAnsi="游ゴシック" w:eastAsia="游ゴシック"/>
                <w:b w:val="0"/>
                <w:sz w:val="16"/>
              </w:rPr>
              <w:t>22件</w:t>
            </w:r>
          </w:p>
        </w:tc>
        <w:tc>
          <w:tcPr>
            <w:tcW w:type="dxa" w:w="3572"/>
            <w:shd w:val="clear" w:color="auto" w:fill="F2F5FA"/>
            <w:vAlign w:val="center"/>
          </w:tcPr>
          <w:p>
            <w:pPr>
              <w:spacing w:after="0"/>
            </w:pPr>
            <w:r>
              <w:rPr>
                <w:rFonts w:ascii="游ゴシック" w:hAnsi="游ゴシック" w:eastAsia="游ゴシック"/>
                <w:b w:val="0"/>
                <w:sz w:val="16"/>
              </w:rPr>
              <w:t>build_kisetsu_hosei.py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build_receipt_mieru_suikei.py</w:t>
            </w:r>
          </w:p>
        </w:tc>
        <w:tc>
          <w:tcPr>
            <w:tcW w:type="dxa" w:w="907"/>
            <w:vAlign w:val="center"/>
          </w:tcPr>
          <w:p>
            <w:pPr>
              <w:spacing w:after="0"/>
              <w:jc w:val="center"/>
            </w:pPr>
            <w:r>
              <w:rPr>
                <w:rFonts w:ascii="游ゴシック" w:hAnsi="游ゴシック" w:eastAsia="游ゴシック"/>
                <w:b w:val="0"/>
                <w:sz w:val="16"/>
              </w:rPr>
              <w:t>20件</w:t>
            </w:r>
          </w:p>
        </w:tc>
        <w:tc>
          <w:tcPr>
            <w:tcW w:type="dxa" w:w="3572"/>
            <w:vAlign w:val="center"/>
          </w:tcPr>
          <w:p>
            <w:pPr>
              <w:spacing w:after="0"/>
            </w:pPr>
            <w:r>
              <w:rPr>
                <w:rFonts w:ascii="游ゴシック" w:hAnsi="游ゴシック" w:eastAsia="游ゴシック"/>
                <w:b w:val="0"/>
                <w:sz w:val="16"/>
              </w:rPr>
              <w:t>build_shotoku_dankai.py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build_chiiki_kadai_10.py</w:t>
            </w:r>
          </w:p>
        </w:tc>
        <w:tc>
          <w:tcPr>
            <w:tcW w:type="dxa" w:w="907"/>
            <w:shd w:val="clear" w:color="auto" w:fill="F2F5FA"/>
            <w:vAlign w:val="center"/>
          </w:tcPr>
          <w:p>
            <w:pPr>
              <w:spacing w:after="0"/>
              <w:jc w:val="center"/>
            </w:pPr>
            <w:r>
              <w:rPr>
                <w:rFonts w:ascii="游ゴシック" w:hAnsi="游ゴシック" w:eastAsia="游ゴシック"/>
                <w:b w:val="0"/>
                <w:sz w:val="16"/>
              </w:rPr>
              <w:t>18件</w:t>
            </w:r>
          </w:p>
        </w:tc>
        <w:tc>
          <w:tcPr>
            <w:tcW w:type="dxa" w:w="3572"/>
            <w:shd w:val="clear" w:color="auto" w:fill="F2F5FA"/>
            <w:vAlign w:val="center"/>
          </w:tcPr>
          <w:p>
            <w:pPr>
              <w:spacing w:after="0"/>
            </w:pPr>
            <w:r>
              <w:rPr>
                <w:rFonts w:ascii="游ゴシック" w:hAnsi="游ゴシック" w:eastAsia="游ゴシック"/>
                <w:b w:val="0"/>
                <w:sz w:val="16"/>
              </w:rPr>
              <w:t>build_survey_check.py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build_mieru_mikomi_input.py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build_survey_report.py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build_receipt_kyufu_sogo.py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build_app_review.py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build_receipt_riyojokyo.py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build_kagai_youin.py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build_kofukin_shihyo.py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build_mikomiryo.py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build_mieru_manual_review.py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build_survey_jisseki_cross.py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build_mieru_r8_input.py</w:t>
            </w:r>
          </w:p>
        </w:tc>
        <w:tc>
          <w:tcPr>
            <w:tcW w:type="dxa" w:w="907"/>
            <w:shd w:val="clear" w:color="auto" w:fill="F2F5FA"/>
            <w:vAlign w:val="center"/>
          </w:tcPr>
          <w:p>
            <w:pPr>
              <w:spacing w:after="0"/>
              <w:jc w:val="center"/>
            </w:pPr>
            <w:r>
              <w:rPr>
                <w:rFonts w:ascii="游ゴシック" w:hAnsi="游ゴシック" w:eastAsia="游ゴシック"/>
                <w:b w:val="0"/>
                <w:sz w:val="16"/>
              </w:rPr>
              <w:t>15件</w:t>
            </w:r>
          </w:p>
        </w:tc>
        <w:tc>
          <w:tcPr>
            <w:tcW w:type="dxa" w:w="3572"/>
            <w:shd w:val="clear" w:color="auto" w:fill="F2F5FA"/>
            <w:vAlign w:val="center"/>
          </w:tcPr>
          <w:p>
            <w:pPr>
              <w:spacing w:after="0"/>
            </w:pPr>
            <w:r>
              <w:rPr>
                <w:rFonts w:ascii="游ゴシック" w:hAnsi="游ゴシック" w:eastAsia="游ゴシック"/>
                <w:b w:val="0"/>
                <w:sz w:val="16"/>
              </w:rPr>
              <w:t>build_survey_report_doc.py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build_member_work_review.py</w:t>
            </w:r>
          </w:p>
        </w:tc>
        <w:tc>
          <w:tcPr>
            <w:tcW w:type="dxa" w:w="907"/>
            <w:vAlign w:val="center"/>
          </w:tcPr>
          <w:p>
            <w:pPr>
              <w:spacing w:after="0"/>
              <w:jc w:val="center"/>
            </w:pPr>
            <w:r>
              <w:rPr>
                <w:rFonts w:ascii="游ゴシック" w:hAnsi="游ゴシック" w:eastAsia="游ゴシック"/>
                <w:b w:val="0"/>
                <w:sz w:val="16"/>
              </w:rPr>
              <w:t>14件</w:t>
            </w:r>
          </w:p>
        </w:tc>
        <w:tc>
          <w:tcPr>
            <w:tcW w:type="dxa" w:w="3572"/>
            <w:vAlign w:val="center"/>
          </w:tcPr>
          <w:p>
            <w:pPr>
              <w:spacing w:after="0"/>
            </w:pPr>
            <w:r>
              <w:rPr>
                <w:rFonts w:ascii="游ゴシック" w:hAnsi="游ゴシック" w:eastAsia="游ゴシック"/>
                <w:b w:val="0"/>
                <w:sz w:val="16"/>
              </w:rPr>
              <w:t>build_taikeikakuhi.py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build_chiiki_care_kaigi.py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c>
          <w:tcPr>
            <w:tcW w:type="dxa" w:w="3572"/>
            <w:shd w:val="clear" w:color="auto" w:fill="F2F5FA"/>
            <w:vAlign w:val="center"/>
          </w:tcPr>
          <w:p>
            <w:pPr>
              <w:spacing w:after="0"/>
            </w:pPr>
            <w:r>
              <w:rPr>
                <w:rFonts w:ascii="游ゴシック" w:hAnsi="游ゴシック" w:eastAsia="游ゴシック"/>
                <w:b w:val="0"/>
                <w:sz w:val="16"/>
              </w:rPr>
              <w:t>build_check_irai.py</w:t>
            </w:r>
          </w:p>
        </w:tc>
        <w:tc>
          <w:tcPr>
            <w:tcW w:type="dxa" w:w="907"/>
            <w:shd w:val="clear" w:color="auto" w:fill="F2F5FA"/>
            <w:vAlign w:val="center"/>
          </w:tcPr>
          <w:p>
            <w:pPr>
              <w:spacing w:after="0"/>
              <w:jc w:val="center"/>
            </w:pPr>
            <w:r>
              <w:rPr>
                <w:rFonts w:ascii="游ゴシック" w:hAnsi="游ゴシック" w:eastAsia="游ゴシック"/>
                <w:b w:val="0"/>
                <w:sz w:val="16"/>
              </w:rPr>
              <w:t>9件</w:t>
            </w:r>
          </w:p>
        </w:tc>
      </w:tr>
      <w:tr>
        <w:trPr>
          <w:cantSplit/>
        </w:trPr>
        <w:tc>
          <w:tcPr>
            <w:tcW w:type="dxa" w:w="3572"/>
            <w:vAlign w:val="center"/>
          </w:tcPr>
          <w:p>
            <w:pPr>
              <w:spacing w:after="0"/>
            </w:pPr>
            <w:r>
              <w:rPr>
                <w:rFonts w:ascii="游ゴシック" w:hAnsi="游ゴシック" w:eastAsia="游ゴシック"/>
                <w:b w:val="0"/>
                <w:sz w:val="16"/>
              </w:rPr>
              <w:t>build_mikomiryo_togo.py</w:t>
            </w:r>
          </w:p>
        </w:tc>
        <w:tc>
          <w:tcPr>
            <w:tcW w:type="dxa" w:w="907"/>
            <w:vAlign w:val="center"/>
          </w:tcPr>
          <w:p>
            <w:pPr>
              <w:spacing w:after="0"/>
              <w:jc w:val="center"/>
            </w:pPr>
            <w:r>
              <w:rPr>
                <w:rFonts w:ascii="游ゴシック" w:hAnsi="游ゴシック" w:eastAsia="游ゴシック"/>
                <w:b w:val="0"/>
                <w:sz w:val="16"/>
              </w:rPr>
              <w:t>13件</w:t>
            </w:r>
          </w:p>
        </w:tc>
        <w:tc>
          <w:tcPr>
            <w:tcW w:type="dxa" w:w="3572"/>
            <w:vAlign w:val="center"/>
          </w:tcPr>
          <w:p>
            <w:pPr>
              <w:spacing w:after="0"/>
            </w:pPr>
            <w:r>
              <w:rPr>
                <w:rFonts w:ascii="游ゴシック" w:hAnsi="游ゴシック" w:eastAsia="游ゴシック"/>
                <w:b w:val="0"/>
                <w:sz w:val="16"/>
              </w:rPr>
              <w:t>build_shiryo_denwa.py</w:t>
            </w:r>
          </w:p>
        </w:tc>
        <w:tc>
          <w:tcPr>
            <w:tcW w:type="dxa" w:w="907"/>
            <w:vAlign w:val="center"/>
          </w:tcPr>
          <w:p>
            <w:pPr>
              <w:spacing w:after="0"/>
              <w:jc w:val="center"/>
            </w:pPr>
            <w:r>
              <w:rPr>
                <w:rFonts w:ascii="游ゴシック" w:hAnsi="游ゴシック" w:eastAsia="游ゴシック"/>
                <w:b w:val="0"/>
                <w:sz w:val="16"/>
              </w:rPr>
              <w:t>8件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build_ninchisho_ronten.py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c>
          <w:tcPr>
            <w:tcW w:type="dxa" w:w="3572"/>
            <w:shd w:val="clear" w:color="auto" w:fill="F2F5FA"/>
            <w:vAlign w:val="center"/>
          </w:tcPr>
          <w:p>
            <w:pPr>
              <w:spacing w:after="0"/>
            </w:pPr>
            <w:r>
              <w:rPr>
                <w:rFonts w:ascii="游ゴシック" w:hAnsi="游ゴシック" w:eastAsia="游ゴシック"/>
                <w:b w:val="0"/>
                <w:sz w:val="16"/>
              </w:rPr>
              <w:t>build_mikomi_juryo_nashi.py</w:t>
            </w:r>
          </w:p>
        </w:tc>
        <w:tc>
          <w:tcPr>
            <w:tcW w:type="dxa" w:w="907"/>
            <w:shd w:val="clear" w:color="auto" w:fill="F2F5FA"/>
            <w:vAlign w:val="center"/>
          </w:tcPr>
          <w:p>
            <w:pPr>
              <w:spacing w:after="0"/>
              <w:jc w:val="center"/>
            </w:pPr>
            <w:r>
              <w:rPr>
                <w:rFonts w:ascii="游ゴシック" w:hAnsi="游ゴシック" w:eastAsia="游ゴシック"/>
                <w:b w:val="0"/>
                <w:sz w:val="16"/>
              </w:rPr>
              <w:t>7件</w:t>
            </w:r>
          </w:p>
        </w:tc>
      </w:tr>
      <w:tr>
        <w:trPr>
          <w:cantSplit/>
        </w:trPr>
        <w:tc>
          <w:tcPr>
            <w:tcW w:type="dxa" w:w="3572"/>
            <w:vAlign w:val="center"/>
          </w:tcPr>
          <w:p>
            <w:pPr>
              <w:spacing w:after="0"/>
            </w:pPr>
            <w:r>
              <w:rPr>
                <w:rFonts w:ascii="游ゴシック" w:hAnsi="游ゴシック" w:eastAsia="游ゴシック"/>
                <w:b w:val="0"/>
                <w:sz w:val="16"/>
              </w:rPr>
              <w:t>build_soan_kadai.py</w:t>
            </w:r>
          </w:p>
        </w:tc>
        <w:tc>
          <w:tcPr>
            <w:tcW w:type="dxa" w:w="907"/>
            <w:vAlign w:val="center"/>
          </w:tcPr>
          <w:p>
            <w:pPr>
              <w:spacing w:after="0"/>
              <w:jc w:val="center"/>
            </w:pPr>
            <w:r>
              <w:rPr>
                <w:rFonts w:ascii="游ゴシック" w:hAnsi="游ゴシック" w:eastAsia="游ゴシック"/>
                <w:b w:val="0"/>
                <w:sz w:val="16"/>
              </w:rPr>
              <w:t>13件</w:t>
            </w:r>
          </w:p>
        </w:tc>
        <w:tc>
          <w:tcPr>
            <w:tcW w:type="dxa" w:w="3572"/>
            <w:vAlign w:val="center"/>
          </w:tcPr>
          <w:p>
            <w:pPr>
              <w:spacing w:after="0"/>
            </w:pPr>
            <w:r>
              <w:rPr>
                <w:rFonts w:ascii="游ゴシック" w:hAnsi="游ゴシック" w:eastAsia="游ゴシック"/>
                <w:b w:val="0"/>
                <w:sz w:val="16"/>
              </w:rPr>
              <w:t>build_soan_kaki_review.py</w:t>
            </w:r>
          </w:p>
        </w:tc>
        <w:tc>
          <w:tcPr>
            <w:tcW w:type="dxa" w:w="907"/>
            <w:vAlign w:val="center"/>
          </w:tcPr>
          <w:p>
            <w:pPr>
              <w:spacing w:after="0"/>
              <w:jc w:val="center"/>
            </w:pPr>
            <w:r>
              <w:rPr>
                <w:rFonts w:ascii="游ゴシック" w:hAnsi="游ゴシック" w:eastAsia="游ゴシック"/>
                <w:b w:val="0"/>
                <w:sz w:val="16"/>
              </w:rPr>
              <w:t>7件</w:t>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928段落145表36図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発注者・委員会・住民の目に触れるもの。未確定箇所が138箇所（要協議110・要確認27・要内訳1）残っている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保険料の基礎になる。算定上の月額6,436円・保険料基準額6,400円はここから出ている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確認事項167件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'6,436\|6436\|9,031,900,444'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広域連合のファイル（再提供）</w:t>
              <w:br/>
              <w:t>3,213,054,558円</w:t>
            </w:r>
          </w:p>
        </w:tc>
        <w:tc>
          <w:tcPr>
            <w:tcW w:type="dxa" w:w="3288"/>
            <w:shd w:val="clear" w:color="auto" w:fill="F2F5FA"/>
            <w:vAlign w:val="center"/>
          </w:tcPr>
          <w:p>
            <w:pPr>
              <w:spacing w:after="0"/>
            </w:pPr>
            <w:r>
              <w:rPr>
                <w:rFonts w:ascii="游ゴシック" w:hAnsi="游ゴシック" w:eastAsia="游ゴシック"/>
                <w:b w:val="0"/>
                <w:sz w:val="18"/>
              </w:rPr>
              <w:t>令和8年9月25日の再提供により一致した。3か年とも要介護度別まで円単位で一致する（確認事項No.87は解決）</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現在138箇所（要協議110・要確認27・要内訳1）です。うち第6章第4節（施設の見込み）に58箇所（43％）が集中しており、日常生活圏域と必要利用定員総数（確認事項No.88）が決まれば解消します。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自己点検を備えた30本を順に実行し、終了コードが0であることを確かめます。1件でも合わなければ終了コード1で終わり、不適合の内容が表示されます。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再実行できない3本（第2節3）は除いています。自己点検を持たないスクリプトも実行されますが、書き出しに失敗すればやはり0以外で終わります。自己点検を備えた30本は第3節1の表のとおりです。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