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では、改定に関する基本的な視点として、物価・賃金と処遇、人口減少と需要の変化、地域包括ケア、職場環境・生産性、制度の持続性の5つが示され、個別のサービスについて対応案の検討が進められ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移行を見据えた評価が検討されており、移行の猶予は令和11年3月とされています。同月は本計画期間の最終年度に属します。</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積雪期、猛暑期、農繁期等の季節利用に係る例外と、31日以上連続して利用する場合の評価の見直しが検討されています。本広域連合は積雪地であり、季節による利用の変動が生じます。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注1-1）。季節利用の例外が示された時点で利用日数の置き方を確かめます。</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等について、同一の建物に居住する方への減算に代えて、移動に要する費用及び提供の実態に応じた報酬の区分とする見直しが検討されています。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w:t>
            </w:r>
          </w:p>
        </w:tc>
      </w:tr>
      <w:tr>
        <w:trPr>
          <w:cantSplit/>
        </w:trPr>
        <w:tc>
          <w:tcPr>
            <w:tcW w:type="dxa" w:w="2520"/>
          </w:tcPr>
          <w:p>
            <w:r/>
            <w:r>
              <w:rPr>
                <w:rFonts w:ascii="游ゴシック" w:hAnsi="游ゴシック" w:eastAsia="游ゴシック"/>
                <w:sz w:val="17"/>
              </w:rPr>
              <w:t>地域区分及び多床室の室料負担</w:t>
            </w:r>
          </w:p>
        </w:tc>
        <w:tc>
          <w:tcPr>
            <w:tcW w:type="dxa" w:w="3506"/>
          </w:tcPr>
          <w:p>
            <w:r/>
            <w:r>
              <w:rPr>
                <w:rFonts w:ascii="游ゴシック" w:hAnsi="游ゴシック" w:eastAsia="游ゴシック"/>
                <w:sz w:val="17"/>
              </w:rPr>
              <w:t>地域区分の設定の考え方と、多床室に係る室料負担の在り方が検討されています。地域区分は単価に、室料負担は利用者負担に及びます。</w:t>
            </w:r>
          </w:p>
        </w:tc>
        <w:tc>
          <w:tcPr>
            <w:tcW w:type="dxa" w:w="3725"/>
          </w:tcPr>
          <w:p>
            <w:r/>
            <w:r>
              <w:rPr>
                <w:rFonts w:ascii="游ゴシック" w:hAnsi="游ゴシック" w:eastAsia="游ゴシック"/>
                <w:sz w:val="17"/>
              </w:rPr>
              <w:t>地域区分による単価は令和7年度の実績に含まれています。室料負担は利用者負担であり給付費とは別に扱い、変更が示された場合は第6章第7節において整理します。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本項に掲げた事項はいずれも検討されている段階のものであり、単位数、算定の要件及び施行の時期は示されていません。また、介護給付費分科会の資料の原本を確認できていないため、内容及び時期は［要確認］です。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積雪期、猛暑期、農繁期等の季節利用に係る例外と、31日以上連続して利用する場合の評価の見直しが検討されています（第1章第9節6）。本表はこれらを織り込んでおらず、要件が示された時点で利用日数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が検討されており、移行の猶予は令和11年3月とされています（第1章第9節6）。同月は本計画期間の最終年度に属します［要確認］。</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