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30件（第7節）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ご決定をお願いする事項は3町共通で30件ありますが、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時間があればご決定をお願いしたいものをB群（4件・計20分）とし、残る10件（C群）は当方の仮置きのまま第2次概算に進めます。A群・B群の内容は第7節1・2に掲げています。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184件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171件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41件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30件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3町共通で30件ありますが、会の所要に限りがあるため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B群4件（計20分）は時間があればご決定をお願いしたいもの、C群10件は当方の仮置きのまま第2次概算に進めるものです。A群・B群に挙げたものを含め、30件のすべてを4から6に掲げています。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計画の記載に関わるもの（26件）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No.184</w:t>
            </w:r>
          </w:p>
        </w:tc>
        <w:tc>
          <w:tcPr>
            <w:tcW w:type="dxa" w:w="2948"/>
            <w:shd w:val="clear" w:color="auto" w:fill="F2F5FA"/>
            <w:vAlign w:val="center"/>
          </w:tcPr>
          <w:p>
            <w:pPr>
              <w:spacing w:after="0"/>
            </w:pPr>
            <w:r>
              <w:rPr>
                <w:rFonts w:ascii="游ゴシック" w:hAnsi="游ゴシック" w:eastAsia="游ゴシック"/>
                <w:b w:val="0"/>
                <w:sz w:val="18"/>
              </w:rPr>
              <w:t>短期入所生活介護の季節利用及び長期利用の実態</w:t>
            </w:r>
          </w:p>
        </w:tc>
        <w:tc>
          <w:tcPr>
            <w:tcW w:type="dxa" w:w="4876"/>
            <w:shd w:val="clear" w:color="auto" w:fill="F2F5FA"/>
            <w:vAlign w:val="center"/>
          </w:tcPr>
          <w:p>
            <w:pPr>
              <w:spacing w:after="0"/>
            </w:pPr>
            <w:r>
              <w:rPr>
                <w:rFonts w:ascii="游ゴシック" w:hAnsi="游ゴシック" w:eastAsia="游ゴシック"/>
                <w:b w:val="0"/>
                <w:sz w:val="18"/>
              </w:rPr>
              <w:t>令和7年度（12か月の完結年度）の実績により短期入所生活介護の見込量を算定し、季節補正を行わない（基準年度が完結年度であるため年度換算係数は1.0000となり効きは0円である）。季節利用の例外が示された時点で利用日数の置き方を確かめる</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受託者が仮置きにより進めた事項（164件）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No.65</w:t>
            </w:r>
          </w:p>
        </w:tc>
        <w:tc>
          <w:tcPr>
            <w:tcW w:type="dxa" w:w="2608"/>
            <w:vAlign w:val="center"/>
          </w:tcPr>
          <w:p>
            <w:pPr>
              <w:spacing w:after="0"/>
            </w:pPr>
            <w:r>
              <w:rPr>
                <w:rFonts w:ascii="游ゴシック" w:hAnsi="游ゴシック" w:eastAsia="游ゴシック"/>
                <w:b w:val="0"/>
                <w:sz w:val="16"/>
              </w:rPr>
              <w:t>広域連合において行うべき事業の優先順位</w:t>
            </w:r>
          </w:p>
        </w:tc>
        <w:tc>
          <w:tcPr>
            <w:tcW w:type="dxa" w:w="4649"/>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No.66</w:t>
            </w:r>
          </w:p>
        </w:tc>
        <w:tc>
          <w:tcPr>
            <w:tcW w:type="dxa" w:w="2608"/>
            <w:shd w:val="clear" w:color="auto" w:fill="F2F5FA"/>
            <w:vAlign w:val="center"/>
          </w:tcPr>
          <w:p>
            <w:pPr>
              <w:spacing w:after="0"/>
            </w:pPr>
            <w:r>
              <w:rPr>
                <w:rFonts w:ascii="游ゴシック" w:hAnsi="游ゴシック" w:eastAsia="游ゴシック"/>
                <w:b w:val="0"/>
                <w:sz w:val="16"/>
              </w:rPr>
              <w:t>サービスガイドに掲載する事業所の範囲</w:t>
            </w:r>
          </w:p>
        </w:tc>
        <w:tc>
          <w:tcPr>
            <w:tcW w:type="dxa" w:w="4649"/>
            <w:shd w:val="clear" w:color="auto" w:fill="F2F5FA"/>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No.67</w:t>
            </w:r>
          </w:p>
        </w:tc>
        <w:tc>
          <w:tcPr>
            <w:tcW w:type="dxa" w:w="2608"/>
            <w:vAlign w:val="center"/>
          </w:tcPr>
          <w:p>
            <w:pPr>
              <w:spacing w:after="0"/>
            </w:pPr>
            <w:r>
              <w:rPr>
                <w:rFonts w:ascii="游ゴシック" w:hAnsi="游ゴシック" w:eastAsia="游ゴシック"/>
                <w:b w:val="0"/>
                <w:sz w:val="16"/>
              </w:rPr>
              <w:t>算定方法の国の様式との整合（点検結果）</w:t>
            </w:r>
          </w:p>
        </w:tc>
        <w:tc>
          <w:tcPr>
            <w:tcW w:type="dxa" w:w="4649"/>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vAlign w:val="center"/>
          </w:tcPr>
          <w:p>
            <w:pPr>
              <w:spacing w:after="0"/>
            </w:pPr>
            <w:r>
              <w:rPr>
                <w:rFonts w:ascii="游ゴシック" w:hAnsi="游ゴシック" w:eastAsia="游ゴシック"/>
                <w:b w:val="0"/>
                <w:sz w:val="16"/>
              </w:rPr>
              <w:t>第6章第3節・第6節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No.68</w:t>
            </w:r>
          </w:p>
        </w:tc>
        <w:tc>
          <w:tcPr>
            <w:tcW w:type="dxa" w:w="2608"/>
            <w:shd w:val="clear" w:color="auto" w:fill="F2F5FA"/>
            <w:vAlign w:val="center"/>
          </w:tcPr>
          <w:p>
            <w:pPr>
              <w:spacing w:after="0"/>
            </w:pPr>
            <w:r>
              <w:rPr>
                <w:rFonts w:ascii="游ゴシック" w:hAnsi="游ゴシック" w:eastAsia="游ゴシック"/>
                <w:b w:val="0"/>
                <w:sz w:val="16"/>
              </w:rPr>
              <w:t>見える化システムの自然体推計の再出力のお願い</w:t>
            </w:r>
          </w:p>
        </w:tc>
        <w:tc>
          <w:tcPr>
            <w:tcW w:type="dxa" w:w="4649"/>
            <w:shd w:val="clear" w:color="auto" w:fill="F2F5FA"/>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No.70</w:t>
            </w:r>
          </w:p>
        </w:tc>
        <w:tc>
          <w:tcPr>
            <w:tcW w:type="dxa" w:w="2608"/>
            <w:vAlign w:val="center"/>
          </w:tcPr>
          <w:p>
            <w:pPr>
              <w:spacing w:after="0"/>
            </w:pPr>
            <w:r>
              <w:rPr>
                <w:rFonts w:ascii="游ゴシック" w:hAnsi="游ゴシック" w:eastAsia="游ゴシック"/>
                <w:b w:val="0"/>
                <w:sz w:val="16"/>
              </w:rPr>
              <w:t>交付金の全国順位の計画本文への掲載</w:t>
            </w:r>
          </w:p>
        </w:tc>
        <w:tc>
          <w:tcPr>
            <w:tcW w:type="dxa" w:w="4649"/>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No.73</w:t>
            </w:r>
          </w:p>
        </w:tc>
        <w:tc>
          <w:tcPr>
            <w:tcW w:type="dxa" w:w="2608"/>
            <w:shd w:val="clear" w:color="auto" w:fill="F2F5FA"/>
            <w:vAlign w:val="center"/>
          </w:tcPr>
          <w:p>
            <w:pPr>
              <w:spacing w:after="0"/>
            </w:pPr>
            <w:r>
              <w:rPr>
                <w:rFonts w:ascii="游ゴシック" w:hAnsi="游ゴシック" w:eastAsia="游ゴシック"/>
                <w:b w:val="0"/>
                <w:sz w:val="16"/>
              </w:rPr>
              <w:t>ケアプラン点検実施要領（案）の確定に要する事項</w:t>
            </w:r>
          </w:p>
        </w:tc>
        <w:tc>
          <w:tcPr>
            <w:tcW w:type="dxa" w:w="4649"/>
            <w:shd w:val="clear" w:color="auto" w:fill="F2F5FA"/>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No.75</w:t>
            </w:r>
          </w:p>
        </w:tc>
        <w:tc>
          <w:tcPr>
            <w:tcW w:type="dxa" w:w="2608"/>
            <w:vAlign w:val="center"/>
          </w:tcPr>
          <w:p>
            <w:pPr>
              <w:spacing w:after="0"/>
            </w:pPr>
            <w:r>
              <w:rPr>
                <w:rFonts w:ascii="游ゴシック" w:hAnsi="游ゴシック" w:eastAsia="游ゴシック"/>
                <w:b w:val="0"/>
                <w:sz w:val="16"/>
              </w:rPr>
              <w:t>代表KPIと改善事項の再整理案</w:t>
            </w:r>
          </w:p>
        </w:tc>
        <w:tc>
          <w:tcPr>
            <w:tcW w:type="dxa" w:w="4649"/>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No.76</w:t>
            </w:r>
          </w:p>
        </w:tc>
        <w:tc>
          <w:tcPr>
            <w:tcW w:type="dxa" w:w="2608"/>
            <w:shd w:val="clear" w:color="auto" w:fill="F2F5FA"/>
            <w:vAlign w:val="center"/>
          </w:tcPr>
          <w:p>
            <w:pPr>
              <w:spacing w:after="0"/>
            </w:pPr>
            <w:r>
              <w:rPr>
                <w:rFonts w:ascii="游ゴシック" w:hAnsi="游ゴシック" w:eastAsia="游ゴシック"/>
                <w:b w:val="0"/>
                <w:sz w:val="16"/>
              </w:rPr>
              <w:t>介護リームスから抽出できる項目</w:t>
            </w:r>
          </w:p>
        </w:tc>
        <w:tc>
          <w:tcPr>
            <w:tcW w:type="dxa" w:w="4649"/>
            <w:shd w:val="clear" w:color="auto" w:fill="F2F5FA"/>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No.77</w:t>
            </w:r>
          </w:p>
        </w:tc>
        <w:tc>
          <w:tcPr>
            <w:tcW w:type="dxa" w:w="2608"/>
            <w:vAlign w:val="center"/>
          </w:tcPr>
          <w:p>
            <w:pPr>
              <w:spacing w:after="0"/>
            </w:pPr>
            <w:r>
              <w:rPr>
                <w:rFonts w:ascii="游ゴシック" w:hAnsi="游ゴシック" w:eastAsia="游ゴシック"/>
                <w:b w:val="0"/>
                <w:sz w:val="16"/>
              </w:rPr>
              <w:t>北海道の評価指標⑥の団体別の公表値</w:t>
            </w:r>
          </w:p>
        </w:tc>
        <w:tc>
          <w:tcPr>
            <w:tcW w:type="dxa" w:w="4649"/>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No.78</w:t>
            </w:r>
          </w:p>
        </w:tc>
        <w:tc>
          <w:tcPr>
            <w:tcW w:type="dxa" w:w="2608"/>
            <w:shd w:val="clear" w:color="auto" w:fill="F2F5FA"/>
            <w:vAlign w:val="center"/>
          </w:tcPr>
          <w:p>
            <w:pPr>
              <w:spacing w:after="0"/>
            </w:pPr>
            <w:r>
              <w:rPr>
                <w:rFonts w:ascii="游ゴシック" w:hAnsi="游ゴシック" w:eastAsia="游ゴシック"/>
                <w:b w:val="0"/>
                <w:sz w:val="16"/>
              </w:rPr>
              <w:t>グループホームびえいの郷の定員減の時期</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No.79</w:t>
            </w:r>
          </w:p>
        </w:tc>
        <w:tc>
          <w:tcPr>
            <w:tcW w:type="dxa" w:w="2608"/>
            <w:vAlign w:val="center"/>
          </w:tcPr>
          <w:p>
            <w:pPr>
              <w:spacing w:after="0"/>
            </w:pPr>
            <w:r>
              <w:rPr>
                <w:rFonts w:ascii="游ゴシック" w:hAnsi="游ゴシック" w:eastAsia="游ゴシック"/>
                <w:b w:val="0"/>
                <w:sz w:val="16"/>
              </w:rPr>
              <w:t>第5章の施策数の見直しの範囲</w:t>
            </w:r>
          </w:p>
        </w:tc>
        <w:tc>
          <w:tcPr>
            <w:tcW w:type="dxa" w:w="4649"/>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vAlign w:val="center"/>
          </w:tcPr>
          <w:p>
            <w:pPr>
              <w:spacing w:after="0"/>
            </w:pPr>
            <w:r>
              <w:rPr>
                <w:rFonts w:ascii="游ゴシック" w:hAnsi="游ゴシック" w:eastAsia="游ゴシック"/>
                <w:b w:val="0"/>
                <w:sz w:val="16"/>
              </w:rPr>
              <w:t>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No.81</w:t>
            </w:r>
          </w:p>
        </w:tc>
        <w:tc>
          <w:tcPr>
            <w:tcW w:type="dxa" w:w="2608"/>
            <w:shd w:val="clear" w:color="auto" w:fill="F2F5FA"/>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shd w:val="clear" w:color="auto" w:fill="F2F5FA"/>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No.95</w:t>
            </w:r>
          </w:p>
        </w:tc>
        <w:tc>
          <w:tcPr>
            <w:tcW w:type="dxa" w:w="2608"/>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vAlign w:val="center"/>
          </w:tcPr>
          <w:p>
            <w:pPr>
              <w:spacing w:after="0"/>
            </w:pPr>
            <w:r>
              <w:rPr>
                <w:rFonts w:ascii="游ゴシック" w:hAnsi="游ゴシック" w:eastAsia="游ゴシック"/>
                <w:b w:val="0"/>
                <w:sz w:val="16"/>
              </w:rPr>
              <w:t>第6章第4節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No.96</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第2章第3節6・第6章第4節4</w:t>
            </w:r>
          </w:p>
        </w:tc>
      </w:tr>
      <w:tr>
        <w:trPr>
          <w:cantSplit/>
        </w:trPr>
        <w:tc>
          <w:tcPr>
            <w:tcW w:type="dxa" w:w="794"/>
            <w:vAlign w:val="center"/>
          </w:tcPr>
          <w:p>
            <w:pPr>
              <w:spacing w:after="0"/>
              <w:jc w:val="center"/>
            </w:pPr>
            <w:r>
              <w:rPr>
                <w:rFonts w:ascii="游ゴシック" w:hAnsi="游ゴシック" w:eastAsia="游ゴシック"/>
                <w:b w:val="0"/>
                <w:sz w:val="16"/>
              </w:rPr>
              <w:t>No.102</w:t>
            </w:r>
          </w:p>
        </w:tc>
        <w:tc>
          <w:tcPr>
            <w:tcW w:type="dxa" w:w="2608"/>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No.122</w:t>
            </w:r>
          </w:p>
        </w:tc>
        <w:tc>
          <w:tcPr>
            <w:tcW w:type="dxa" w:w="2608"/>
            <w:shd w:val="clear" w:color="auto" w:fill="F2F5FA"/>
            <w:vAlign w:val="center"/>
          </w:tcPr>
          <w:p>
            <w:pPr>
              <w:spacing w:after="0"/>
            </w:pPr>
            <w:r>
              <w:rPr>
                <w:rFonts w:ascii="游ゴシック" w:hAnsi="游ゴシック" w:eastAsia="游ゴシック"/>
                <w:b w:val="0"/>
                <w:sz w:val="16"/>
              </w:rPr>
              <w:t>地域ケア会議関係資料の取扱いの確認</w:t>
            </w:r>
          </w:p>
        </w:tc>
        <w:tc>
          <w:tcPr>
            <w:tcW w:type="dxa" w:w="4649"/>
            <w:shd w:val="clear" w:color="auto" w:fill="F2F5FA"/>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No.30</w:t>
            </w:r>
          </w:p>
        </w:tc>
        <w:tc>
          <w:tcPr>
            <w:tcW w:type="dxa" w:w="2608"/>
            <w:vAlign w:val="center"/>
          </w:tcPr>
          <w:p>
            <w:pPr>
              <w:spacing w:after="0"/>
            </w:pPr>
            <w:r>
              <w:rPr>
                <w:rFonts w:ascii="游ゴシック" w:hAnsi="游ゴシック" w:eastAsia="游ゴシック"/>
                <w:b w:val="0"/>
                <w:sz w:val="16"/>
              </w:rPr>
              <w:t>施設入所者と在宅者を分けた要介護度の変化</w:t>
            </w:r>
          </w:p>
        </w:tc>
        <w:tc>
          <w:tcPr>
            <w:tcW w:type="dxa" w:w="4649"/>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No.34</w:t>
            </w:r>
          </w:p>
        </w:tc>
        <w:tc>
          <w:tcPr>
            <w:tcW w:type="dxa" w:w="2608"/>
            <w:shd w:val="clear" w:color="auto" w:fill="F2F5FA"/>
            <w:vAlign w:val="center"/>
          </w:tcPr>
          <w:p>
            <w:pPr>
              <w:spacing w:after="0"/>
            </w:pPr>
            <w:r>
              <w:rPr>
                <w:rFonts w:ascii="游ゴシック" w:hAnsi="游ゴシック" w:eastAsia="游ゴシック"/>
                <w:b w:val="0"/>
                <w:sz w:val="16"/>
              </w:rPr>
              <w:t>第9段階の乗率の経緯</w:t>
            </w:r>
          </w:p>
        </w:tc>
        <w:tc>
          <w:tcPr>
            <w:tcW w:type="dxa" w:w="4649"/>
            <w:shd w:val="clear" w:color="auto" w:fill="F2F5FA"/>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No.35</w:t>
            </w:r>
          </w:p>
        </w:tc>
        <w:tc>
          <w:tcPr>
            <w:tcW w:type="dxa" w:w="2608"/>
            <w:vAlign w:val="center"/>
          </w:tcPr>
          <w:p>
            <w:pPr>
              <w:spacing w:after="0"/>
            </w:pPr>
            <w:r>
              <w:rPr>
                <w:rFonts w:ascii="游ゴシック" w:hAnsi="游ゴシック" w:eastAsia="游ゴシック"/>
                <w:b w:val="0"/>
                <w:sz w:val="16"/>
              </w:rPr>
              <w:t>上川管内の保険者の所得段階数と乗率</w:t>
            </w:r>
          </w:p>
        </w:tc>
        <w:tc>
          <w:tcPr>
            <w:tcW w:type="dxa" w:w="4649"/>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No.36</w:t>
            </w:r>
          </w:p>
        </w:tc>
        <w:tc>
          <w:tcPr>
            <w:tcW w:type="dxa" w:w="2608"/>
            <w:shd w:val="clear" w:color="auto" w:fill="F2F5FA"/>
            <w:vAlign w:val="center"/>
          </w:tcPr>
          <w:p>
            <w:pPr>
              <w:spacing w:after="0"/>
            </w:pPr>
            <w:r>
              <w:rPr>
                <w:rFonts w:ascii="游ゴシック" w:hAnsi="游ゴシック" w:eastAsia="游ゴシック"/>
                <w:b w:val="0"/>
                <w:sz w:val="16"/>
              </w:rPr>
              <w:t>所得段階別被保険者数の実績と収納率</w:t>
            </w:r>
          </w:p>
        </w:tc>
        <w:tc>
          <w:tcPr>
            <w:tcW w:type="dxa" w:w="4649"/>
            <w:shd w:val="clear" w:color="auto" w:fill="F2F5FA"/>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No.115</w:t>
            </w:r>
          </w:p>
        </w:tc>
        <w:tc>
          <w:tcPr>
            <w:tcW w:type="dxa" w:w="2608"/>
            <w:vAlign w:val="center"/>
          </w:tcPr>
          <w:p>
            <w:pPr>
              <w:spacing w:after="0"/>
            </w:pPr>
            <w:r>
              <w:rPr>
                <w:rFonts w:ascii="游ゴシック" w:hAnsi="游ゴシック" w:eastAsia="游ゴシック"/>
                <w:b w:val="0"/>
                <w:sz w:val="16"/>
              </w:rPr>
              <w:t>令和9年4月に新設される区分を見込量に立てるか</w:t>
            </w:r>
          </w:p>
        </w:tc>
        <w:tc>
          <w:tcPr>
            <w:tcW w:type="dxa" w:w="4649"/>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No.124</w:t>
            </w:r>
          </w:p>
        </w:tc>
        <w:tc>
          <w:tcPr>
            <w:tcW w:type="dxa" w:w="2608"/>
            <w:shd w:val="clear" w:color="auto" w:fill="F2F5FA"/>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No.140</w:t>
            </w:r>
          </w:p>
        </w:tc>
        <w:tc>
          <w:tcPr>
            <w:tcW w:type="dxa" w:w="2608"/>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vAlign w:val="center"/>
          </w:tcPr>
          <w:p>
            <w:pPr>
              <w:spacing w:after="0"/>
            </w:pPr>
            <w:r>
              <w:rPr>
                <w:rFonts w:ascii="游ゴシック" w:hAnsi="游ゴシック" w:eastAsia="游ゴシック"/>
                <w:b w:val="0"/>
                <w:sz w:val="16"/>
              </w:rPr>
              <w:t>第2章第5節・第4章第3節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No.149</w:t>
            </w:r>
          </w:p>
        </w:tc>
        <w:tc>
          <w:tcPr>
            <w:tcW w:type="dxa" w:w="2608"/>
            <w:shd w:val="clear" w:color="auto" w:fill="F2F5FA"/>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shd w:val="clear" w:color="auto" w:fill="F2F5FA"/>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第1章第2節・第8節</w:t>
            </w:r>
          </w:p>
        </w:tc>
      </w:tr>
      <w:tr>
        <w:trPr>
          <w:cantSplit/>
        </w:trPr>
        <w:tc>
          <w:tcPr>
            <w:tcW w:type="dxa" w:w="794"/>
            <w:vAlign w:val="center"/>
          </w:tcPr>
          <w:p>
            <w:pPr>
              <w:spacing w:after="0"/>
              <w:jc w:val="center"/>
            </w:pPr>
            <w:r>
              <w:rPr>
                <w:rFonts w:ascii="游ゴシック" w:hAnsi="游ゴシック" w:eastAsia="游ゴシック"/>
                <w:b w:val="0"/>
                <w:sz w:val="16"/>
              </w:rPr>
              <w:t>No.1</w:t>
            </w:r>
          </w:p>
        </w:tc>
        <w:tc>
          <w:tcPr>
            <w:tcW w:type="dxa" w:w="2608"/>
            <w:vAlign w:val="center"/>
          </w:tcPr>
          <w:p>
            <w:pPr>
              <w:spacing w:after="0"/>
            </w:pPr>
            <w:r>
              <w:rPr>
                <w:rFonts w:ascii="游ゴシック" w:hAnsi="游ゴシック" w:eastAsia="游ゴシック"/>
                <w:b w:val="0"/>
                <w:sz w:val="16"/>
              </w:rPr>
              <w:t>特別地域加算の対象地域告示</w:t>
            </w:r>
          </w:p>
        </w:tc>
        <w:tc>
          <w:tcPr>
            <w:tcW w:type="dxa" w:w="4649"/>
            <w:vAlign w:val="center"/>
          </w:tcPr>
          <w:p>
            <w:pPr>
              <w:spacing w:after="0"/>
            </w:pPr>
            <w:r>
              <w:rPr>
                <w:rFonts w:ascii="游ゴシック" w:hAnsi="游ゴシック" w:eastAsia="游ゴシック"/>
                <w:b w:val="0"/>
                <w:sz w:val="16"/>
              </w:rPr>
              <w:t>特別地域加算の対象地域の告示を確認できていないため、特定地域の基準①に該当するかどうかの判定は行わず［要確認］のまま残した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共通30件のご決定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