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令和8年10月5日　／　町との打合せ資料</w:t>
      </w:r>
    </w:p>
    <w:p>
      <w:pPr>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いただきたい資料が21件あります。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spacing w:before="20" w:after="20"/>
            </w:pPr>
            <w:r>
              <w:rPr>
                <w:rFonts w:ascii="游ゴシック" w:hAnsi="游ゴシック" w:eastAsia="游ゴシック"/>
                <w:b w:val="0"/>
                <w:i w:val="0"/>
                <w:sz w:val="17"/>
              </w:rPr>
              <w:t>7</w:t>
            </w:r>
          </w:p>
        </w:tc>
        <w:tc>
          <w:tcPr>
            <w:tcW w:type="dxa" w:w="8411"/>
            <w:vAlign w:val="center"/>
          </w:tcPr>
          <w:p>
            <w:pPr>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1件（認知症の設問の項目名）を訂正し、報告書そのものの中の食い違いを3件見つけました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spacing w:before="20" w:after="20"/>
              <w:jc w:val="right"/>
            </w:pPr>
            <w:r>
              <w:rPr>
                <w:rFonts w:ascii="游ゴシック" w:hAnsi="游ゴシック" w:eastAsia="游ゴシック"/>
                <w:b w:val="0"/>
                <w:i w:val="0"/>
                <w:sz w:val="17"/>
              </w:rPr>
              <w:t>72件</w:t>
            </w:r>
          </w:p>
        </w:tc>
        <w:tc>
          <w:tcPr>
            <w:tcW w:type="dxa" w:w="2378"/>
            <w:vAlign w:val="center"/>
          </w:tcPr>
          <w:p>
            <w:pPr>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7"/>
        <w:gridCol w:w="2747"/>
        <w:gridCol w:w="1657"/>
        <w:gridCol w:w="1872"/>
        <w:gridCol w:w="2069"/>
      </w:tblGrid>
      <w:tr>
        <w:tc>
          <w:tcPr>
            <w:tcW w:type="dxa" w:w="1407"/>
            <w:shd w:val="clear" w:fill="1F3864"/>
            <w:vAlign w:val="center"/>
          </w:tcPr>
          <w:p>
            <w:pPr>
              <w:spacing w:before="20" w:after="20"/>
              <w:jc w:val="center"/>
            </w:pPr>
          </w:p>
        </w:tc>
        <w:tc>
          <w:tcPr>
            <w:tcW w:type="dxa" w:w="2747"/>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7"/>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72"/>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69"/>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7"/>
            <w:vAlign w:val="center"/>
          </w:tcPr>
          <w:p>
            <w:pPr>
              <w:spacing w:before="20" w:after="20"/>
            </w:pPr>
            <w:r>
              <w:rPr>
                <w:rFonts w:ascii="游ゴシック" w:hAnsi="游ゴシック" w:eastAsia="游ゴシック"/>
                <w:b w:val="0"/>
                <w:i w:val="0"/>
                <w:sz w:val="17"/>
              </w:rPr>
              <w:t>A-1</w:t>
            </w:r>
          </w:p>
        </w:tc>
        <w:tc>
          <w:tcPr>
            <w:tcW w:type="dxa" w:w="2747"/>
            <w:vAlign w:val="center"/>
          </w:tcPr>
          <w:p>
            <w:pPr>
              <w:spacing w:before="20" w:after="20"/>
            </w:pPr>
            <w:r>
              <w:rPr>
                <w:rFonts w:ascii="游ゴシック" w:hAnsi="游ゴシック" w:eastAsia="游ゴシック"/>
                <w:b/>
                <w:i w:val="0"/>
                <w:sz w:val="17"/>
              </w:rPr>
              <w:t>当方の算定　取崩なし</w:t>
            </w:r>
          </w:p>
        </w:tc>
        <w:tc>
          <w:tcPr>
            <w:tcW w:type="dxa" w:w="1657"/>
            <w:vAlign w:val="center"/>
          </w:tcPr>
          <w:p>
            <w:pPr>
              <w:spacing w:before="20" w:after="20"/>
              <w:jc w:val="right"/>
            </w:pPr>
            <w:r>
              <w:rPr>
                <w:rFonts w:ascii="游ゴシック" w:hAnsi="游ゴシック" w:eastAsia="游ゴシック"/>
                <w:b w:val="0"/>
                <w:i w:val="0"/>
                <w:sz w:val="17"/>
              </w:rPr>
              <w:t>6,048円</w:t>
            </w:r>
          </w:p>
        </w:tc>
        <w:tc>
          <w:tcPr>
            <w:tcW w:type="dxa" w:w="1872"/>
            <w:vAlign w:val="center"/>
          </w:tcPr>
          <w:p>
            <w:pPr>
              <w:spacing w:before="20" w:after="20"/>
              <w:jc w:val="right"/>
            </w:pPr>
            <w:r>
              <w:rPr>
                <w:rFonts w:ascii="游ゴシック" w:hAnsi="游ゴシック" w:eastAsia="游ゴシック"/>
                <w:b/>
                <w:i w:val="0"/>
                <w:sz w:val="17"/>
              </w:rPr>
              <w:t>6,100円</w:t>
            </w:r>
          </w:p>
        </w:tc>
        <w:tc>
          <w:tcPr>
            <w:tcW w:type="dxa" w:w="2069"/>
            <w:vAlign w:val="center"/>
          </w:tcPr>
          <w:p>
            <w:pPr>
              <w:spacing w:before="20" w:after="20"/>
              <w:jc w:val="right"/>
            </w:pPr>
            <w:r>
              <w:rPr>
                <w:rFonts w:ascii="游ゴシック" w:hAnsi="游ゴシック" w:eastAsia="游ゴシック"/>
                <w:b/>
                <w:i w:val="0"/>
                <w:sz w:val="17"/>
              </w:rPr>
              <w:t>-500円</w:t>
            </w:r>
          </w:p>
        </w:tc>
      </w:tr>
      <w:tr>
        <w:tc>
          <w:tcPr>
            <w:tcW w:type="dxa" w:w="1407"/>
            <w:vAlign w:val="center"/>
          </w:tcPr>
          <w:p>
            <w:pPr>
              <w:spacing w:before="20" w:after="20"/>
            </w:pPr>
            <w:r>
              <w:rPr>
                <w:rFonts w:ascii="游ゴシック" w:hAnsi="游ゴシック" w:eastAsia="游ゴシック"/>
                <w:b w:val="0"/>
                <w:i w:val="0"/>
                <w:sz w:val="17"/>
              </w:rPr>
              <w:t>A-2</w:t>
            </w:r>
          </w:p>
        </w:tc>
        <w:tc>
          <w:tcPr>
            <w:tcW w:type="dxa" w:w="2747"/>
            <w:vAlign w:val="center"/>
          </w:tcPr>
          <w:p>
            <w:pPr>
              <w:spacing w:before="20" w:after="20"/>
            </w:pPr>
            <w:r>
              <w:rPr>
                <w:rFonts w:ascii="游ゴシック" w:hAnsi="游ゴシック" w:eastAsia="游ゴシック"/>
                <w:b w:val="0"/>
                <w:i w:val="0"/>
                <w:sz w:val="17"/>
              </w:rPr>
              <w:t>当方の算定　基金12,000千円を全額取崩</w:t>
            </w:r>
          </w:p>
        </w:tc>
        <w:tc>
          <w:tcPr>
            <w:tcW w:type="dxa" w:w="1657"/>
            <w:vAlign w:val="center"/>
          </w:tcPr>
          <w:p>
            <w:pPr>
              <w:spacing w:before="20" w:after="20"/>
              <w:jc w:val="right"/>
            </w:pPr>
            <w:r>
              <w:rPr>
                <w:rFonts w:ascii="游ゴシック" w:hAnsi="游ゴシック" w:eastAsia="游ゴシック"/>
                <w:b w:val="0"/>
                <w:i w:val="0"/>
                <w:sz w:val="17"/>
              </w:rPr>
              <w:t>5,950円</w:t>
            </w:r>
          </w:p>
        </w:tc>
        <w:tc>
          <w:tcPr>
            <w:tcW w:type="dxa" w:w="1872"/>
            <w:vAlign w:val="center"/>
          </w:tcPr>
          <w:p>
            <w:pPr>
              <w:spacing w:before="20" w:after="20"/>
              <w:jc w:val="right"/>
            </w:pPr>
            <w:r>
              <w:rPr>
                <w:rFonts w:ascii="游ゴシック" w:hAnsi="游ゴシック" w:eastAsia="游ゴシック"/>
                <w:b/>
                <w:i w:val="0"/>
                <w:sz w:val="17"/>
              </w:rPr>
              <w:t>6,000円</w:t>
            </w:r>
          </w:p>
        </w:tc>
        <w:tc>
          <w:tcPr>
            <w:tcW w:type="dxa" w:w="2069"/>
            <w:vAlign w:val="center"/>
          </w:tcPr>
          <w:p>
            <w:pPr>
              <w:spacing w:before="20" w:after="20"/>
              <w:jc w:val="right"/>
            </w:pPr>
            <w:r>
              <w:rPr>
                <w:rFonts w:ascii="游ゴシック" w:hAnsi="游ゴシック" w:eastAsia="游ゴシック"/>
                <w:b/>
                <w:i w:val="0"/>
                <w:sz w:val="17"/>
              </w:rPr>
              <w:t>-600円</w:t>
            </w:r>
          </w:p>
        </w:tc>
      </w:tr>
      <w:tr>
        <w:tc>
          <w:tcPr>
            <w:tcW w:type="dxa" w:w="1407"/>
            <w:vAlign w:val="center"/>
          </w:tcPr>
          <w:p>
            <w:pPr>
              <w:spacing w:before="20" w:after="20"/>
            </w:pPr>
            <w:r>
              <w:rPr>
                <w:rFonts w:ascii="游ゴシック" w:hAnsi="游ゴシック" w:eastAsia="游ゴシック"/>
                <w:b w:val="0"/>
                <w:i w:val="0"/>
                <w:sz w:val="17"/>
              </w:rPr>
              <w:t>A-3</w:t>
            </w:r>
          </w:p>
        </w:tc>
        <w:tc>
          <w:tcPr>
            <w:tcW w:type="dxa" w:w="2747"/>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7"/>
            <w:vAlign w:val="center"/>
          </w:tcPr>
          <w:p>
            <w:pPr>
              <w:spacing w:before="20" w:after="20"/>
              <w:jc w:val="right"/>
            </w:pPr>
            <w:r>
              <w:rPr>
                <w:rFonts w:ascii="游ゴシック" w:hAnsi="游ゴシック" w:eastAsia="游ゴシック"/>
                <w:b w:val="0"/>
                <w:i w:val="0"/>
                <w:sz w:val="17"/>
              </w:rPr>
              <w:t>5,761円</w:t>
            </w:r>
          </w:p>
        </w:tc>
        <w:tc>
          <w:tcPr>
            <w:tcW w:type="dxa" w:w="1872"/>
            <w:vAlign w:val="center"/>
          </w:tcPr>
          <w:p>
            <w:pPr>
              <w:spacing w:before="20" w:after="20"/>
              <w:jc w:val="right"/>
            </w:pPr>
            <w:r>
              <w:rPr>
                <w:rFonts w:ascii="游ゴシック" w:hAnsi="游ゴシック" w:eastAsia="游ゴシック"/>
                <w:b/>
                <w:i w:val="0"/>
                <w:sz w:val="17"/>
              </w:rPr>
              <w:t>5,800円</w:t>
            </w:r>
          </w:p>
        </w:tc>
        <w:tc>
          <w:tcPr>
            <w:tcW w:type="dxa" w:w="2069"/>
            <w:vAlign w:val="center"/>
          </w:tcPr>
          <w:p>
            <w:pPr>
              <w:spacing w:before="20" w:after="20"/>
              <w:jc w:val="right"/>
            </w:pPr>
            <w:r>
              <w:rPr>
                <w:rFonts w:ascii="游ゴシック" w:hAnsi="游ゴシック" w:eastAsia="游ゴシック"/>
                <w:b/>
                <w:i w:val="0"/>
                <w:sz w:val="17"/>
              </w:rPr>
              <w:t>-800円</w:t>
            </w:r>
          </w:p>
        </w:tc>
      </w:tr>
      <w:tr>
        <w:tc>
          <w:tcPr>
            <w:tcW w:type="dxa" w:w="1407"/>
            <w:vAlign w:val="center"/>
          </w:tcPr>
          <w:p>
            <w:pPr>
              <w:spacing w:before="20" w:after="20"/>
            </w:pPr>
            <w:r>
              <w:rPr>
                <w:rFonts w:ascii="游ゴシック" w:hAnsi="游ゴシック" w:eastAsia="游ゴシック"/>
                <w:b w:val="0"/>
                <w:i w:val="0"/>
                <w:sz w:val="17"/>
              </w:rPr>
              <w:t>B-1</w:t>
            </w:r>
          </w:p>
        </w:tc>
        <w:tc>
          <w:tcPr>
            <w:tcW w:type="dxa" w:w="2747"/>
            <w:vAlign w:val="center"/>
          </w:tcPr>
          <w:p>
            <w:pPr>
              <w:spacing w:before="20" w:after="20"/>
            </w:pPr>
            <w:r>
              <w:rPr>
                <w:rFonts w:ascii="游ゴシック" w:hAnsi="游ゴシック" w:eastAsia="游ゴシック"/>
                <w:b/>
                <w:i w:val="0"/>
                <w:sz w:val="17"/>
              </w:rPr>
              <w:t>見える化システム　取崩なし</w:t>
            </w:r>
          </w:p>
        </w:tc>
        <w:tc>
          <w:tcPr>
            <w:tcW w:type="dxa" w:w="1657"/>
            <w:vAlign w:val="center"/>
          </w:tcPr>
          <w:p>
            <w:pPr>
              <w:spacing w:before="20" w:after="20"/>
              <w:jc w:val="right"/>
            </w:pPr>
            <w:r>
              <w:rPr>
                <w:rFonts w:ascii="游ゴシック" w:hAnsi="游ゴシック" w:eastAsia="游ゴシック"/>
                <w:b w:val="0"/>
                <w:i w:val="0"/>
                <w:sz w:val="17"/>
              </w:rPr>
              <w:t>6,533円</w:t>
            </w:r>
          </w:p>
        </w:tc>
        <w:tc>
          <w:tcPr>
            <w:tcW w:type="dxa" w:w="1872"/>
            <w:vAlign w:val="center"/>
          </w:tcPr>
          <w:p>
            <w:pPr>
              <w:spacing w:before="20" w:after="20"/>
              <w:jc w:val="right"/>
            </w:pPr>
            <w:r>
              <w:rPr>
                <w:rFonts w:ascii="游ゴシック" w:hAnsi="游ゴシック" w:eastAsia="游ゴシック"/>
                <w:b/>
                <w:i w:val="0"/>
                <w:sz w:val="17"/>
              </w:rPr>
              <w:t>6,600円</w:t>
            </w:r>
          </w:p>
        </w:tc>
        <w:tc>
          <w:tcPr>
            <w:tcW w:type="dxa" w:w="2069"/>
            <w:vAlign w:val="center"/>
          </w:tcPr>
          <w:p>
            <w:pPr>
              <w:spacing w:before="20" w:after="20"/>
              <w:jc w:val="right"/>
            </w:pPr>
            <w:r>
              <w:rPr>
                <w:rFonts w:ascii="游ゴシック" w:hAnsi="游ゴシック" w:eastAsia="游ゴシック"/>
                <w:b/>
                <w:i w:val="0"/>
                <w:sz w:val="17"/>
              </w:rPr>
              <w:t>±0円（据え置き）</w:t>
            </w:r>
          </w:p>
        </w:tc>
      </w:tr>
      <w:tr>
        <w:tc>
          <w:tcPr>
            <w:tcW w:type="dxa" w:w="1407"/>
            <w:vAlign w:val="center"/>
          </w:tcPr>
          <w:p>
            <w:pPr>
              <w:spacing w:before="20" w:after="20"/>
            </w:pPr>
            <w:r>
              <w:rPr>
                <w:rFonts w:ascii="游ゴシック" w:hAnsi="游ゴシック" w:eastAsia="游ゴシック"/>
                <w:b w:val="0"/>
                <w:i w:val="0"/>
                <w:sz w:val="17"/>
              </w:rPr>
              <w:t>B-2</w:t>
            </w:r>
          </w:p>
        </w:tc>
        <w:tc>
          <w:tcPr>
            <w:tcW w:type="dxa" w:w="2747"/>
            <w:vAlign w:val="center"/>
          </w:tcPr>
          <w:p>
            <w:pPr>
              <w:spacing w:before="20" w:after="20"/>
            </w:pPr>
            <w:r>
              <w:rPr>
                <w:rFonts w:ascii="游ゴシック" w:hAnsi="游ゴシック" w:eastAsia="游ゴシック"/>
                <w:b w:val="0"/>
                <w:i w:val="0"/>
                <w:sz w:val="17"/>
              </w:rPr>
              <w:t>見える化システム　基金12,000千円を全額取崩</w:t>
            </w:r>
          </w:p>
        </w:tc>
        <w:tc>
          <w:tcPr>
            <w:tcW w:type="dxa" w:w="1657"/>
            <w:vAlign w:val="center"/>
          </w:tcPr>
          <w:p>
            <w:pPr>
              <w:spacing w:before="20" w:after="20"/>
              <w:jc w:val="right"/>
            </w:pPr>
            <w:r>
              <w:rPr>
                <w:rFonts w:ascii="游ゴシック" w:hAnsi="游ゴシック" w:eastAsia="游ゴシック"/>
                <w:b w:val="0"/>
                <w:i w:val="0"/>
                <w:sz w:val="17"/>
              </w:rPr>
              <w:t>6,435円</w:t>
            </w:r>
          </w:p>
        </w:tc>
        <w:tc>
          <w:tcPr>
            <w:tcW w:type="dxa" w:w="1872"/>
            <w:vAlign w:val="center"/>
          </w:tcPr>
          <w:p>
            <w:pPr>
              <w:spacing w:before="20" w:after="20"/>
              <w:jc w:val="right"/>
            </w:pPr>
            <w:r>
              <w:rPr>
                <w:rFonts w:ascii="游ゴシック" w:hAnsi="游ゴシック" w:eastAsia="游ゴシック"/>
                <w:b/>
                <w:i w:val="0"/>
                <w:sz w:val="17"/>
              </w:rPr>
              <w:t>6,500円</w:t>
            </w:r>
          </w:p>
        </w:tc>
        <w:tc>
          <w:tcPr>
            <w:tcW w:type="dxa" w:w="2069"/>
            <w:vAlign w:val="center"/>
          </w:tcPr>
          <w:p>
            <w:pPr>
              <w:spacing w:before="20" w:after="20"/>
              <w:jc w:val="right"/>
            </w:pPr>
            <w:r>
              <w:rPr>
                <w:rFonts w:ascii="游ゴシック" w:hAnsi="游ゴシック" w:eastAsia="游ゴシック"/>
                <w:b/>
                <w:i w:val="0"/>
                <w:sz w:val="17"/>
              </w:rPr>
              <w:t>-100円</w:t>
            </w:r>
          </w:p>
        </w:tc>
      </w:tr>
      <w:tr>
        <w:tc>
          <w:tcPr>
            <w:tcW w:type="dxa" w:w="1407"/>
            <w:vAlign w:val="center"/>
          </w:tcPr>
          <w:p>
            <w:pPr>
              <w:spacing w:before="20" w:after="20"/>
            </w:pPr>
            <w:r>
              <w:rPr>
                <w:rFonts w:ascii="游ゴシック" w:hAnsi="游ゴシック" w:eastAsia="游ゴシック"/>
                <w:b w:val="0"/>
                <w:i w:val="0"/>
                <w:sz w:val="17"/>
              </w:rPr>
              <w:t>B-3</w:t>
            </w:r>
          </w:p>
        </w:tc>
        <w:tc>
          <w:tcPr>
            <w:tcW w:type="dxa" w:w="2747"/>
            <w:vAlign w:val="center"/>
          </w:tcPr>
          <w:p>
            <w:pPr>
              <w:spacing w:before="20" w:after="20"/>
            </w:pPr>
            <w:r>
              <w:rPr>
                <w:rFonts w:ascii="游ゴシック" w:hAnsi="游ゴシック" w:eastAsia="游ゴシック"/>
                <w:b w:val="0"/>
                <w:i w:val="0"/>
                <w:sz w:val="17"/>
              </w:rPr>
              <w:t>見える化システム　35,000千円を取崩</w:t>
            </w:r>
          </w:p>
        </w:tc>
        <w:tc>
          <w:tcPr>
            <w:tcW w:type="dxa" w:w="1657"/>
            <w:vAlign w:val="center"/>
          </w:tcPr>
          <w:p>
            <w:pPr>
              <w:spacing w:before="20" w:after="20"/>
              <w:jc w:val="right"/>
            </w:pPr>
            <w:r>
              <w:rPr>
                <w:rFonts w:ascii="游ゴシック" w:hAnsi="游ゴシック" w:eastAsia="游ゴシック"/>
                <w:b w:val="0"/>
                <w:i w:val="0"/>
                <w:sz w:val="17"/>
              </w:rPr>
              <w:t>6,247円</w:t>
            </w:r>
          </w:p>
        </w:tc>
        <w:tc>
          <w:tcPr>
            <w:tcW w:type="dxa" w:w="1872"/>
            <w:vAlign w:val="center"/>
          </w:tcPr>
          <w:p>
            <w:pPr>
              <w:spacing w:before="20" w:after="20"/>
              <w:jc w:val="right"/>
            </w:pPr>
            <w:r>
              <w:rPr>
                <w:rFonts w:ascii="游ゴシック" w:hAnsi="游ゴシック" w:eastAsia="游ゴシック"/>
                <w:b/>
                <w:i w:val="0"/>
                <w:sz w:val="17"/>
              </w:rPr>
              <w:t>6,300円</w:t>
            </w:r>
          </w:p>
        </w:tc>
        <w:tc>
          <w:tcPr>
            <w:tcW w:type="dxa" w:w="2069"/>
            <w:vAlign w:val="center"/>
          </w:tcPr>
          <w:p>
            <w:pPr>
              <w:spacing w:before="20" w:after="20"/>
              <w:jc w:val="right"/>
            </w:pPr>
            <w:r>
              <w:rPr>
                <w:rFonts w:ascii="游ゴシック" w:hAnsi="游ゴシック" w:eastAsia="游ゴシック"/>
                <w:b/>
                <w:i w:val="0"/>
                <w:sz w:val="17"/>
              </w:rPr>
              <w:t>-300円</w:t>
            </w:r>
          </w:p>
        </w:tc>
      </w:tr>
      <w:tr>
        <w:tc>
          <w:tcPr>
            <w:tcW w:type="dxa" w:w="1407"/>
            <w:vAlign w:val="center"/>
          </w:tcPr>
          <w:p>
            <w:pPr>
              <w:spacing w:before="20" w:after="20"/>
            </w:pPr>
            <w:r>
              <w:rPr>
                <w:rFonts w:ascii="游ゴシック" w:hAnsi="游ゴシック" w:eastAsia="游ゴシック"/>
                <w:b w:val="0"/>
                <w:i w:val="0"/>
                <w:sz w:val="17"/>
              </w:rPr>
              <w:t>C-1</w:t>
            </w:r>
          </w:p>
        </w:tc>
        <w:tc>
          <w:tcPr>
            <w:tcW w:type="dxa" w:w="2747"/>
            <w:vAlign w:val="center"/>
          </w:tcPr>
          <w:p>
            <w:pPr>
              <w:spacing w:before="20" w:after="20"/>
            </w:pPr>
            <w:r>
              <w:rPr>
                <w:rFonts w:ascii="游ゴシック" w:hAnsi="游ゴシック" w:eastAsia="游ゴシック"/>
                <w:b w:val="0"/>
                <w:i w:val="0"/>
                <w:sz w:val="17"/>
              </w:rPr>
              <w:t>当方の算定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6,317円</w:t>
            </w:r>
          </w:p>
        </w:tc>
        <w:tc>
          <w:tcPr>
            <w:tcW w:type="dxa" w:w="1872"/>
            <w:vAlign w:val="center"/>
          </w:tcPr>
          <w:p>
            <w:pPr>
              <w:spacing w:before="20" w:after="20"/>
              <w:jc w:val="right"/>
            </w:pPr>
            <w:r>
              <w:rPr>
                <w:rFonts w:ascii="游ゴシック" w:hAnsi="游ゴシック" w:eastAsia="游ゴシック"/>
                <w:b/>
                <w:i w:val="0"/>
                <w:sz w:val="17"/>
              </w:rPr>
              <w:t>6,400円</w:t>
            </w:r>
          </w:p>
        </w:tc>
        <w:tc>
          <w:tcPr>
            <w:tcW w:type="dxa" w:w="2069"/>
            <w:vAlign w:val="center"/>
          </w:tcPr>
          <w:p>
            <w:pPr>
              <w:spacing w:before="20" w:after="20"/>
              <w:jc w:val="right"/>
            </w:pPr>
            <w:r>
              <w:rPr>
                <w:rFonts w:ascii="游ゴシック" w:hAnsi="游ゴシック" w:eastAsia="游ゴシック"/>
                <w:b/>
                <w:i w:val="0"/>
                <w:sz w:val="17"/>
              </w:rPr>
              <w:t>-200円</w:t>
            </w:r>
          </w:p>
        </w:tc>
      </w:tr>
      <w:tr>
        <w:tc>
          <w:tcPr>
            <w:tcW w:type="dxa" w:w="1407"/>
            <w:vAlign w:val="center"/>
          </w:tcPr>
          <w:p>
            <w:pPr>
              <w:spacing w:before="20" w:after="20"/>
            </w:pPr>
            <w:r>
              <w:rPr>
                <w:rFonts w:ascii="游ゴシック" w:hAnsi="游ゴシック" w:eastAsia="游ゴシック"/>
                <w:b w:val="0"/>
                <w:i w:val="0"/>
                <w:sz w:val="17"/>
              </w:rPr>
              <w:t>C-2</w:t>
            </w:r>
          </w:p>
        </w:tc>
        <w:tc>
          <w:tcPr>
            <w:tcW w:type="dxa" w:w="2747"/>
            <w:vAlign w:val="center"/>
          </w:tcPr>
          <w:p>
            <w:pPr>
              <w:spacing w:before="20" w:after="20"/>
            </w:pPr>
            <w:r>
              <w:rPr>
                <w:rFonts w:ascii="游ゴシック" w:hAnsi="游ゴシック" w:eastAsia="游ゴシック"/>
                <w:b w:val="0"/>
                <w:i w:val="0"/>
                <w:sz w:val="17"/>
              </w:rPr>
              <w:t>システム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6,824円</w:t>
            </w:r>
          </w:p>
        </w:tc>
        <w:tc>
          <w:tcPr>
            <w:tcW w:type="dxa" w:w="1872"/>
            <w:vAlign w:val="center"/>
          </w:tcPr>
          <w:p>
            <w:pPr>
              <w:spacing w:before="20" w:after="20"/>
              <w:jc w:val="right"/>
            </w:pPr>
            <w:r>
              <w:rPr>
                <w:rFonts w:ascii="游ゴシック" w:hAnsi="游ゴシック" w:eastAsia="游ゴシック"/>
                <w:b/>
                <w:i w:val="0"/>
                <w:sz w:val="17"/>
              </w:rPr>
              <w:t>6,900円</w:t>
            </w:r>
          </w:p>
        </w:tc>
        <w:tc>
          <w:tcPr>
            <w:tcW w:type="dxa" w:w="2069"/>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補正後被保険者数 10,245人→10,235人</w:t>
            </w:r>
          </w:p>
        </w:tc>
        <w:tc>
          <w:tcPr>
            <w:tcW w:type="dxa" w:w="2717"/>
            <w:vAlign w:val="center"/>
          </w:tcPr>
          <w:p>
            <w:pPr>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2156"/>
        <w:gridCol w:w="1710"/>
        <w:gridCol w:w="3165"/>
      </w:tblGrid>
      <w:tr>
        <w:tc>
          <w:tcPr>
            <w:tcW w:type="dxa" w:w="272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6"/>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71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5"/>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720"/>
            <w:vAlign w:val="center"/>
          </w:tcPr>
          <w:p>
            <w:pPr>
              <w:spacing w:before="20" w:after="20"/>
            </w:pPr>
            <w:r>
              <w:rPr>
                <w:rFonts w:ascii="游ゴシック" w:hAnsi="游ゴシック" w:eastAsia="游ゴシック"/>
                <w:b w:val="0"/>
                <w:i w:val="0"/>
                <w:sz w:val="17"/>
              </w:rPr>
              <w:t>介護給付費準備基金 保有額（令和7年度末）</w:t>
            </w:r>
          </w:p>
        </w:tc>
        <w:tc>
          <w:tcPr>
            <w:tcW w:type="dxa" w:w="2156"/>
            <w:vAlign w:val="center"/>
          </w:tcPr>
          <w:p>
            <w:pPr>
              <w:spacing w:before="20" w:after="20"/>
              <w:jc w:val="right"/>
            </w:pPr>
            <w:r>
              <w:rPr>
                <w:rFonts w:ascii="游ゴシック" w:hAnsi="游ゴシック" w:eastAsia="游ゴシック"/>
                <w:b w:val="0"/>
                <w:i w:val="0"/>
                <w:sz w:val="17"/>
              </w:rPr>
              <w:t>12,000千円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令和4年度末の120,000千円から1桁減っています</w:t>
            </w:r>
          </w:p>
        </w:tc>
      </w:tr>
      <w:tr>
        <w:tc>
          <w:tcPr>
            <w:tcW w:type="dxa" w:w="2720"/>
            <w:vAlign w:val="center"/>
          </w:tcPr>
          <w:p>
            <w:pPr>
              <w:spacing w:before="20" w:after="20"/>
            </w:pPr>
            <w:r>
              <w:rPr>
                <w:rFonts w:ascii="游ゴシック" w:hAnsi="游ゴシック" w:eastAsia="游ゴシック"/>
                <w:b w:val="0"/>
                <w:i w:val="0"/>
                <w:sz w:val="17"/>
              </w:rPr>
              <w:t>歳入歳出差引残額（令和6年度末）</w:t>
            </w:r>
          </w:p>
        </w:tc>
        <w:tc>
          <w:tcPr>
            <w:tcW w:type="dxa" w:w="2156"/>
            <w:vAlign w:val="center"/>
          </w:tcPr>
          <w:p>
            <w:pPr>
              <w:spacing w:before="20" w:after="20"/>
              <w:jc w:val="right"/>
            </w:pPr>
            <w:r>
              <w:rPr>
                <w:rFonts w:ascii="游ゴシック" w:hAnsi="游ゴシック" w:eastAsia="游ゴシック"/>
                <w:b w:val="0"/>
                <w:i w:val="0"/>
                <w:sz w:val="17"/>
              </w:rPr>
              <w:t>144,205,672円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繰越金として滞留しています</w:t>
            </w:r>
          </w:p>
        </w:tc>
      </w:tr>
      <w:tr>
        <w:tc>
          <w:tcPr>
            <w:tcW w:type="dxa" w:w="2720"/>
            <w:vAlign w:val="center"/>
          </w:tcPr>
          <w:p>
            <w:pPr>
              <w:spacing w:before="20" w:after="20"/>
            </w:pPr>
            <w:r>
              <w:rPr>
                <w:rFonts w:ascii="游ゴシック" w:hAnsi="游ゴシック" w:eastAsia="游ゴシック"/>
                <w:b w:val="0"/>
                <w:i w:val="0"/>
                <w:sz w:val="17"/>
              </w:rPr>
              <w:t>第9期の取崩額</w:t>
            </w:r>
          </w:p>
        </w:tc>
        <w:tc>
          <w:tcPr>
            <w:tcW w:type="dxa" w:w="2156"/>
            <w:vAlign w:val="center"/>
          </w:tcPr>
          <w:p>
            <w:pPr>
              <w:spacing w:before="20" w:after="20"/>
              <w:jc w:val="right"/>
            </w:pPr>
            <w:r>
              <w:rPr>
                <w:rFonts w:ascii="游ゴシック" w:hAnsi="游ゴシック" w:eastAsia="游ゴシック"/>
                <w:b w:val="0"/>
                <w:i w:val="0"/>
                <w:sz w:val="17"/>
              </w:rPr>
              <w:t>35,000千円</w:t>
            </w:r>
          </w:p>
        </w:tc>
        <w:tc>
          <w:tcPr>
            <w:tcW w:type="dxa" w:w="1710"/>
            <w:vAlign w:val="center"/>
          </w:tcPr>
          <w:p>
            <w:pPr>
              <w:spacing w:before="20" w:after="20"/>
              <w:jc w:val="right"/>
            </w:pPr>
            <w:r>
              <w:rPr>
                <w:rFonts w:ascii="游ゴシック" w:hAnsi="游ゴシック" w:eastAsia="游ゴシック"/>
                <w:b w:val="0"/>
                <w:i w:val="0"/>
                <w:sz w:val="17"/>
              </w:rPr>
              <w:t>第9期計画</w:t>
            </w:r>
          </w:p>
        </w:tc>
        <w:tc>
          <w:tcPr>
            <w:tcW w:type="dxa" w:w="3165"/>
            <w:vAlign w:val="center"/>
          </w:tcPr>
          <w:p>
            <w:pPr>
              <w:spacing w:before="20" w:after="20"/>
              <w:jc w:val="right"/>
            </w:pPr>
            <w:r>
              <w:rPr>
                <w:rFonts w:ascii="游ゴシック" w:hAnsi="游ゴシック" w:eastAsia="游ゴシック"/>
                <w:b/>
                <w:i w:val="0"/>
                <w:sz w:val="17"/>
              </w:rPr>
              <w:t>基金が12,000千円しかなければ、同額の取崩はできません</w:t>
            </w:r>
          </w:p>
        </w:tc>
      </w:tr>
    </w:tbl>
    <w:p>
      <w:pPr>
        <w:spacing w:after="40"/>
      </w:pPr>
    </w:p>
    <w:p>
      <w:pPr>
        <w:spacing w:before="60" w:after="60"/>
      </w:pP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取崩の実績なのか年報の入力誤りなのかで、打てる手が変わります。</w:t>
      </w:r>
      <w:r>
        <w:rPr>
          <w:rFonts w:ascii="游ゴシック" w:hAnsi="游ゴシック" w:eastAsia="游ゴシック"/>
          <w:b/>
          <w:i w:val="0"/>
          <w:sz w:val="21"/>
        </w:rPr>
        <w:t>仮に繰越金144.2百万円の一部を基金に積み立てれば、第10期での取崩による引下げも選択肢に入ります。</w:t>
      </w:r>
    </w:p>
    <w:p>
      <w:pPr>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年報 様式4 の基金保有額は12,000千円ですが、令和4年度末の120,000千円から1桁減っています。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取崩実績なのか年報の入力誤りなのかで、打てる手が変わります</w:t>
      </w:r>
    </w:p>
    <w:p>
      <w:pPr>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spacing w:before="20" w:after="20"/>
            </w:pPr>
            <w:r>
              <w:rPr>
                <w:rFonts w:ascii="游ゴシック" w:hAnsi="游ゴシック" w:eastAsia="游ゴシック"/>
                <w:b/>
                <w:i w:val="0"/>
                <w:sz w:val="17"/>
              </w:rPr>
              <w:t>推進Ⅱ　公正・公平な給付（介護給付適正化）</w:t>
            </w:r>
          </w:p>
        </w:tc>
        <w:tc>
          <w:tcPr>
            <w:tcW w:type="dxa" w:w="1815"/>
            <w:vAlign w:val="center"/>
          </w:tcPr>
          <w:p>
            <w:pPr>
              <w:spacing w:before="20" w:after="20"/>
            </w:pPr>
            <w:r>
              <w:rPr>
                <w:rFonts w:ascii="游ゴシック" w:hAnsi="游ゴシック" w:eastAsia="游ゴシック"/>
                <w:b/>
                <w:i w:val="0"/>
                <w:sz w:val="17"/>
              </w:rPr>
              <w:t>84点</w:t>
            </w:r>
          </w:p>
        </w:tc>
        <w:tc>
          <w:tcPr>
            <w:tcW w:type="dxa" w:w="2209"/>
            <w:vAlign w:val="center"/>
          </w:tcPr>
          <w:p>
            <w:pPr>
              <w:spacing w:before="20" w:after="20"/>
            </w:pPr>
            <w:r>
              <w:rPr>
                <w:rFonts w:ascii="游ゴシック" w:hAnsi="游ゴシック" w:eastAsia="游ゴシック"/>
                <w:b w:val="0"/>
                <w:i w:val="0"/>
                <w:sz w:val="17"/>
              </w:rPr>
              <w:t>69.1点</w:t>
            </w:r>
          </w:p>
        </w:tc>
        <w:tc>
          <w:tcPr>
            <w:tcW w:type="dxa" w:w="2084"/>
            <w:vAlign w:val="center"/>
          </w:tcPr>
          <w:p>
            <w:pPr>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spacing w:before="20" w:after="20"/>
            </w:pPr>
            <w:r>
              <w:rPr>
                <w:rFonts w:ascii="游ゴシック" w:hAnsi="游ゴシック" w:eastAsia="游ゴシック"/>
                <w:b w:val="0"/>
                <w:i w:val="0"/>
                <w:sz w:val="17"/>
              </w:rPr>
              <w:t>活動（配点32・12点）</w:t>
            </w:r>
          </w:p>
        </w:tc>
        <w:tc>
          <w:tcPr>
            <w:tcW w:type="dxa" w:w="1396"/>
            <w:vAlign w:val="center"/>
          </w:tcPr>
          <w:p>
            <w:pPr>
              <w:spacing w:before="20" w:after="20"/>
              <w:jc w:val="right"/>
            </w:pPr>
            <w:r>
              <w:rPr>
                <w:rFonts w:ascii="游ゴシック" w:hAnsi="游ゴシック" w:eastAsia="游ゴシック"/>
                <w:b/>
                <w:i w:val="0"/>
                <w:sz w:val="17"/>
              </w:rPr>
              <w:t>8点</w:t>
            </w:r>
          </w:p>
        </w:tc>
        <w:tc>
          <w:tcPr>
            <w:tcW w:type="dxa" w:w="3700"/>
            <w:vAlign w:val="center"/>
          </w:tcPr>
          <w:p>
            <w:pPr>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1件だけ、認知症の設問で項目名の取り違えがありましたので訂正しました。</w:t>
      </w:r>
      <w:r>
        <w:rPr>
          <w:rFonts w:ascii="游ゴシック" w:hAnsi="游ゴシック" w:eastAsia="游ゴシック"/>
          <w:b/>
          <w:i w:val="0"/>
          <w:sz w:val="21"/>
        </w:rPr>
        <w:t>「認知症の方や家族を地域で支えていくために必要なこと」の最多54.1％は、「相談窓口の充実」ではなく「地域での見守りや声掛け」です（選択肢に「相談窓口の充実」はありません）。</w:t>
      </w:r>
      <w:r>
        <w:rPr>
          <w:rFonts w:ascii="游ゴシック" w:hAnsi="游ゴシック" w:eastAsia="游ゴシック"/>
          <w:b/>
          <w:i w:val="0"/>
          <w:sz w:val="21"/>
        </w:rPr>
        <w:t>素案・協議会資料・調査結果報告書の3点を直しました。</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815"/>
        <w:gridCol w:w="1355"/>
        <w:gridCol w:w="3613"/>
        <w:gridCol w:w="1834"/>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5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13"/>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815"/>
            <w:vAlign w:val="center"/>
          </w:tcPr>
          <w:p>
            <w:pPr>
              <w:spacing w:before="20" w:after="20"/>
            </w:pPr>
            <w:r>
              <w:rPr>
                <w:rFonts w:ascii="游ゴシック" w:hAnsi="游ゴシック" w:eastAsia="游ゴシック"/>
                <w:b/>
                <w:i w:val="0"/>
                <w:sz w:val="17"/>
              </w:rPr>
              <w:t>介護給付費準備基金の運用状況調書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834"/>
            <w:vAlign w:val="center"/>
          </w:tcPr>
          <w:p>
            <w:pPr>
              <w:spacing w:before="20" w:after="20"/>
            </w:pPr>
            <w:r>
              <w:rPr>
                <w:rFonts w:ascii="游ゴシック" w:hAnsi="游ゴシック" w:eastAsia="游ゴシック"/>
                <w:b w:val="0"/>
                <w:i w:val="0"/>
                <w:sz w:val="17"/>
              </w:rPr>
              <w:t>保険料（決定1・2）</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815"/>
            <w:vAlign w:val="center"/>
          </w:tcPr>
          <w:p>
            <w:pPr>
              <w:spacing w:before="20" w:after="20"/>
            </w:pPr>
            <w:r>
              <w:rPr>
                <w:rFonts w:ascii="游ゴシック" w:hAnsi="游ゴシック" w:eastAsia="游ゴシック"/>
                <w:b/>
                <w:i w:val="0"/>
                <w:sz w:val="17"/>
              </w:rPr>
              <w:t>令和7年度の介護保険特別会計決算</w:t>
            </w:r>
          </w:p>
        </w:tc>
        <w:tc>
          <w:tcPr>
            <w:tcW w:type="dxa" w:w="1355"/>
            <w:vAlign w:val="center"/>
          </w:tcPr>
          <w:p>
            <w:pPr>
              <w:spacing w:before="20" w:after="20"/>
            </w:pPr>
            <w:r>
              <w:rPr>
                <w:rFonts w:ascii="游ゴシック" w:hAnsi="游ゴシック" w:eastAsia="游ゴシック"/>
                <w:b/>
                <w:i w:val="0"/>
                <w:sz w:val="17"/>
              </w:rPr>
              <w:t>決算確定後すぐ</w:t>
            </w:r>
          </w:p>
        </w:tc>
        <w:tc>
          <w:tcPr>
            <w:tcW w:type="dxa" w:w="3613"/>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834"/>
            <w:vAlign w:val="center"/>
          </w:tcPr>
          <w:p>
            <w:pPr>
              <w:spacing w:before="20" w:after="20"/>
            </w:pPr>
            <w:r>
              <w:rPr>
                <w:rFonts w:ascii="游ゴシック" w:hAnsi="游ゴシック" w:eastAsia="游ゴシック"/>
                <w:b w:val="0"/>
                <w:i w:val="0"/>
                <w:sz w:val="17"/>
              </w:rPr>
              <w:t>保険料・財政の記述</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81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834"/>
            <w:vAlign w:val="center"/>
          </w:tcPr>
          <w:p>
            <w:pPr>
              <w:spacing w:before="20" w:after="20"/>
            </w:pPr>
            <w:r>
              <w:rPr>
                <w:rFonts w:ascii="游ゴシック" w:hAnsi="游ゴシック" w:eastAsia="游ゴシック"/>
                <w:b w:val="0"/>
                <w:i w:val="0"/>
                <w:sz w:val="17"/>
              </w:rPr>
              <w:t>見込量・計画本文</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815"/>
            <w:vAlign w:val="center"/>
          </w:tcPr>
          <w:p>
            <w:pPr>
              <w:spacing w:before="20" w:after="20"/>
            </w:pPr>
            <w:r>
              <w:rPr>
                <w:rFonts w:ascii="游ゴシック" w:hAnsi="游ゴシック" w:eastAsia="游ゴシック"/>
                <w:b/>
                <w:i w:val="0"/>
                <w:sz w:val="17"/>
              </w:rPr>
              <w:t>地域支援事業費の事業別内訳</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834"/>
            <w:vAlign w:val="center"/>
          </w:tcPr>
          <w:p>
            <w:pPr>
              <w:spacing w:before="20" w:after="20"/>
            </w:pPr>
            <w:r>
              <w:rPr>
                <w:rFonts w:ascii="游ゴシック" w:hAnsi="游ゴシック" w:eastAsia="游ゴシック"/>
                <w:b w:val="0"/>
                <w:i w:val="0"/>
                <w:sz w:val="17"/>
              </w:rPr>
              <w:t>地域支援事業の量と費用</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815"/>
            <w:vAlign w:val="center"/>
          </w:tcPr>
          <w:p>
            <w:pPr>
              <w:spacing w:before="20" w:after="20"/>
            </w:pPr>
            <w:r>
              <w:rPr>
                <w:rFonts w:ascii="游ゴシック" w:hAnsi="游ゴシック" w:eastAsia="游ゴシック"/>
                <w:b/>
                <w:i w:val="0"/>
                <w:sz w:val="17"/>
              </w:rPr>
              <w:t>総合事業の実施状況</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834"/>
            <w:vAlign w:val="center"/>
          </w:tcPr>
          <w:p>
            <w:pPr>
              <w:spacing w:before="20" w:after="20"/>
            </w:pPr>
            <w:r>
              <w:rPr>
                <w:rFonts w:ascii="游ゴシック" w:hAnsi="游ゴシック" w:eastAsia="游ゴシック"/>
                <w:b w:val="0"/>
                <w:i w:val="0"/>
                <w:sz w:val="17"/>
              </w:rPr>
              <w:t>総合事業の見込量</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815"/>
            <w:vAlign w:val="center"/>
          </w:tcPr>
          <w:p>
            <w:pPr>
              <w:spacing w:before="20" w:after="20"/>
            </w:pPr>
            <w:r>
              <w:rPr>
                <w:rFonts w:ascii="游ゴシック" w:hAnsi="游ゴシック" w:eastAsia="游ゴシック"/>
                <w:b w:val="0"/>
                <w:i w:val="0"/>
                <w:sz w:val="17"/>
              </w:rPr>
              <w:t>成果指標の現状値 17項目</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834"/>
            <w:vAlign w:val="center"/>
          </w:tcPr>
          <w:p>
            <w:pPr>
              <w:spacing w:before="20" w:after="20"/>
            </w:pPr>
            <w:r>
              <w:rPr>
                <w:rFonts w:ascii="游ゴシック" w:hAnsi="游ゴシック" w:eastAsia="游ゴシック"/>
                <w:b w:val="0"/>
                <w:i w:val="0"/>
                <w:sz w:val="17"/>
              </w:rPr>
              <w:t>成果指標の目標値</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815"/>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834"/>
            <w:vAlign w:val="center"/>
          </w:tcPr>
          <w:p>
            <w:pPr>
              <w:spacing w:before="20" w:after="20"/>
            </w:pPr>
            <w:r>
              <w:rPr>
                <w:rFonts w:ascii="游ゴシック" w:hAnsi="游ゴシック" w:eastAsia="游ゴシック"/>
                <w:b w:val="0"/>
                <w:i w:val="0"/>
                <w:sz w:val="17"/>
              </w:rPr>
              <w:t>必要利用定員総数（法117条2項1号）</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815"/>
            <w:vAlign w:val="center"/>
          </w:tcPr>
          <w:p>
            <w:pPr>
              <w:spacing w:before="20" w:after="20"/>
            </w:pPr>
            <w:r>
              <w:rPr>
                <w:rFonts w:ascii="游ゴシック" w:hAnsi="游ゴシック" w:eastAsia="游ゴシック"/>
                <w:b/>
                <w:i w:val="0"/>
                <w:sz w:val="17"/>
              </w:rPr>
              <w:t>総合事業上限額算定の手引き（Excel）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834"/>
            <w:vAlign w:val="center"/>
          </w:tcPr>
          <w:p>
            <w:pPr>
              <w:spacing w:before="20" w:after="20"/>
            </w:pPr>
            <w:r>
              <w:rPr>
                <w:rFonts w:ascii="游ゴシック" w:hAnsi="游ゴシック" w:eastAsia="游ゴシック"/>
                <w:b w:val="0"/>
                <w:i w:val="0"/>
                <w:sz w:val="17"/>
              </w:rPr>
              <w:t>総合事業費の上限額の確認</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815"/>
            <w:vAlign w:val="center"/>
          </w:tcPr>
          <w:p>
            <w:pPr>
              <w:spacing w:before="20" w:after="20"/>
            </w:pPr>
            <w:r>
              <w:rPr>
                <w:rFonts w:ascii="游ゴシック" w:hAnsi="游ゴシック" w:eastAsia="游ゴシック"/>
                <w:b/>
                <w:i w:val="0"/>
                <w:sz w:val="17"/>
              </w:rPr>
              <w:t>地域支援事業交付金事業実績報告書（Excel）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834"/>
            <w:vAlign w:val="center"/>
          </w:tcPr>
          <w:p>
            <w:pPr>
              <w:spacing w:before="20" w:after="20"/>
            </w:pPr>
            <w:r>
              <w:rPr>
                <w:rFonts w:ascii="游ゴシック" w:hAnsi="游ゴシック" w:eastAsia="游ゴシック"/>
                <w:b w:val="0"/>
                <w:i w:val="0"/>
                <w:sz w:val="17"/>
              </w:rPr>
              <w:t>サービス・活動別の事業費</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815"/>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834"/>
            <w:vAlign w:val="center"/>
          </w:tcPr>
          <w:p>
            <w:pPr>
              <w:spacing w:before="20" w:after="20"/>
            </w:pPr>
            <w:r>
              <w:rPr>
                <w:rFonts w:ascii="游ゴシック" w:hAnsi="游ゴシック" w:eastAsia="游ゴシック"/>
                <w:b w:val="0"/>
                <w:i w:val="0"/>
                <w:sz w:val="17"/>
              </w:rPr>
              <w:t>多様なサービス・活動の実績</w:t>
            </w:r>
          </w:p>
        </w:tc>
      </w:tr>
      <w:tr>
        <w:tc>
          <w:tcPr>
            <w:tcW w:type="dxa" w:w="1134"/>
            <w:vAlign w:val="center"/>
          </w:tcPr>
          <w:p>
            <w:pPr>
              <w:spacing w:before="20" w:after="20"/>
            </w:pPr>
            <w:r>
              <w:rPr>
                <w:rFonts w:ascii="游ゴシック" w:hAnsi="游ゴシック" w:eastAsia="游ゴシック"/>
                <w:b w:val="0"/>
                <w:i w:val="0"/>
                <w:sz w:val="17"/>
              </w:rPr>
              <w:t>11</w:t>
            </w:r>
          </w:p>
        </w:tc>
        <w:tc>
          <w:tcPr>
            <w:tcW w:type="dxa" w:w="1815"/>
            <w:vAlign w:val="center"/>
          </w:tcPr>
          <w:p>
            <w:pPr>
              <w:spacing w:before="20" w:after="20"/>
            </w:pPr>
            <w:r>
              <w:rPr>
                <w:rFonts w:ascii="游ゴシック" w:hAnsi="游ゴシック" w:eastAsia="游ゴシック"/>
                <w:b/>
                <w:i w:val="0"/>
                <w:sz w:val="17"/>
              </w:rPr>
              <w:t>令和6年度のケアプラン点検の実施件数</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834"/>
            <w:vAlign w:val="center"/>
          </w:tcPr>
          <w:p>
            <w:pPr>
              <w:spacing w:before="20" w:after="20"/>
            </w:pPr>
            <w:r>
              <w:rPr>
                <w:rFonts w:ascii="游ゴシック" w:hAnsi="游ゴシック" w:eastAsia="游ゴシック"/>
                <w:b w:val="0"/>
                <w:i w:val="0"/>
                <w:sz w:val="17"/>
              </w:rPr>
              <w:t>決定10（点検件数の目標）</w:t>
            </w:r>
          </w:p>
        </w:tc>
      </w:tr>
      <w:tr>
        <w:tc>
          <w:tcPr>
            <w:tcW w:type="dxa" w:w="1134"/>
            <w:vAlign w:val="center"/>
          </w:tcPr>
          <w:p>
            <w:pPr>
              <w:spacing w:before="20" w:after="20"/>
            </w:pPr>
            <w:r>
              <w:rPr>
                <w:rFonts w:ascii="游ゴシック" w:hAnsi="游ゴシック" w:eastAsia="游ゴシック"/>
                <w:b w:val="0"/>
                <w:i w:val="0"/>
                <w:sz w:val="17"/>
              </w:rPr>
              <w:t>12</w:t>
            </w:r>
          </w:p>
        </w:tc>
        <w:tc>
          <w:tcPr>
            <w:tcW w:type="dxa" w:w="1815"/>
            <w:vAlign w:val="center"/>
          </w:tcPr>
          <w:p>
            <w:pPr>
              <w:spacing w:before="20" w:after="20"/>
            </w:pPr>
            <w:r>
              <w:rPr>
                <w:rFonts w:ascii="游ゴシック" w:hAnsi="游ゴシック" w:eastAsia="游ゴシック"/>
                <w:b/>
                <w:i w:val="0"/>
                <w:sz w:val="17"/>
              </w:rPr>
              <w:t>要介護認定の適正化の実施の内容</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834"/>
            <w:vAlign w:val="center"/>
          </w:tcPr>
          <w:p>
            <w:pPr>
              <w:spacing w:before="20" w:after="20"/>
            </w:pPr>
            <w:r>
              <w:rPr>
                <w:rFonts w:ascii="游ゴシック" w:hAnsi="游ゴシック" w:eastAsia="游ゴシック"/>
                <w:b w:val="0"/>
                <w:i w:val="0"/>
                <w:sz w:val="17"/>
              </w:rPr>
              <w:t>主要3事業の定量的な目標</w:t>
            </w:r>
          </w:p>
        </w:tc>
      </w:tr>
      <w:tr>
        <w:tc>
          <w:tcPr>
            <w:tcW w:type="dxa" w:w="1134"/>
            <w:vAlign w:val="center"/>
          </w:tcPr>
          <w:p>
            <w:pPr>
              <w:spacing w:before="20" w:after="20"/>
            </w:pPr>
            <w:r>
              <w:rPr>
                <w:rFonts w:ascii="游ゴシック" w:hAnsi="游ゴシック" w:eastAsia="游ゴシック"/>
                <w:b w:val="0"/>
                <w:i w:val="0"/>
                <w:sz w:val="17"/>
              </w:rPr>
              <w:t>13</w:t>
            </w:r>
          </w:p>
        </w:tc>
        <w:tc>
          <w:tcPr>
            <w:tcW w:type="dxa" w:w="1815"/>
            <w:vAlign w:val="center"/>
          </w:tcPr>
          <w:p>
            <w:pPr>
              <w:spacing w:before="20" w:after="20"/>
            </w:pPr>
            <w:r>
              <w:rPr>
                <w:rFonts w:ascii="游ゴシック" w:hAnsi="游ゴシック" w:eastAsia="游ゴシック"/>
                <w:b/>
                <w:i w:val="0"/>
                <w:sz w:val="17"/>
              </w:rPr>
              <w:t>令和8年度交付金の該当状況調査票の控え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834"/>
            <w:vAlign w:val="center"/>
          </w:tcPr>
          <w:p>
            <w:pPr>
              <w:spacing w:before="20" w:after="20"/>
            </w:pPr>
            <w:r>
              <w:rPr>
                <w:rFonts w:ascii="游ゴシック" w:hAnsi="游ゴシック" w:eastAsia="游ゴシック"/>
                <w:b w:val="0"/>
                <w:i w:val="0"/>
                <w:sz w:val="17"/>
              </w:rPr>
              <w:t>計画の記載（交付金の68点の維持）</w:t>
            </w:r>
          </w:p>
        </w:tc>
      </w:tr>
      <w:tr>
        <w:tc>
          <w:tcPr>
            <w:tcW w:type="dxa" w:w="1134"/>
            <w:vAlign w:val="center"/>
          </w:tcPr>
          <w:p>
            <w:pPr>
              <w:spacing w:before="20" w:after="20"/>
            </w:pPr>
            <w:r>
              <w:rPr>
                <w:rFonts w:ascii="游ゴシック" w:hAnsi="游ゴシック" w:eastAsia="游ゴシック"/>
                <w:b w:val="0"/>
                <w:i w:val="0"/>
                <w:sz w:val="17"/>
              </w:rPr>
              <w:t>14</w:t>
            </w:r>
          </w:p>
        </w:tc>
        <w:tc>
          <w:tcPr>
            <w:tcW w:type="dxa" w:w="1815"/>
            <w:vAlign w:val="center"/>
          </w:tcPr>
          <w:p>
            <w:pPr>
              <w:spacing w:before="20" w:after="20"/>
            </w:pPr>
            <w:r>
              <w:rPr>
                <w:rFonts w:ascii="游ゴシック" w:hAnsi="游ゴシック" w:eastAsia="游ゴシック"/>
                <w:b/>
                <w:i w:val="0"/>
                <w:sz w:val="17"/>
              </w:rPr>
              <w:t>訪問型サービスB・通所型サービスBの実態</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834"/>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34"/>
            <w:vAlign w:val="center"/>
          </w:tcPr>
          <w:p>
            <w:pPr>
              <w:spacing w:before="20" w:after="20"/>
            </w:pPr>
            <w:r>
              <w:rPr>
                <w:rFonts w:ascii="游ゴシック" w:hAnsi="游ゴシック" w:eastAsia="游ゴシック"/>
                <w:b w:val="0"/>
                <w:i w:val="0"/>
                <w:sz w:val="17"/>
              </w:rPr>
              <w:t>15</w:t>
            </w:r>
          </w:p>
        </w:tc>
        <w:tc>
          <w:tcPr>
            <w:tcW w:type="dxa" w:w="1815"/>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834"/>
            <w:vAlign w:val="center"/>
          </w:tcPr>
          <w:p>
            <w:pPr>
              <w:spacing w:before="20" w:after="20"/>
            </w:pPr>
            <w:r>
              <w:rPr>
                <w:rFonts w:ascii="游ゴシック" w:hAnsi="游ゴシック" w:eastAsia="游ゴシック"/>
                <w:b w:val="0"/>
                <w:i w:val="0"/>
                <w:sz w:val="17"/>
              </w:rPr>
              <w:t>決定9（位置づけ）・交付金32点の維持</w:t>
            </w:r>
          </w:p>
        </w:tc>
      </w:tr>
      <w:tr>
        <w:tc>
          <w:tcPr>
            <w:tcW w:type="dxa" w:w="1134"/>
            <w:vAlign w:val="center"/>
          </w:tcPr>
          <w:p>
            <w:pPr>
              <w:spacing w:before="20" w:after="20"/>
            </w:pPr>
            <w:r>
              <w:rPr>
                <w:rFonts w:ascii="游ゴシック" w:hAnsi="游ゴシック" w:eastAsia="游ゴシック"/>
                <w:b w:val="0"/>
                <w:i w:val="0"/>
                <w:sz w:val="17"/>
              </w:rPr>
              <w:t>16</w:t>
            </w:r>
          </w:p>
        </w:tc>
        <w:tc>
          <w:tcPr>
            <w:tcW w:type="dxa" w:w="1815"/>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834"/>
            <w:vAlign w:val="center"/>
          </w:tcPr>
          <w:p>
            <w:pPr>
              <w:spacing w:before="20" w:after="20"/>
            </w:pPr>
            <w:r>
              <w:rPr>
                <w:rFonts w:ascii="游ゴシック" w:hAnsi="游ゴシック" w:eastAsia="游ゴシック"/>
                <w:b w:val="0"/>
                <w:i w:val="0"/>
                <w:sz w:val="17"/>
              </w:rPr>
              <w:t>見込量（地域密着型サービス）</w:t>
            </w:r>
          </w:p>
        </w:tc>
      </w:tr>
      <w:tr>
        <w:tc>
          <w:tcPr>
            <w:tcW w:type="dxa" w:w="1134"/>
            <w:vAlign w:val="center"/>
          </w:tcPr>
          <w:p>
            <w:pPr>
              <w:spacing w:before="20" w:after="20"/>
            </w:pPr>
            <w:r>
              <w:rPr>
                <w:rFonts w:ascii="游ゴシック" w:hAnsi="游ゴシック" w:eastAsia="游ゴシック"/>
                <w:b w:val="0"/>
                <w:i w:val="0"/>
                <w:sz w:val="17"/>
              </w:rPr>
              <w:t>17</w:t>
            </w:r>
          </w:p>
        </w:tc>
        <w:tc>
          <w:tcPr>
            <w:tcW w:type="dxa" w:w="1815"/>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9月30日にお送りいただいた地域分析・検討シートにより、県平均・全国平均との比較はできるようになりました</w:t>
            </w:r>
            <w:r>
              <w:rPr>
                <w:rFonts w:ascii="游ゴシック" w:hAnsi="游ゴシック" w:eastAsia="游ゴシック"/>
                <w:b w:val="0"/>
                <w:i w:val="0"/>
                <w:sz w:val="17"/>
              </w:rPr>
              <w:t>（本町22.70％・県19.91％・全国20.32％）。</w:t>
            </w:r>
            <w:r>
              <w:rPr>
                <w:rFonts w:ascii="游ゴシック" w:hAnsi="游ゴシック" w:eastAsia="游ゴシック"/>
                <w:b/>
                <w:i w:val="0"/>
                <w:sz w:val="17"/>
              </w:rPr>
              <w:t>残っているのは県内での順位です。</w:t>
            </w:r>
            <w:r>
              <w:rPr>
                <w:rFonts w:ascii="游ゴシック" w:hAnsi="游ゴシック" w:eastAsia="游ゴシック"/>
                <w:b w:val="0"/>
                <w:i w:val="0"/>
                <w:sz w:val="17"/>
              </w:rPr>
              <w:t>見える化の地域別画面（B4系）の出力でお願いします</w:t>
            </w:r>
          </w:p>
        </w:tc>
        <w:tc>
          <w:tcPr>
            <w:tcW w:type="dxa" w:w="1834"/>
            <w:vAlign w:val="center"/>
          </w:tcPr>
          <w:p>
            <w:pPr>
              <w:spacing w:before="20" w:after="20"/>
            </w:pPr>
            <w:r>
              <w:rPr>
                <w:rFonts w:ascii="游ゴシック" w:hAnsi="游ゴシック" w:eastAsia="游ゴシック"/>
                <w:b w:val="0"/>
                <w:i w:val="0"/>
                <w:sz w:val="17"/>
              </w:rPr>
              <w:t>第2章3（全国・県内との比較）、地域分析・検討シート</w:t>
            </w:r>
          </w:p>
        </w:tc>
      </w:tr>
      <w:tr>
        <w:tc>
          <w:tcPr>
            <w:tcW w:type="dxa" w:w="1134"/>
            <w:vAlign w:val="center"/>
          </w:tcPr>
          <w:p>
            <w:pPr>
              <w:spacing w:before="20" w:after="20"/>
            </w:pPr>
            <w:r>
              <w:rPr>
                <w:rFonts w:ascii="游ゴシック" w:hAnsi="游ゴシック" w:eastAsia="游ゴシック"/>
                <w:b w:val="0"/>
                <w:i w:val="0"/>
                <w:sz w:val="17"/>
              </w:rPr>
              <w:t>18</w:t>
            </w:r>
          </w:p>
        </w:tc>
        <w:tc>
          <w:tcPr>
            <w:tcW w:type="dxa" w:w="1815"/>
            <w:vAlign w:val="center"/>
          </w:tcPr>
          <w:p>
            <w:pPr>
              <w:spacing w:before="20" w:after="20"/>
            </w:pPr>
            <w:r>
              <w:rPr>
                <w:rFonts w:ascii="游ゴシック" w:hAnsi="游ゴシック" w:eastAsia="游ゴシック"/>
                <w:b w:val="0"/>
                <w:i w:val="0"/>
                <w:sz w:val="17"/>
              </w:rPr>
              <w:t>広域連合分の該当状況調査票集計表</w:t>
            </w:r>
          </w:p>
        </w:tc>
        <w:tc>
          <w:tcPr>
            <w:tcW w:type="dxa" w:w="1355"/>
            <w:vAlign w:val="center"/>
          </w:tcPr>
          <w:p>
            <w:pPr>
              <w:spacing w:before="20" w:after="20"/>
            </w:pPr>
            <w:r>
              <w:rPr>
                <w:rFonts w:ascii="游ゴシック" w:hAnsi="游ゴシック" w:eastAsia="游ゴシック"/>
                <w:b w:val="0"/>
                <w:i w:val="0"/>
                <w:sz w:val="17"/>
              </w:rPr>
              <w:t>随時</w:t>
            </w:r>
          </w:p>
        </w:tc>
        <w:tc>
          <w:tcPr>
            <w:tcW w:type="dxa" w:w="3613"/>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834"/>
            <w:vAlign w:val="center"/>
          </w:tcPr>
          <w:p>
            <w:pPr>
              <w:spacing w:before="20" w:after="20"/>
            </w:pPr>
            <w:r>
              <w:rPr>
                <w:rFonts w:ascii="游ゴシック" w:hAnsi="游ゴシック" w:eastAsia="游ゴシック"/>
                <w:b w:val="0"/>
                <w:i w:val="0"/>
                <w:sz w:val="17"/>
              </w:rPr>
              <w:t>交付金の取りまとめ（順位の記載）</w:t>
            </w:r>
          </w:p>
        </w:tc>
      </w:tr>
      <w:tr>
        <w:tc>
          <w:tcPr>
            <w:tcW w:type="dxa" w:w="1134"/>
            <w:vAlign w:val="center"/>
          </w:tcPr>
          <w:p>
            <w:pPr>
              <w:spacing w:before="20" w:after="20"/>
            </w:pPr>
            <w:r>
              <w:rPr>
                <w:rFonts w:ascii="游ゴシック" w:hAnsi="游ゴシック" w:eastAsia="游ゴシック"/>
                <w:b w:val="0"/>
                <w:i w:val="0"/>
                <w:sz w:val="17"/>
              </w:rPr>
              <w:t>19</w:t>
            </w:r>
          </w:p>
        </w:tc>
        <w:tc>
          <w:tcPr>
            <w:tcW w:type="dxa" w:w="1815"/>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834"/>
            <w:vAlign w:val="center"/>
          </w:tcPr>
          <w:p>
            <w:pPr>
              <w:spacing w:before="20" w:after="20"/>
            </w:pPr>
            <w:r>
              <w:rPr>
                <w:rFonts w:ascii="游ゴシック" w:hAnsi="游ゴシック" w:eastAsia="游ゴシック"/>
                <w:b w:val="0"/>
                <w:i w:val="0"/>
                <w:sz w:val="17"/>
              </w:rPr>
              <w:t>計画素案 第2章2（調査結果の概要）</w:t>
            </w:r>
          </w:p>
        </w:tc>
      </w:tr>
      <w:tr>
        <w:tc>
          <w:tcPr>
            <w:tcW w:type="dxa" w:w="1134"/>
            <w:vAlign w:val="center"/>
          </w:tcPr>
          <w:p>
            <w:pPr>
              <w:spacing w:before="20" w:after="20"/>
            </w:pPr>
            <w:r>
              <w:rPr>
                <w:rFonts w:ascii="游ゴシック" w:hAnsi="游ゴシック" w:eastAsia="游ゴシック"/>
                <w:b w:val="0"/>
                <w:i w:val="0"/>
                <w:sz w:val="17"/>
              </w:rPr>
              <w:t>20</w:t>
            </w:r>
          </w:p>
        </w:tc>
        <w:tc>
          <w:tcPr>
            <w:tcW w:type="dxa" w:w="1815"/>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地域分析・検討シートで「在宅が伸びていない主因は利用に結びつかないこと」という仮説を立てました。</w:t>
            </w:r>
            <w:r>
              <w:rPr>
                <w:rFonts w:ascii="游ゴシック" w:hAnsi="游ゴシック" w:eastAsia="游ゴシック"/>
                <w:b/>
                <w:i w:val="0"/>
                <w:sz w:val="17"/>
              </w:rPr>
              <w:t>その検証には、サービスを利用していない154人がどういう状態の方なのか（要介護度別・世帯構成別）が要ります。</w:t>
            </w:r>
            <w:r>
              <w:rPr>
                <w:rFonts w:ascii="游ゴシック" w:hAnsi="游ゴシック" w:eastAsia="游ゴシック"/>
                <w:b w:val="0"/>
                <w:i w:val="0"/>
                <w:sz w:val="17"/>
              </w:rPr>
              <w:t>単純集計表からは作れません</w:t>
            </w:r>
          </w:p>
        </w:tc>
        <w:tc>
          <w:tcPr>
            <w:tcW w:type="dxa" w:w="1834"/>
            <w:vAlign w:val="center"/>
          </w:tcPr>
          <w:p>
            <w:pPr>
              <w:spacing w:before="20" w:after="20"/>
            </w:pPr>
            <w:r>
              <w:rPr>
                <w:rFonts w:ascii="游ゴシック" w:hAnsi="游ゴシック" w:eastAsia="游ゴシック"/>
                <w:b w:val="0"/>
                <w:i w:val="0"/>
                <w:sz w:val="17"/>
              </w:rPr>
              <w:t>地域分析・検討シート（受給率の検証方法）、計画素案 第2章2</w:t>
            </w:r>
          </w:p>
        </w:tc>
      </w:tr>
      <w:tr>
        <w:tc>
          <w:tcPr>
            <w:tcW w:type="dxa" w:w="1134"/>
            <w:vAlign w:val="center"/>
          </w:tcPr>
          <w:p>
            <w:pPr>
              <w:spacing w:before="20" w:after="20"/>
            </w:pPr>
            <w:r>
              <w:rPr>
                <w:rFonts w:ascii="游ゴシック" w:hAnsi="游ゴシック" w:eastAsia="游ゴシック"/>
                <w:b w:val="0"/>
                <w:i w:val="0"/>
                <w:sz w:val="17"/>
              </w:rPr>
              <w:t>21</w:t>
            </w:r>
          </w:p>
        </w:tc>
        <w:tc>
          <w:tcPr>
            <w:tcW w:type="dxa" w:w="1815"/>
            <w:vAlign w:val="center"/>
          </w:tcPr>
          <w:p>
            <w:pPr>
              <w:spacing w:before="20" w:after="20"/>
            </w:pPr>
            <w:r>
              <w:rPr>
                <w:rFonts w:ascii="游ゴシック" w:hAnsi="游ゴシック" w:eastAsia="游ゴシック"/>
                <w:b/>
                <w:i w:val="0"/>
                <w:sz w:val="17"/>
              </w:rPr>
              <w:t>訪問介護事業所の従事者数・受入可否・稼働率</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訪問介護の受給者1人あたり給付月額が全国の52％、利用回数が50％と、在宅サービスの中で最も低くなっています。</w:t>
            </w:r>
            <w:r>
              <w:rPr>
                <w:rFonts w:ascii="游ゴシック" w:hAnsi="游ゴシック" w:eastAsia="游ゴシック"/>
                <w:b/>
                <w:i w:val="0"/>
                <w:sz w:val="17"/>
              </w:rPr>
              <w:t>供給が足りないのか、ケアプランに組み込まれにくいのかで対応策が変わります。</w:t>
            </w:r>
            <w:r>
              <w:rPr>
                <w:rFonts w:ascii="游ゴシック" w:hAnsi="游ゴシック" w:eastAsia="游ゴシック"/>
                <w:b w:val="0"/>
                <w:i w:val="0"/>
                <w:sz w:val="17"/>
              </w:rPr>
              <w:t>見える化の事業所別指標（令和8年7月の新機能）でも一部確かめられます</w:t>
            </w:r>
          </w:p>
        </w:tc>
        <w:tc>
          <w:tcPr>
            <w:tcW w:type="dxa" w:w="1834"/>
            <w:vAlign w:val="center"/>
          </w:tcPr>
          <w:p>
            <w:pPr>
              <w:spacing w:before="20" w:after="20"/>
            </w:pPr>
            <w:r>
              <w:rPr>
                <w:rFonts w:ascii="游ゴシック" w:hAnsi="游ゴシック" w:eastAsia="游ゴシック"/>
                <w:b w:val="0"/>
                <w:i w:val="0"/>
                <w:sz w:val="17"/>
              </w:rPr>
              <w:t>地域分析・検討シート（給付月額の検証方法）、計画素案 第2章5</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12月までに印刷の発注をしないと2月の校了に間に合わない</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spacing w:before="20" w:after="20"/>
            </w:pPr>
            <w:r>
              <w:rPr>
                <w:rFonts w:ascii="游ゴシック" w:hAnsi="游ゴシック" w:eastAsia="游ゴシック"/>
                <w:b w:val="0"/>
                <w:i w:val="0"/>
                <w:sz w:val="17"/>
              </w:rPr>
              <w:t>令和9年2月</w:t>
            </w:r>
          </w:p>
        </w:tc>
        <w:tc>
          <w:tcPr>
            <w:tcW w:type="dxa" w:w="3075"/>
            <w:vAlign w:val="center"/>
          </w:tcPr>
          <w:p>
            <w:pPr>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w:t>
      </w:r>
      <w:r>
        <w:rPr>
          <w:rFonts w:ascii="游ゴシック" w:hAnsi="游ゴシック" w:eastAsia="游ゴシック"/>
          <w:b/>
          <w:i w:val="0"/>
          <w:sz w:val="21"/>
        </w:rPr>
        <w:t>12月までに印刷業者の確保が要ります。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spacing w:before="20" w:after="20"/>
            </w:pPr>
            <w:r>
              <w:rPr>
                <w:rFonts w:ascii="游ゴシック" w:hAnsi="游ゴシック" w:eastAsia="游ゴシック"/>
                <w:b/>
                <w:i w:val="0"/>
                <w:sz w:val="17"/>
              </w:rPr>
              <w:t>未決</w:t>
            </w:r>
          </w:p>
        </w:tc>
        <w:tc>
          <w:tcPr>
            <w:tcW w:type="dxa" w:w="3973"/>
            <w:vAlign w:val="center"/>
          </w:tcPr>
          <w:p>
            <w:pPr>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