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（第9版　自給率・地域差指数・保険料・人口の受領と人口推計の基礎の決定を反映）</w:t>
      </w:r>
    </w:p>
    <w:p>
      <w:pPr>
        <w:spacing w:after="280"/>
        <w:jc w:val="right"/>
      </w:pPr>
      <w:r>
        <w:rPr>
          <w:rFonts w:ascii="游ゴシック" w:hAnsi="游ゴシック" w:eastAsia="游ゴシック"/>
          <w:b w:val="0"/>
          <w:sz w:val="21"/>
        </w:rPr>
        <w:t>令和8年7月31日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その結果、修正指示は66件（うち第1回委員会前に対応すべきもの20件）となり、そのうち発注者へのご確認が必要なものが44件ございます。</w:t>
      </w:r>
    </w:p>
    <w:p>
      <w:pPr>
        <w:spacing w:after="200"/>
      </w:pPr>
      <w:r>
        <w:rPr>
          <w:rFonts w:ascii="游ゴシック" w:hAnsi="游ゴシック" w:eastAsia="游ゴシック"/>
          <w:b w:val="0"/>
          <w:sz w:val="21"/>
        </w:rPr>
        <w:t>本書では、第1回委員会でご決定いただきたい事項8件、事務局にてご確認いただきたい事項22件、ご提供をお願いする資料24件に整理しております。</w:t>
      </w:r>
    </w:p>
    <w:p>
      <w:pPr>
        <w:spacing w:after="200"/>
      </w:pPr>
      <w:r>
        <w:rPr>
          <w:rFonts w:ascii="游ゴシック" w:hAnsi="游ゴシック" w:eastAsia="游ゴシック"/>
          <w:b w:val="0"/>
          <w:sz w:val="21"/>
        </w:rPr>
        <w:t>なお、その後の資料の受領及びご決定により事項が増減しているため、現時点の必要事項は別冊の「必要事項の一覧」（8シート）に集約しております。本書と重複する事項は同表に統合しておりますので、以後の管理は同表によりお願いいたし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200"/>
      </w:pPr>
      <w:r>
        <w:rPr>
          <w:rFonts w:ascii="游ゴシック" w:hAnsi="游ゴシック" w:eastAsia="游ゴシック"/>
          <w:b w:val="0"/>
          <w:sz w:val="21"/>
        </w:rPr>
        <w:t>さらに令和8年7月29日に、見える化システムのK系列（サービス提供事業所数　全28サービス種別）、M系列（従事者数　13サービス）、W系列（保険者機能強化推進交付金等の評価指標）をご提供いただきました。あわせて、δ系列（介護サービス自給率）、H1・H2（介護人材の必要数）、J系列（認知症）、L系列（医療機関・看取り・診療報酬側の連携）についてデータ登録がなく出力できない旨をご教示いただきました。これにより、基本指針の新別表11事項への対応状況は「対応済み2・一部対応2・重大な課題2・未対応5」から「対応済み2・一部対応4・重大な課題1・未対応4」へ改善し、残る未取得分についても代替手段を特定できました（下記３）。</w:t>
      </w:r>
    </w:p>
    <w:p>
      <w:pPr>
        <w:spacing w:after="200"/>
      </w:pPr>
      <w:r>
        <w:rPr>
          <w:rFonts w:ascii="游ゴシック" w:hAnsi="游ゴシック" w:eastAsia="游ゴシック"/>
          <w:b w:val="0"/>
          <w:sz w:val="21"/>
        </w:rPr>
        <w:t>この追加データから、次の3点が新たに判明いたしました。第一に、重度者の在宅生活を24時間支える3サービス（定期巡回・随時対応型訪問介護看護、夜間対応型訪問介護、看護小規模多機能型居宅介護）が制度創設以来13年間、管内に1事業所も存在しないことです（下記１(8)）。第二に、保険者機能強化推進交付金等の総合得点が332.0点で全国平均422.4点の78.6％にとどまり、特に成果指標群が全国の123.5％と高い一方、活動指標群が全国の23.2％と低いことです（下記２の20・21）。第三に、国が算定している性・年齢調整済み要介護2以上の認定率（W144）がH01のデータ源として使用でき、これまでご相談しておりました見える化B5-aの2系列の選択問題が解消することです（下記１(2)）。</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第1回委員会でご決定いただきたい事項（8件）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このたびW144（保険者機能強化推進交付金 評価指標Ⅳ-5）をご提供いただき、国が全保険者を共通の方法で算定した「性・年齢調整済み要介護2以上の認定率」が得られることが判明いたしました。第3の案としてご検討いただきたく存じます。</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tcPr>
          <w:p>
            <w:r/>
            <w:r>
              <w:rPr>
                <w:rFonts w:ascii="游ゴシック" w:hAnsi="游ゴシック" w:eastAsia="游ゴシック"/>
                <w:b/>
                <w:sz w:val="18"/>
              </w:rPr>
              <w:t>系列</w:t>
            </w:r>
          </w:p>
        </w:tc>
        <w:tc>
          <w:tcPr>
            <w:tcW w:type="dxa" w:w="1134"/>
          </w:tcPr>
          <w:p>
            <w:r/>
            <w:r>
              <w:rPr>
                <w:rFonts w:ascii="游ゴシック" w:hAnsi="游ゴシック" w:eastAsia="游ゴシック"/>
                <w:b/>
                <w:sz w:val="18"/>
              </w:rPr>
              <w:t>大雪</w:t>
            </w:r>
          </w:p>
        </w:tc>
        <w:tc>
          <w:tcPr>
            <w:tcW w:type="dxa" w:w="1134"/>
          </w:tcPr>
          <w:p>
            <w:r/>
            <w:r>
              <w:rPr>
                <w:rFonts w:ascii="游ゴシック" w:hAnsi="游ゴシック" w:eastAsia="游ゴシック"/>
                <w:b/>
                <w:sz w:val="18"/>
              </w:rPr>
              <w:t>北海道</w:t>
            </w:r>
          </w:p>
        </w:tc>
        <w:tc>
          <w:tcPr>
            <w:tcW w:type="dxa" w:w="1134"/>
          </w:tcPr>
          <w:p>
            <w:r/>
            <w:r>
              <w:rPr>
                <w:rFonts w:ascii="游ゴシック" w:hAnsi="游ゴシック" w:eastAsia="游ゴシック"/>
                <w:b/>
                <w:sz w:val="18"/>
              </w:rPr>
              <w:t>全国</w:t>
            </w:r>
          </w:p>
        </w:tc>
        <w:tc>
          <w:tcPr>
            <w:tcW w:type="dxa" w:w="1134"/>
          </w:tcPr>
          <w:p>
            <w:r/>
            <w:r>
              <w:rPr>
                <w:rFonts w:ascii="游ゴシック" w:hAnsi="游ゴシック" w:eastAsia="游ゴシック"/>
                <w:b/>
                <w:sz w:val="18"/>
              </w:rPr>
              <w:t>他地域との比較</w:t>
            </w:r>
          </w:p>
        </w:tc>
        <w:tc>
          <w:tcPr>
            <w:tcW w:type="dxa" w:w="1701"/>
          </w:tcPr>
          <w:p>
            <w:r/>
            <w:r>
              <w:rPr>
                <w:rFonts w:ascii="游ゴシック" w:hAnsi="游ゴシック" w:eastAsia="游ゴシック"/>
                <w:b/>
                <w:sz w:val="18"/>
              </w:rPr>
              <w:t>更新頻度</w:t>
            </w:r>
          </w:p>
        </w:tc>
      </w:tr>
      <w:tr>
        <w:tc>
          <w:tcPr>
            <w:tcW w:type="dxa" w:w="3515"/>
          </w:tcPr>
          <w:p>
            <w:r/>
            <w:r>
              <w:rPr>
                <w:rFonts w:ascii="游ゴシック" w:hAnsi="游ゴシック" w:eastAsia="游ゴシック"/>
                <w:sz w:val="18"/>
              </w:rPr>
              <w:t>見える化B5-a【注目する地域のみ】</w:t>
            </w:r>
          </w:p>
        </w:tc>
        <w:tc>
          <w:tcPr>
            <w:tcW w:type="dxa" w:w="1134"/>
          </w:tcPr>
          <w:p>
            <w:r/>
            <w:r>
              <w:rPr>
                <w:rFonts w:ascii="游ゴシック" w:hAnsi="游ゴシック" w:eastAsia="游ゴシック"/>
                <w:sz w:val="18"/>
              </w:rPr>
              <w:t>18.4％</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不可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見える化B5-a【他地域と比較】</w:t>
            </w:r>
          </w:p>
        </w:tc>
        <w:tc>
          <w:tcPr>
            <w:tcW w:type="dxa" w:w="1134"/>
          </w:tcPr>
          <w:p>
            <w:r/>
            <w:r>
              <w:rPr>
                <w:rFonts w:ascii="游ゴシック" w:hAnsi="游ゴシック" w:eastAsia="游ゴシック"/>
                <w:sz w:val="18"/>
              </w:rPr>
              <w:t>16.7％</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見える化W144（性・年齢調整済み要介護2以上）</w:t>
            </w:r>
          </w:p>
        </w:tc>
        <w:tc>
          <w:tcPr>
            <w:tcW w:type="dxa" w:w="1134"/>
          </w:tcPr>
          <w:p>
            <w:r/>
            <w:r>
              <w:rPr>
                <w:rFonts w:ascii="游ゴシック" w:hAnsi="游ゴシック" w:eastAsia="游ゴシック"/>
                <w:sz w:val="18"/>
              </w:rPr>
              <w:t>9.25％</w:t>
            </w:r>
          </w:p>
        </w:tc>
        <w:tc>
          <w:tcPr>
            <w:tcW w:type="dxa" w:w="1134"/>
          </w:tcPr>
          <w:p>
            <w:r/>
            <w:r>
              <w:rPr>
                <w:rFonts w:ascii="游ゴシック" w:hAnsi="游ゴシック" w:eastAsia="游ゴシック"/>
                <w:sz w:val="18"/>
              </w:rPr>
              <w:t>8.59％</w:t>
            </w:r>
          </w:p>
        </w:tc>
        <w:tc>
          <w:tcPr>
            <w:tcW w:type="dxa" w:w="1134"/>
          </w:tcPr>
          <w:p>
            <w:r/>
            <w:r>
              <w:rPr>
                <w:rFonts w:ascii="游ゴシック" w:hAnsi="游ゴシック" w:eastAsia="游ゴシック"/>
                <w:sz w:val="18"/>
              </w:rPr>
              <w:t>8.99％</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毎年（国が算定）</w:t>
            </w:r>
          </w:p>
        </w:tc>
      </w:tr>
    </w:tbl>
    <w:p>
      <w:pPr>
        <w:spacing w:after="80"/>
      </w:pPr>
      <w:r>
        <w:rPr>
          <w:rFonts w:ascii="游ゴシック" w:hAnsi="游ゴシック" w:eastAsia="游ゴシック"/>
          <w:b w:val="0"/>
          <w:sz w:val="19"/>
        </w:rPr>
        <w:t>W144は国が毎年算定・公表しており、全国・北海道と直接比較できるため、系列の選択問題が生じません。ただし対象が要介護2以上に限られる点にご留意ください。</w:t>
      </w:r>
    </w:p>
    <w:p>
      <w:pPr>
        <w:spacing w:after="80"/>
      </w:pPr>
      <w:r>
        <w:rPr>
          <w:rFonts w:ascii="游ゴシック" w:hAnsi="游ゴシック" w:eastAsia="游ゴシック"/>
          <w:b w:val="0"/>
          <w:sz w:val="19"/>
        </w:rPr>
        <w:t>なお、この指標でみると当広域連合は9.25％で全国8.99％を2.9％上回っており、変化率も全国▲0.37・北海道▲1.71が低下する中で当広域連合のみ＋1.76と上昇しております（W145）。他方、粗認定率では75歳以上が平成30年3月末35.3％から令和8年3月末33.5％へ低下しております。両者は矛盾せず、「軽度は改善したが中重度は悪化している」という構造を示すものと考えられます。したがって目標は「維持」ではなく「全国平均以下への低下」とすることが適当と考えます。</w:t>
      </w:r>
    </w:p>
    <w:p>
      <w:pPr>
        <w:spacing w:after="80"/>
      </w:pPr>
      <w:r>
        <w:rPr>
          <w:rFonts w:ascii="游ゴシック" w:hAnsi="游ゴシック" w:eastAsia="游ゴシック"/>
          <w:b w:val="0"/>
          <w:sz w:val="19"/>
        </w:rPr>
        <w:t>→ 採用系列：　□W144（性・年齢調整済み要介護2以上・推奨）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このたびF1〜F9をご提供いただき、総合事業ベースの実績が判明いたしました。統計を揃えると、当広域連合の水準は北海道・全国を大きく下回っております。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742"/>
          </w:tcPr>
          <w:p>
            <w:r/>
            <w:r>
              <w:rPr>
                <w:rFonts w:ascii="游ゴシック" w:hAnsi="游ゴシック" w:eastAsia="游ゴシック"/>
                <w:b/>
                <w:sz w:val="18"/>
              </w:rPr>
              <w:t>区分</w:t>
            </w:r>
          </w:p>
        </w:tc>
        <w:tc>
          <w:tcPr>
            <w:tcW w:type="dxa" w:w="1474"/>
          </w:tcPr>
          <w:p>
            <w:r/>
            <w:r>
              <w:rPr>
                <w:rFonts w:ascii="游ゴシック" w:hAnsi="游ゴシック" w:eastAsia="游ゴシック"/>
                <w:b/>
                <w:sz w:val="18"/>
              </w:rPr>
              <w:t>H29</w:t>
            </w:r>
          </w:p>
        </w:tc>
        <w:tc>
          <w:tcPr>
            <w:tcW w:type="dxa" w:w="1474"/>
          </w:tcPr>
          <w:p>
            <w:r/>
            <w:r>
              <w:rPr>
                <w:rFonts w:ascii="游ゴシック" w:hAnsi="游ゴシック" w:eastAsia="游ゴシック"/>
                <w:b/>
                <w:sz w:val="18"/>
              </w:rPr>
              <w:t>H30</w:t>
            </w:r>
          </w:p>
        </w:tc>
        <w:tc>
          <w:tcPr>
            <w:tcW w:type="dxa" w:w="1474"/>
          </w:tcPr>
          <w:p>
            <w:r/>
            <w:r>
              <w:rPr>
                <w:rFonts w:ascii="游ゴシック" w:hAnsi="游ゴシック" w:eastAsia="游ゴシック"/>
                <w:b/>
                <w:sz w:val="18"/>
              </w:rPr>
              <w:t>R元</w:t>
            </w:r>
          </w:p>
        </w:tc>
        <w:tc>
          <w:tcPr>
            <w:tcW w:type="dxa" w:w="1474"/>
          </w:tcPr>
          <w:p>
            <w:r/>
            <w:r>
              <w:rPr>
                <w:rFonts w:ascii="游ゴシック" w:hAnsi="游ゴシック" w:eastAsia="游ゴシック"/>
                <w:b/>
                <w:sz w:val="18"/>
              </w:rPr>
              <w:t>R2</w:t>
            </w:r>
          </w:p>
        </w:tc>
      </w:tr>
      <w:tr>
        <w:tc>
          <w:tcPr>
            <w:tcW w:type="dxa" w:w="3742"/>
          </w:tcPr>
          <w:p>
            <w:r/>
            <w:r>
              <w:rPr>
                <w:rFonts w:ascii="游ゴシック" w:hAnsi="游ゴシック" w:eastAsia="游ゴシック"/>
                <w:sz w:val="18"/>
              </w:rPr>
              <w:t>月1回以上の参加率　大雪</w:t>
            </w:r>
          </w:p>
        </w:tc>
        <w:tc>
          <w:tcPr>
            <w:tcW w:type="dxa" w:w="1474"/>
          </w:tcPr>
          <w:p>
            <w:r/>
            <w:r>
              <w:rPr>
                <w:rFonts w:ascii="游ゴシック" w:hAnsi="游ゴシック" w:eastAsia="游ゴシック"/>
                <w:sz w:val="18"/>
              </w:rPr>
              <w:t>3.1％</w:t>
            </w:r>
          </w:p>
        </w:tc>
        <w:tc>
          <w:tcPr>
            <w:tcW w:type="dxa" w:w="1474"/>
          </w:tcPr>
          <w:p>
            <w:r/>
            <w:r>
              <w:rPr>
                <w:rFonts w:ascii="游ゴシック" w:hAnsi="游ゴシック" w:eastAsia="游ゴシック"/>
                <w:sz w:val="18"/>
              </w:rPr>
              <w:t>3.0％</w:t>
            </w:r>
          </w:p>
        </w:tc>
        <w:tc>
          <w:tcPr>
            <w:tcW w:type="dxa" w:w="1474"/>
          </w:tcPr>
          <w:p>
            <w:r/>
            <w:r>
              <w:rPr>
                <w:rFonts w:ascii="游ゴシック" w:hAnsi="游ゴシック" w:eastAsia="游ゴシック"/>
                <w:sz w:val="18"/>
              </w:rPr>
              <w:t>2.7％</w:t>
            </w:r>
          </w:p>
        </w:tc>
        <w:tc>
          <w:tcPr>
            <w:tcW w:type="dxa" w:w="1474"/>
          </w:tcPr>
          <w:p>
            <w:r/>
            <w:r>
              <w:rPr>
                <w:rFonts w:ascii="游ゴシック" w:hAnsi="游ゴシック" w:eastAsia="游ゴシック"/>
                <w:sz w:val="18"/>
              </w:rPr>
              <w:t>1.6％</w:t>
            </w:r>
          </w:p>
        </w:tc>
      </w:tr>
      <w:tr>
        <w:tc>
          <w:tcPr>
            <w:tcW w:type="dxa" w:w="3742"/>
          </w:tcPr>
          <w:p>
            <w:r/>
            <w:r>
              <w:rPr>
                <w:rFonts w:ascii="游ゴシック" w:hAnsi="游ゴシック" w:eastAsia="游ゴシック"/>
                <w:sz w:val="18"/>
              </w:rPr>
              <w:t>月1回以上の参加率　北海道</w:t>
            </w:r>
          </w:p>
        </w:tc>
        <w:tc>
          <w:tcPr>
            <w:tcW w:type="dxa" w:w="1474"/>
          </w:tcPr>
          <w:p>
            <w:r/>
            <w:r>
              <w:rPr>
                <w:rFonts w:ascii="游ゴシック" w:hAnsi="游ゴシック" w:eastAsia="游ゴシック"/>
                <w:sz w:val="18"/>
              </w:rPr>
              <w:t>3.8％</w:t>
            </w:r>
          </w:p>
        </w:tc>
        <w:tc>
          <w:tcPr>
            <w:tcW w:type="dxa" w:w="1474"/>
          </w:tcPr>
          <w:p>
            <w:r/>
            <w:r>
              <w:rPr>
                <w:rFonts w:ascii="游ゴシック" w:hAnsi="游ゴシック" w:eastAsia="游ゴシック"/>
                <w:sz w:val="18"/>
              </w:rPr>
              <w:t>3.9％</w:t>
            </w:r>
          </w:p>
        </w:tc>
        <w:tc>
          <w:tcPr>
            <w:tcW w:type="dxa" w:w="1474"/>
          </w:tcPr>
          <w:p>
            <w:r/>
            <w:r>
              <w:rPr>
                <w:rFonts w:ascii="游ゴシック" w:hAnsi="游ゴシック" w:eastAsia="游ゴシック"/>
                <w:sz w:val="18"/>
              </w:rPr>
              <w:t>4.8％</w:t>
            </w:r>
          </w:p>
        </w:tc>
        <w:tc>
          <w:tcPr>
            <w:tcW w:type="dxa" w:w="1474"/>
          </w:tcPr>
          <w:p>
            <w:r/>
            <w:r>
              <w:rPr>
                <w:rFonts w:ascii="游ゴシック" w:hAnsi="游ゴシック" w:eastAsia="游ゴシック"/>
                <w:sz w:val="18"/>
              </w:rPr>
              <w:t>3.9％</w:t>
            </w:r>
          </w:p>
        </w:tc>
      </w:tr>
      <w:tr>
        <w:tc>
          <w:tcPr>
            <w:tcW w:type="dxa" w:w="3742"/>
          </w:tcPr>
          <w:p>
            <w:r/>
            <w:r>
              <w:rPr>
                <w:rFonts w:ascii="游ゴシック" w:hAnsi="游ゴシック" w:eastAsia="游ゴシック"/>
                <w:sz w:val="18"/>
              </w:rPr>
              <w:t>月1回以上の参加率　全国</w:t>
            </w:r>
          </w:p>
        </w:tc>
        <w:tc>
          <w:tcPr>
            <w:tcW w:type="dxa" w:w="1474"/>
          </w:tcPr>
          <w:p>
            <w:r/>
            <w:r>
              <w:rPr>
                <w:rFonts w:ascii="游ゴシック" w:hAnsi="游ゴシック" w:eastAsia="游ゴシック"/>
                <w:sz w:val="18"/>
              </w:rPr>
              <w:t>4.9％</w:t>
            </w:r>
          </w:p>
        </w:tc>
        <w:tc>
          <w:tcPr>
            <w:tcW w:type="dxa" w:w="1474"/>
          </w:tcPr>
          <w:p>
            <w:r/>
            <w:r>
              <w:rPr>
                <w:rFonts w:ascii="游ゴシック" w:hAnsi="游ゴシック" w:eastAsia="游ゴシック"/>
                <w:sz w:val="18"/>
              </w:rPr>
              <w:t>5.7％</w:t>
            </w:r>
          </w:p>
        </w:tc>
        <w:tc>
          <w:tcPr>
            <w:tcW w:type="dxa" w:w="1474"/>
          </w:tcPr>
          <w:p>
            <w:r/>
            <w:r>
              <w:rPr>
                <w:rFonts w:ascii="游ゴシック" w:hAnsi="游ゴシック" w:eastAsia="游ゴシック"/>
                <w:sz w:val="18"/>
              </w:rPr>
              <w:t>6.7％</w:t>
            </w:r>
          </w:p>
        </w:tc>
        <w:tc>
          <w:tcPr>
            <w:tcW w:type="dxa" w:w="1474"/>
          </w:tcPr>
          <w:p>
            <w:r/>
            <w:r>
              <w:rPr>
                <w:rFonts w:ascii="游ゴシック" w:hAnsi="游ゴシック" w:eastAsia="游ゴシック"/>
                <w:sz w:val="18"/>
              </w:rPr>
              <w:t>5.2％</w:t>
            </w:r>
          </w:p>
        </w:tc>
      </w:tr>
      <w:tr>
        <w:tc>
          <w:tcPr>
            <w:tcW w:type="dxa" w:w="3742"/>
          </w:tcPr>
          <w:p>
            <w:r/>
            <w:r>
              <w:rPr>
                <w:rFonts w:ascii="游ゴシック" w:hAnsi="游ゴシック" w:eastAsia="游ゴシック"/>
                <w:sz w:val="18"/>
              </w:rPr>
              <w:t>週1回以上の箇所数　大雪</w:t>
            </w:r>
          </w:p>
        </w:tc>
        <w:tc>
          <w:tcPr>
            <w:tcW w:type="dxa" w:w="1474"/>
          </w:tcPr>
          <w:p>
            <w:r/>
            <w:r>
              <w:rPr>
                <w:rFonts w:ascii="游ゴシック" w:hAnsi="游ゴシック" w:eastAsia="游ゴシック"/>
                <w:sz w:val="18"/>
              </w:rPr>
              <w:t>7箇所</w:t>
            </w:r>
          </w:p>
        </w:tc>
        <w:tc>
          <w:tcPr>
            <w:tcW w:type="dxa" w:w="1474"/>
          </w:tcPr>
          <w:p>
            <w:r/>
            <w:r>
              <w:rPr>
                <w:rFonts w:ascii="游ゴシック" w:hAnsi="游ゴシック" w:eastAsia="游ゴシック"/>
                <w:sz w:val="18"/>
              </w:rPr>
              <w:t>6箇所</w:t>
            </w:r>
          </w:p>
        </w:tc>
        <w:tc>
          <w:tcPr>
            <w:tcW w:type="dxa" w:w="1474"/>
          </w:tcPr>
          <w:p>
            <w:r/>
            <w:r>
              <w:rPr>
                <w:rFonts w:ascii="游ゴシック" w:hAnsi="游ゴシック" w:eastAsia="游ゴシック"/>
                <w:sz w:val="18"/>
              </w:rPr>
              <w:t>4箇所</w:t>
            </w:r>
          </w:p>
        </w:tc>
        <w:tc>
          <w:tcPr>
            <w:tcW w:type="dxa" w:w="1474"/>
          </w:tcPr>
          <w:p>
            <w:r/>
            <w:r>
              <w:rPr>
                <w:rFonts w:ascii="游ゴシック" w:hAnsi="游ゴシック" w:eastAsia="游ゴシック"/>
                <w:sz w:val="18"/>
              </w:rPr>
              <w:t>3箇所</w:t>
            </w:r>
          </w:p>
        </w:tc>
      </w:tr>
    </w:tbl>
    <w:p>
      <w:pPr>
        <w:spacing w:after="80"/>
      </w:pPr>
      <w:r>
        <w:rPr>
          <w:rFonts w:ascii="游ゴシック" w:hAnsi="游ゴシック" w:eastAsia="游ゴシック"/>
          <w:b w:val="0"/>
          <w:sz w:val="19"/>
        </w:rPr>
        <w:t>令和2年度の1.6％は北海道3.9％の41％、全国5.2％の31％であり、北海道の第9期目標5.37％を2.34ポイント下回ります。週1回以上の通いの場は3箇所で、65歳以上1万人あたり3.24箇所は全国13.12箇所の25％にとどまります。平成29年度の3.1％・7箇所をピークに低下しており、参加者も277人から151人へ45％減少しています。</w:t>
      </w:r>
    </w:p>
    <w:p>
      <w:pPr>
        <w:spacing w:after="80"/>
      </w:pPr>
      <w:r>
        <w:rPr>
          <w:rFonts w:ascii="游ゴシック" w:hAnsi="游ゴシック" w:eastAsia="游ゴシック"/>
          <w:b w:val="0"/>
          <w:sz w:val="19"/>
        </w:rPr>
        <w:t>したがいまして、第9期の評価は「国目標8％を達成」ではなく、「ニーズ調査ベースでは自主目標に0.2ポイント未達。総合事業ベースでは全国の31％の水準で低下傾向」と整理することが正確と考えます。介護予防・社会参加については、第10期の重点施策として位置づけを引き上げることをご検討いただきたく存じます。</w:t>
      </w:r>
    </w:p>
    <w:p>
      <w:pPr>
        <w:spacing w:after="80"/>
      </w:pPr>
      <w:r>
        <w:rPr>
          <w:rFonts w:ascii="游ゴシック" w:hAnsi="游ゴシック" w:eastAsia="游ゴシック"/>
          <w:b w:val="0"/>
          <w:sz w:val="19"/>
        </w:rPr>
        <w:t>なお、当広域連合の3箇所の内訳には特徴がございます。活動内容が体操（運動）1・認知症予防1・農作業1で、農作業を主な活動内容とする通いの場は全国59箇所（0.1％）・北海道1箇所（0.1％）と稀な類型です。圏域の地域特性を反映しており、第10期の施策の核の一つにできる可能性がございます。一方、住民個人が運営する通いの場は全国19.2％・北海道28.8％あるのに対し当広域連合は0箇所で、小規模な立ち上げ支援は差が大きい領域です。</w:t>
      </w:r>
    </w:p>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F1〜F9のデータは令和2年度までで、令和3年度以降は見える化に登録がない旨をご教示いただきました。総合事業の実施状況に関する調査は継続しておりますので、貴連合が国へご報告された令和3〜6年度の調査票の写しをご提供いただけますでしょうか。ご提供が難しい場合は、第10期の基準値を令和2年度（1.6％・3箇所）といたします。</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(8) 24時間対応サービスの確保方策　【新規】</w:t>
      </w:r>
    </w:p>
    <w:p>
      <w:pPr>
        <w:spacing w:after="80"/>
      </w:pPr>
      <w:r>
        <w:rPr>
          <w:rFonts w:ascii="游ゴシック" w:hAnsi="游ゴシック" w:eastAsia="游ゴシック"/>
          <w:b w:val="0"/>
          <w:sz w:val="19"/>
        </w:rPr>
        <w:t>このたびK系列（サービス提供事業所数　全28種別）をご提供いただき、重度者の在宅生活を24時間支える3サービスが、制度創設以来13年間、管内に1事業所も存在しないことが確定いたしました。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402"/>
          </w:tcPr>
          <w:p>
            <w:r/>
            <w:r>
              <w:rPr>
                <w:rFonts w:ascii="游ゴシック" w:hAnsi="游ゴシック" w:eastAsia="游ゴシック"/>
                <w:b/>
                <w:sz w:val="18"/>
              </w:rPr>
              <w:t>サービス</w:t>
            </w:r>
          </w:p>
        </w:tc>
        <w:tc>
          <w:tcPr>
            <w:tcW w:type="dxa" w:w="1814"/>
          </w:tcPr>
          <w:p>
            <w:r/>
            <w:r>
              <w:rPr>
                <w:rFonts w:ascii="游ゴシック" w:hAnsi="游ゴシック" w:eastAsia="游ゴシック"/>
                <w:b/>
                <w:sz w:val="18"/>
              </w:rPr>
              <w:t>大雪（事業所）</w:t>
            </w:r>
          </w:p>
        </w:tc>
        <w:tc>
          <w:tcPr>
            <w:tcW w:type="dxa" w:w="1247"/>
          </w:tcPr>
          <w:p>
            <w:r/>
            <w:r>
              <w:rPr>
                <w:rFonts w:ascii="游ゴシック" w:hAnsi="游ゴシック" w:eastAsia="游ゴシック"/>
                <w:b/>
                <w:sz w:val="18"/>
              </w:rPr>
              <w:t>北海道</w:t>
            </w:r>
          </w:p>
        </w:tc>
        <w:tc>
          <w:tcPr>
            <w:tcW w:type="dxa" w:w="1247"/>
          </w:tcPr>
          <w:p>
            <w:r/>
            <w:r>
              <w:rPr>
                <w:rFonts w:ascii="游ゴシック" w:hAnsi="游ゴシック" w:eastAsia="游ゴシック"/>
                <w:b/>
                <w:sz w:val="18"/>
              </w:rPr>
              <w:t>全国</w:t>
            </w:r>
          </w:p>
        </w:tc>
        <w:tc>
          <w:tcPr>
            <w:tcW w:type="dxa" w:w="2041"/>
          </w:tcPr>
          <w:p>
            <w:r/>
            <w:r>
              <w:rPr>
                <w:rFonts w:ascii="游ゴシック" w:hAnsi="游ゴシック" w:eastAsia="游ゴシック"/>
                <w:b/>
                <w:sz w:val="18"/>
              </w:rPr>
              <w:t>上川中部圏域（令和8年見込）</w:t>
            </w:r>
          </w:p>
        </w:tc>
      </w:tr>
      <w:tr>
        <w:tc>
          <w:tcPr>
            <w:tcW w:type="dxa" w:w="3402"/>
          </w:tcPr>
          <w:p>
            <w:r/>
            <w:r>
              <w:rPr>
                <w:rFonts w:ascii="游ゴシック" w:hAnsi="游ゴシック" w:eastAsia="游ゴシック"/>
                <w:sz w:val="18"/>
              </w:rPr>
              <w:t>定期巡回・随時対応型訪問介護看護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2.6</w:t>
            </w:r>
          </w:p>
        </w:tc>
        <w:tc>
          <w:tcPr>
            <w:tcW w:type="dxa" w:w="1247"/>
          </w:tcPr>
          <w:p>
            <w:r/>
            <w:r>
              <w:rPr>
                <w:rFonts w:ascii="游ゴシック" w:hAnsi="游ゴシック" w:eastAsia="游ゴシック"/>
                <w:sz w:val="18"/>
              </w:rPr>
              <w:t>1.2</w:t>
            </w:r>
          </w:p>
        </w:tc>
        <w:tc>
          <w:tcPr>
            <w:tcW w:type="dxa" w:w="2041"/>
          </w:tcPr>
          <w:p>
            <w:r/>
            <w:r>
              <w:rPr>
                <w:rFonts w:ascii="游ゴシック" w:hAnsi="游ゴシック" w:eastAsia="游ゴシック"/>
                <w:sz w:val="18"/>
              </w:rPr>
              <w:t>68.0人/月</w:t>
            </w:r>
          </w:p>
        </w:tc>
      </w:tr>
      <w:tr>
        <w:tc>
          <w:tcPr>
            <w:tcW w:type="dxa" w:w="3402"/>
          </w:tcPr>
          <w:p>
            <w:r/>
            <w:r>
              <w:rPr>
                <w:rFonts w:ascii="游ゴシック" w:hAnsi="游ゴシック" w:eastAsia="游ゴシック"/>
                <w:sz w:val="18"/>
              </w:rPr>
              <w:t>夜間対応型訪問介護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0.1</w:t>
            </w:r>
          </w:p>
        </w:tc>
        <w:tc>
          <w:tcPr>
            <w:tcW w:type="dxa" w:w="1247"/>
          </w:tcPr>
          <w:p>
            <w:r/>
            <w:r>
              <w:rPr>
                <w:rFonts w:ascii="游ゴシック" w:hAnsi="游ゴシック" w:eastAsia="游ゴシック"/>
                <w:sz w:val="18"/>
              </w:rPr>
              <w:t>0.2</w:t>
            </w:r>
          </w:p>
        </w:tc>
        <w:tc>
          <w:tcPr>
            <w:tcW w:type="dxa" w:w="2041"/>
          </w:tcPr>
          <w:p>
            <w:r/>
            <w:r>
              <w:rPr>
                <w:rFonts w:ascii="游ゴシック" w:hAnsi="游ゴシック" w:eastAsia="游ゴシック"/>
                <w:sz w:val="18"/>
              </w:rPr>
              <w:t>―</w:t>
            </w:r>
          </w:p>
        </w:tc>
      </w:tr>
      <w:tr>
        <w:tc>
          <w:tcPr>
            <w:tcW w:type="dxa" w:w="3402"/>
          </w:tcPr>
          <w:p>
            <w:r/>
            <w:r>
              <w:rPr>
                <w:rFonts w:ascii="游ゴシック" w:hAnsi="游ゴシック" w:eastAsia="游ゴシック"/>
                <w:sz w:val="18"/>
              </w:rPr>
              <w:t>看護小規模多機能型居宅介護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1.6</w:t>
            </w:r>
          </w:p>
        </w:tc>
        <w:tc>
          <w:tcPr>
            <w:tcW w:type="dxa" w:w="1247"/>
          </w:tcPr>
          <w:p>
            <w:r/>
            <w:r>
              <w:rPr>
                <w:rFonts w:ascii="游ゴシック" w:hAnsi="游ゴシック" w:eastAsia="游ゴシック"/>
                <w:sz w:val="18"/>
              </w:rPr>
              <w:t>0.9</w:t>
            </w:r>
          </w:p>
        </w:tc>
        <w:tc>
          <w:tcPr>
            <w:tcW w:type="dxa" w:w="2041"/>
          </w:tcPr>
          <w:p>
            <w:r/>
            <w:r>
              <w:rPr>
                <w:rFonts w:ascii="游ゴシック" w:hAnsi="游ゴシック" w:eastAsia="游ゴシック"/>
                <w:sz w:val="18"/>
              </w:rPr>
              <w:t>101.0人/月</w:t>
            </w:r>
          </w:p>
        </w:tc>
      </w:tr>
    </w:tbl>
    <w:p>
      <w:pPr>
        <w:spacing w:after="80"/>
      </w:pPr>
      <w:r>
        <w:rPr>
          <w:rFonts w:ascii="游ゴシック" w:hAnsi="游ゴシック" w:eastAsia="游ゴシック"/>
          <w:b w:val="0"/>
          <w:sz w:val="18"/>
        </w:rPr>
        <w:t>※　北海道・全国は人口10万対の事業所数（令和6年度）。圏域見込は北海道第9期計画 第7章第12節4。</w:t>
      </w:r>
    </w:p>
    <w:p>
      <w:pPr>
        <w:spacing w:after="80"/>
      </w:pPr>
      <w:r>
        <w:rPr>
          <w:rFonts w:ascii="游ゴシック" w:hAnsi="游ゴシック" w:eastAsia="游ゴシック"/>
          <w:b w:val="0"/>
          <w:sz w:val="19"/>
        </w:rPr>
        <w:t>一方、当広域連合では要介護5の54.6％、要介護4の49.1％が在宅・居住系にいらっしゃいます。圏域内の他保険者では定期巡回・看多機がいずれも機能しており、当広域連合だけが空白となっている状況です。</w:t>
      </w:r>
    </w:p>
    <w:p>
      <w:pPr>
        <w:spacing w:after="80"/>
      </w:pPr>
      <w:r>
        <w:rPr>
          <w:rFonts w:ascii="游ゴシック" w:hAnsi="游ゴシック" w:eastAsia="游ゴシック"/>
          <w:b w:val="0"/>
          <w:sz w:val="19"/>
        </w:rPr>
        <w:t>なお、全28サービス種別のうち11種別（39.3％）で管内の事業所数がゼロであり、ほかに訪問入浴介護、福祉用具貸与、認知症対応型通所介護（平成27年度に消滅）、介護医療院、地域密着型特定施設が該当いたします。福祉用具貸与は給付が平成30年度から36.4％増加しておりますので、事業所がないことと給付がないことは別である点を申し添えます。</w:t>
      </w:r>
    </w:p>
    <w:p>
      <w:pPr>
        <w:spacing w:after="80"/>
      </w:pPr>
      <w:r>
        <w:rPr>
          <w:rFonts w:ascii="游ゴシック" w:hAnsi="游ゴシック" w:eastAsia="游ゴシック"/>
          <w:b w:val="0"/>
          <w:sz w:val="19"/>
        </w:rPr>
        <w:t>第6章の整備方針を確定するため、次のいずれの方向で整理するかをご決定いただきたく存じます。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252"/>
          </w:tcPr>
          <w:p>
            <w:r/>
            <w:r>
              <w:rPr>
                <w:rFonts w:ascii="游ゴシック" w:hAnsi="游ゴシック" w:eastAsia="游ゴシック"/>
                <w:b/>
                <w:sz w:val="18"/>
              </w:rPr>
              <w:t>内容</w:t>
            </w:r>
          </w:p>
        </w:tc>
        <w:tc>
          <w:tcPr>
            <w:tcW w:type="dxa" w:w="4252"/>
          </w:tcPr>
          <w:p>
            <w:r/>
            <w:r>
              <w:rPr>
                <w:rFonts w:ascii="游ゴシック" w:hAnsi="游ゴシック" w:eastAsia="游ゴシック"/>
                <w:b/>
                <w:sz w:val="18"/>
              </w:rPr>
              <w:t>留意点</w:t>
            </w:r>
          </w:p>
        </w:tc>
      </w:tr>
      <w:tr>
        <w:tc>
          <w:tcPr>
            <w:tcW w:type="dxa" w:w="680"/>
          </w:tcPr>
          <w:p>
            <w:r/>
            <w:r>
              <w:rPr>
                <w:rFonts w:ascii="游ゴシック" w:hAnsi="游ゴシック" w:eastAsia="游ゴシック"/>
                <w:sz w:val="18"/>
              </w:rPr>
              <w:t>A</w:t>
            </w:r>
          </w:p>
        </w:tc>
        <w:tc>
          <w:tcPr>
            <w:tcW w:type="dxa" w:w="4252"/>
          </w:tcPr>
          <w:p>
            <w:r/>
            <w:r>
              <w:rPr>
                <w:rFonts w:ascii="游ゴシック" w:hAnsi="游ゴシック" w:eastAsia="游ゴシック"/>
                <w:sz w:val="18"/>
              </w:rPr>
              <w:t>第10期中に定期巡回又は看多機を管内に整備する（3町単独又は広域）</w:t>
            </w:r>
          </w:p>
        </w:tc>
        <w:tc>
          <w:tcPr>
            <w:tcW w:type="dxa" w:w="4252"/>
          </w:tcPr>
          <w:p>
            <w:r/>
            <w:r>
              <w:rPr>
                <w:rFonts w:ascii="游ゴシック" w:hAnsi="游ゴシック" w:eastAsia="游ゴシック"/>
                <w:sz w:val="18"/>
              </w:rPr>
              <w:t>小規模自治体では採算の確保が課題。既存の訪問介護13事業所・訪問看護7事業所との連携が前提</w:t>
            </w:r>
          </w:p>
        </w:tc>
      </w:tr>
      <w:tr>
        <w:tc>
          <w:tcPr>
            <w:tcW w:type="dxa" w:w="680"/>
          </w:tcPr>
          <w:p>
            <w:r/>
            <w:r>
              <w:rPr>
                <w:rFonts w:ascii="游ゴシック" w:hAnsi="游ゴシック" w:eastAsia="游ゴシック"/>
                <w:sz w:val="18"/>
              </w:rPr>
              <w:t>B</w:t>
            </w:r>
          </w:p>
        </w:tc>
        <w:tc>
          <w:tcPr>
            <w:tcW w:type="dxa" w:w="4252"/>
          </w:tcPr>
          <w:p>
            <w:r/>
            <w:r>
              <w:rPr>
                <w:rFonts w:ascii="游ゴシック" w:hAnsi="游ゴシック" w:eastAsia="游ゴシック"/>
                <w:sz w:val="18"/>
              </w:rPr>
              <w:t>旭川市の事業所の利用を前提とし、圏域を越えた利用の調整を進める</w:t>
            </w:r>
          </w:p>
        </w:tc>
        <w:tc>
          <w:tcPr>
            <w:tcW w:type="dxa" w:w="4252"/>
          </w:tcPr>
          <w:p>
            <w:r/>
            <w:r>
              <w:rPr>
                <w:rFonts w:ascii="游ゴシック" w:hAnsi="游ゴシック" w:eastAsia="游ゴシック"/>
                <w:sz w:val="18"/>
              </w:rPr>
              <w:t>地域密着型サービスは保険者指定のため、市町村間の同意が必要。移動時間の制約もある</w:t>
            </w:r>
          </w:p>
        </w:tc>
      </w:tr>
      <w:tr>
        <w:tc>
          <w:tcPr>
            <w:tcW w:type="dxa" w:w="680"/>
          </w:tcPr>
          <w:p>
            <w:r/>
            <w:r>
              <w:rPr>
                <w:rFonts w:ascii="游ゴシック" w:hAnsi="游ゴシック" w:eastAsia="游ゴシック"/>
                <w:sz w:val="18"/>
              </w:rPr>
              <w:t>C</w:t>
            </w:r>
          </w:p>
        </w:tc>
        <w:tc>
          <w:tcPr>
            <w:tcW w:type="dxa" w:w="4252"/>
          </w:tcPr>
          <w:p>
            <w:r/>
            <w:r>
              <w:rPr>
                <w:rFonts w:ascii="游ゴシック" w:hAnsi="游ゴシック" w:eastAsia="游ゴシック"/>
                <w:sz w:val="18"/>
              </w:rPr>
              <w:t>訪問介護・訪問看護・小規模多機能型居宅介護の組合せで代替する方針を明記する</w:t>
            </w:r>
          </w:p>
        </w:tc>
        <w:tc>
          <w:tcPr>
            <w:tcW w:type="dxa" w:w="4252"/>
          </w:tcPr>
          <w:p>
            <w:r/>
            <w:r>
              <w:rPr>
                <w:rFonts w:ascii="游ゴシック" w:hAnsi="游ゴシック" w:eastAsia="游ゴシック"/>
                <w:sz w:val="18"/>
              </w:rPr>
              <w:t>現状の実態に即すが、夜間・深夜の対応は制度上担保されない</w:t>
            </w:r>
          </w:p>
        </w:tc>
      </w:tr>
    </w:tbl>
    <w:p>
      <w:pPr>
        <w:spacing w:after="80"/>
      </w:pPr>
      <w:r>
        <w:rPr>
          <w:rFonts w:ascii="游ゴシック" w:hAnsi="游ゴシック" w:eastAsia="游ゴシック"/>
          <w:b w:val="0"/>
          <w:sz w:val="19"/>
        </w:rPr>
        <w:t>→ ご希望の案：　□A案　□B案　□C案　□その他（　　　　　　　　　　　　）</w:t>
      </w:r>
    </w:p>
    <w:p>
      <w:r>
        <w:br w:type="page"/>
      </w:r>
    </w:p>
    <w:p>
      <w:pPr>
        <w:spacing w:after="120" w:before="200"/>
      </w:pPr>
      <w:r>
        <w:rPr>
          <w:rFonts w:ascii="游ゴシック" w:hAnsi="游ゴシック" w:eastAsia="游ゴシック"/>
          <w:b/>
          <w:sz w:val="24"/>
        </w:rPr>
        <w:t>２　事務局にてご確認いただきたい事項（22件）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地域密着型通所介護の稼働率　【更新】</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このたびK3gをご提供いただき、事業所数は平成28年度の制度創設時から令和6年度まで4で不変であること、M2mにより従事者数もむしろ増加していること（平成30年度21人→令和6年度25人）が確認できました。したがって給付低下は休廃止によるものではなく、稼働率の低下によるものと考えられます。4事業所の定員・登録者数・延べ利用者数（令和2〜7年度）をご提供いただけますでしょうか。基本指針の新別表 七「稼働率」への対応も兼ねます。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認知症の受け皿の減少経緯　【更新】</w:t>
            </w:r>
          </w:p>
        </w:tc>
        <w:tc>
          <w:tcPr>
            <w:tcW w:type="dxa" w:w="5216"/>
          </w:tcPr>
          <w:p>
            <w:r/>
            <w:r>
              <w:rPr>
                <w:rFonts w:ascii="游ゴシック" w:hAnsi="游ゴシック" w:eastAsia="游ゴシック"/>
                <w:sz w:val="18"/>
              </w:rPr>
              <w:t>認知症対応型通所介護が平成26年度まで2事業所ありましたが平成27年度以降ゼロとなり、認知症対応型共同生活介護も令和4年度に6事業所から5事業所へ減少しております（見える化K3o・K2c）。廃止・転換の経緯と、利用者の受け皿がどこへ移ったかをご教示ください。第5章の認知症施策の記述の前提となります。なお24時間対応サービス（定期巡回・夜間対応・看多機）の整備方針は上記１(8)でご決定をお願いしてお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H13・H14の定義変更　【更新】</w:t>
            </w:r>
          </w:p>
        </w:tc>
        <w:tc>
          <w:tcPr>
            <w:tcW w:type="dxa" w:w="5216"/>
          </w:tcPr>
          <w:p>
            <w:r/>
            <w:r>
              <w:rPr>
                <w:rFonts w:ascii="游ゴシック" w:hAnsi="游ゴシック" w:eastAsia="游ゴシック"/>
                <w:sz w:val="18"/>
              </w:rPr>
              <w:t>H13（職種別欠員率）は「必要常勤換算数」を必要としますが、そのデータ源であった見える化のH1・H2（介護人材の必要数）はデータ登録がない旨をご教示いただきました。必要数が得られない以上、欠員率は算定できません。一方、M2-a〜mをご提供いただき、職種別従事者数の推移が把握できるようになりました（介護老人福祉施設では准看護師が平成29年度7人→令和6年度3人、生活相談員5人→3人、機能訓練指導員2人→1人）。H13を「職種別従事者数（認定者1万対）の推移」へ、H14を北海道と同じ「採用率と離職率の差」（第9期の介護人材実態調査の採用者数・退職者数から算定）へ定義変更することをご検討ください。北海道の第9期評価指標⑥と接続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20</w:t>
            </w:r>
          </w:p>
        </w:tc>
        <w:tc>
          <w:tcPr>
            <w:tcW w:type="dxa" w:w="2041"/>
          </w:tcPr>
          <w:p>
            <w:r/>
            <w:r>
              <w:rPr>
                <w:rFonts w:ascii="游ゴシック" w:hAnsi="游ゴシック" w:eastAsia="游ゴシック"/>
                <w:sz w:val="18"/>
              </w:rPr>
              <w:t>交付金評価で0点となっている10項目　【新規】</w:t>
            </w:r>
          </w:p>
        </w:tc>
        <w:tc>
          <w:tcPr>
            <w:tcW w:type="dxa" w:w="5216"/>
          </w:tcPr>
          <w:p>
            <w:r/>
            <w:r>
              <w:rPr>
                <w:rFonts w:ascii="游ゴシック" w:hAnsi="游ゴシック" w:eastAsia="游ゴシック"/>
                <w:sz w:val="18"/>
              </w:rPr>
              <w:t>保険者機能強化推進交付金等の評価（令和5年調査）で、次の10項目が0点となっております。①評価結果を関係者間で共有し自立支援等に資する取組を検討　②今年度の評価得点　③PFSの活用　④ケアプラン点検の実施割合　⑤医療情報との突合の実施割合　⑥介護の仕事の魅力を伝達するための取組　⑦介護人材の定着・資質向上に関する取組　⑧認知症サポーターステップアップ講座　⑨入退院支援の実施状況　⑩人生の最終段階における支援の実施状況。それぞれ、取組自体を行っていないのか、取組はあるが要件を満たさないのかをご教示ください。特に④⑤は北海道の第9期評価指標⑧「給付適正化主要3事業の実施率100％」に関わ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21</w:t>
            </w:r>
          </w:p>
        </w:tc>
        <w:tc>
          <w:tcPr>
            <w:tcW w:type="dxa" w:w="2041"/>
          </w:tcPr>
          <w:p>
            <w:r/>
            <w:r>
              <w:rPr>
                <w:rFonts w:ascii="游ゴシック" w:hAnsi="游ゴシック" w:eastAsia="游ゴシック"/>
                <w:sz w:val="18"/>
              </w:rPr>
              <w:t>交付金評価の活動指標群が低い要因　【新規】</w:t>
            </w:r>
          </w:p>
        </w:tc>
        <w:tc>
          <w:tcPr>
            <w:tcW w:type="dxa" w:w="5216"/>
          </w:tcPr>
          <w:p>
            <w:r/>
            <w:r>
              <w:rPr>
                <w:rFonts w:ascii="游ゴシック" w:hAnsi="游ゴシック" w:eastAsia="游ゴシック"/>
                <w:sz w:val="18"/>
              </w:rPr>
              <w:t>指標群別の得点は、成果指標群が全国平均の123.5％と高い一方、活動指標群は推進交付金で全国の23.2％、支援交付金で55.6％にとどまっております。取組の結果（要介護度の変化等）は全国上位である一方、その結果を生んだ活動が国の様式で記録・報告されていない状態と読み取れます。評価調書の作成体制（担当課、3町との分担、根拠資料の保管）をご教示ください。第10期でアウトプット指標を整備すれば、計画の実効性と交付金得点の双方が改善すると考え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22</w:t>
            </w:r>
          </w:p>
        </w:tc>
        <w:tc>
          <w:tcPr>
            <w:tcW w:type="dxa" w:w="2041"/>
          </w:tcPr>
          <w:p>
            <w:r/>
            <w:r>
              <w:rPr>
                <w:rFonts w:ascii="游ゴシック" w:hAnsi="游ゴシック" w:eastAsia="游ゴシック"/>
                <w:sz w:val="18"/>
              </w:rPr>
              <w:t>訪問介護事業所の3事業所増　【新規】</w:t>
            </w:r>
          </w:p>
        </w:tc>
        <w:tc>
          <w:tcPr>
            <w:tcW w:type="dxa" w:w="5216"/>
          </w:tcPr>
          <w:p>
            <w:r/>
            <w:r>
              <w:rPr>
                <w:rFonts w:ascii="游ゴシック" w:hAnsi="游ゴシック" w:eastAsia="游ゴシック"/>
                <w:sz w:val="18"/>
              </w:rPr>
              <w:t>訪問介護の事業所数が令和5年度10から令和6年度13へ3事業所増加しております（見える化K3a）。新規指定の内容（所在町、母体、サービス提供範囲）をご教示ください。受給者1人あたり利用回数が全国の1.87倍という状況（確認事項5）との関係、及び第6章の見込量への反映のために必要で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ご提供をお願いする資料（24件）</w:t>
      </w:r>
    </w:p>
    <w:p>
      <w:pPr>
        <w:spacing w:after="80"/>
      </w:pPr>
      <w:r>
        <w:rPr>
          <w:rFonts w:ascii="游ゴシック" w:hAnsi="游ゴシック" w:eastAsia="游ゴシック"/>
          <w:b w:val="0"/>
          <w:sz w:val="19"/>
        </w:rPr>
        <w:t>計画の確定に必要な資料です。優先度の高いものから記載しております。</w:t>
      </w:r>
    </w:p>
    <w:p>
      <w:pPr>
        <w:spacing w:after="80"/>
      </w:pPr>
      <w:r>
        <w:rPr>
          <w:rFonts w:ascii="游ゴシック" w:hAnsi="游ゴシック" w:eastAsia="游ゴシック"/>
          <w:b w:val="0"/>
          <w:sz w:val="19"/>
        </w:rPr>
        <w:t>なお、令和8年7月29日に見える化システムのK系列（サービス提供事業所数　全28種別）、M系列（従事者数　13サービス）、W系列（保険者機能強化推進交付金等の評価指標）をご提供いただき、あわせてδ系列（介護サービス自給率）、H1・H2（介護人材の必要数）、J系列（認知症）、L系列（医療機関・看取り・診療報酬側の連携）についてデータ登録がなく出力できない旨をご教示いただきました。これを踏まえ、下表は代替手段の確保を中心に改め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国民健康保険団体連合会から保険者に提供される給付実績情報（介護給付費明細書の事業所番号付きデータ）及び指定事業所台帳（事業所番号・所在地）</w:t>
            </w:r>
          </w:p>
        </w:tc>
        <w:tc>
          <w:tcPr>
            <w:tcW w:type="dxa" w:w="3118"/>
          </w:tcPr>
          <w:p>
            <w:r/>
            <w:r>
              <w:rPr>
                <w:rFonts w:ascii="游ゴシック" w:hAnsi="游ゴシック" w:eastAsia="游ゴシック"/>
                <w:sz w:val="18"/>
              </w:rPr>
              <w:t>介護サービス自給率の算定（見える化δ2・δ3が提供不可のため）。3町の旭川市依存度の把握、基本指針の新別表 五への対応。見える化と同じ定義にするため、毎年9月サービス提供分で集計いたします。なお事業所数（K系列）の受領により、定期巡回・夜間対応・看多機ほか11種別は域内事業所がゼロであり自給率が構造的に0％であることは特定済みで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保険者機能強化推進交付金・介護保険保険者努力支援交付金の評価調書（令和4〜6年度分。広域連合又は3町が国へ提出したもの）</w:t>
            </w:r>
          </w:p>
        </w:tc>
        <w:tc>
          <w:tcPr>
            <w:tcW w:type="dxa" w:w="3118"/>
          </w:tcPr>
          <w:p>
            <w:r/>
            <w:r>
              <w:rPr>
                <w:rFonts w:ascii="游ゴシック" w:hAnsi="游ゴシック" w:eastAsia="游ゴシック"/>
                <w:sz w:val="18"/>
              </w:rPr>
              <w:t>見える化W系列で総合得点332.0点（全国平均422.4点の78.6％）であることを確認いたしましたが、0点となっている10項目について、取組が行われていないのか、取組はあるが要件を満たさないのかを判別するため、評価項目ごとの回答が必要です。第10期のアウトプット指標の設計に直結いたします</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地域密着型通所介護4事業所の稼働率（定員・登録者数・延べ利用者数。令和2〜7年度）</w:t>
            </w:r>
          </w:p>
        </w:tc>
        <w:tc>
          <w:tcPr>
            <w:tcW w:type="dxa" w:w="3118"/>
          </w:tcPr>
          <w:p>
            <w:r/>
            <w:r>
              <w:rPr>
                <w:rFonts w:ascii="游ゴシック" w:hAnsi="游ゴシック" w:eastAsia="游ゴシック"/>
                <w:sz w:val="18"/>
              </w:rPr>
              <w:t>給付月額が27.0％低下している一方、事業所数は4で不変、従事者数は増加しているため、稼働率の低下によるものと考えられます。基本指針の新別表 七「稼働率」への対応も兼ねます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3町の認知症施策の実施状況（認知症初期集中支援チームの訪問実績、認知症地域支援推進員の配置人数と業務内容、認知症カフェの箇所数と参加者数、認知症サポーター数とステップアップ講座の開催状況、チームオレンジの有無。令和2〜7年度）</w:t>
            </w:r>
          </w:p>
        </w:tc>
        <w:tc>
          <w:tcPr>
            <w:tcW w:type="dxa" w:w="3118"/>
          </w:tcPr>
          <w:p>
            <w:r/>
            <w:r>
              <w:rPr>
                <w:rFonts w:ascii="游ゴシック" w:hAnsi="游ゴシック" w:eastAsia="游ゴシック"/>
                <w:sz w:val="18"/>
              </w:rPr>
              <w:t>基本指針の新別表 十一への対応（見える化J系列が提供不可のため）。交付金評価では認知症地域支援推進員の業務の状況が全国の33.9％、認知症サポーター数が41.7％、ステップアップ講座が0点となっております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介護保険施設・特定施設の入所率（施設別・定員・入所者数。令和2〜7年度）</w:t>
            </w:r>
          </w:p>
        </w:tc>
        <w:tc>
          <w:tcPr>
            <w:tcW w:type="dxa" w:w="3118"/>
          </w:tcPr>
          <w:p>
            <w:r/>
            <w:r>
              <w:rPr>
                <w:rFonts w:ascii="游ゴシック" w:hAnsi="游ゴシック" w:eastAsia="游ゴシック"/>
                <w:sz w:val="18"/>
              </w:rPr>
              <w:t>基本指針の新別表 七「入所率」への対応。見える化の当該指標は令和8年度以降の改修待ちであり、第10期計画の策定に間に合わない可能性があるため、指定台帳又は施設への照会でお願いいたします。認定者504人が未利用である要因の分析（H12の代理指標）に直結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見える化の再出力①　O1〜O3・O6〜O13（医療介護連携に関する加算等の算定状況　介護報酬側）　計11件</w:t>
            </w:r>
          </w:p>
        </w:tc>
        <w:tc>
          <w:tcPr>
            <w:tcW w:type="dxa" w:w="3118"/>
          </w:tcPr>
          <w:p>
            <w:r/>
            <w:r>
              <w:rPr>
                <w:rFonts w:ascii="游ゴシック" w:hAnsi="游ゴシック" w:eastAsia="游ゴシック"/>
                <w:sz w:val="18"/>
              </w:rPr>
              <w:t>基本指針の新別表 十への対応。O4・O5は受領済みですが、実数が年0〜1人のため単独では指標として安定しません。H09（退院時支援調整実施率）の代替として複数の加算を合成するため、残る11件が必要です。なお診療報酬側のL20〜L26は提供不可と伺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見える化の再出力②　F15〜F25（地域包括支援センターの設置数・3職種別人員体制・地域ケア会議開催回数）、F28〜F40（訪問型サービスA〜D・通所型サービスA〜C・見守り・配食・介護予防ケアマネジメントの実施延べ件数）　計24件</w:t>
            </w:r>
          </w:p>
        </w:tc>
        <w:tc>
          <w:tcPr>
            <w:tcW w:type="dxa" w:w="3118"/>
          </w:tcPr>
          <w:p>
            <w:r/>
            <w:r>
              <w:rPr>
                <w:rFonts w:ascii="游ゴシック" w:hAnsi="游ゴシック" w:eastAsia="游ゴシック"/>
                <w:sz w:val="18"/>
              </w:rPr>
              <w:t>基本指針の新別表 九への対応。北海道の評価指標②「多様な主体による生活支援・通いの場を実施する市町村数」との接続。3町の体制差（東川町は重層的支援推進室に内包）の定量化</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見える化の再出力③　W系列の個別評価項目（市町村評価指標66件。令和4〜6年度分）</w:t>
            </w:r>
          </w:p>
        </w:tc>
        <w:tc>
          <w:tcPr>
            <w:tcW w:type="dxa" w:w="3118"/>
          </w:tcPr>
          <w:p>
            <w:r/>
            <w:r>
              <w:rPr>
                <w:rFonts w:ascii="游ゴシック" w:hAnsi="游ゴシック" w:eastAsia="游ゴシック"/>
                <w:sz w:val="18"/>
              </w:rPr>
              <w:t>受領した20件は総合得点・目標別・指標群別と目標Ⅰ〜Ⅳの内訳です。施策ごとの改善余地を特定するため、評価項目単位の得点が必要です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人口動態統計の市区町村別集計（死亡場所別の死亡数。3町分・平成30〜令和6年）又は3町の死亡診断書・死体検案書の集計</w:t>
            </w:r>
          </w:p>
        </w:tc>
        <w:tc>
          <w:tcPr>
            <w:tcW w:type="dxa" w:w="3118"/>
          </w:tcPr>
          <w:p>
            <w:r/>
            <w:r>
              <w:rPr>
                <w:rFonts w:ascii="游ゴシック" w:hAnsi="游ゴシック" w:eastAsia="游ゴシック"/>
                <w:sz w:val="18"/>
              </w:rPr>
              <w:t>基本指針の新別表 三への対応（見える化L27・L28が提供不可のため）。在宅看取りの実態把握。北海道又は上川保健所経由でのご入手をお願いいたします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北海道の評価指標との比較、H09・H10の補完指標。交付金評価では地域包括支援センター事業評価の達成状況が全国の45.1％となっております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見える化の指標の受領状況</w:t>
            </w:r>
          </w:p>
        </w:tc>
        <w:tc>
          <w:tcPr>
            <w:tcW w:type="dxa" w:w="7597"/>
          </w:tcPr>
          <w:p>
            <w:r/>
            <w:r>
              <w:rPr>
                <w:rFonts w:ascii="游ゴシック" w:hAnsi="游ゴシック" w:eastAsia="游ゴシック"/>
                <w:sz w:val="18"/>
              </w:rPr>
              <w:t>このたびご提供いただいた「指標リスト（目的別）」により、見える化システムの指標は全906件で、当方が受領しているのはA・B・C・D・P系列の182件（20.1％）であることを確認いたしました。未受領のδ系列（地域分析・自給率）、F系列（地域支援事業）、H系列（介護人材の必要数）、J系列（認知症施策）、K系列（事業所数）、L・M・N・O系列（医療介護連携・従事者数・リハビリ）、W系列（交付金評価指標）に、基本指針の新別表11事項の大半と、測定手段が未確定であったKPIの代替指標が含まれておりました。その後の確認で、①総合事業ベースの通いの場参加率（F1〜F9）と②医療介護連携に関する加算のうち介護報酬側（O系列・令和5年度まで）は出力可能、③介護人材の必要数（H1・H2）と④医療機関・看取り・診療報酬側の連携指標（L系列）はデータ登録がなく提供不可であることが判明いたしました。H1・H2はH13（職種別欠員率）の代替として最有力でしたので、北海道と同じ「採用率と離職率の差」（第9期の介護人材実態調査の採用者数・退職者数から算定）又はM2系列（従事者数・サービス別）での代替に切り替えます。L系列が使えないため、死亡場所別の死亡数は人口動態統計の市区町村別集計又は3町の集計、医療側からの連携の状況は圏域の医療機関への照会で補う必要がございます。</w:t>
            </w:r>
          </w:p>
        </w:tc>
      </w:tr>
      <w:tr>
        <w:tc>
          <w:tcPr>
            <w:tcW w:type="dxa" w:w="1928"/>
          </w:tcPr>
          <w:p>
            <w:r/>
            <w:r>
              <w:rPr>
                <w:rFonts w:ascii="游ゴシック" w:hAnsi="游ゴシック" w:eastAsia="游ゴシック"/>
                <w:sz w:val="18"/>
              </w:rPr>
              <w:t>見える化にまだない指標</w:t>
            </w:r>
          </w:p>
        </w:tc>
        <w:tc>
          <w:tcPr>
            <w:tcW w:type="dxa" w:w="7597"/>
          </w:tcPr>
          <w:p>
            <w:r/>
            <w:r>
              <w:rPr>
                <w:rFonts w:ascii="游ゴシック" w:hAnsi="游ゴシック" w:eastAsia="游ゴシック"/>
                <w:sz w:val="18"/>
              </w:rPr>
              <w:t>一方、入所率・稼働率、介護SCR（性・年齢調整済みレセプト出現比）、人口メッシュは指標リストに見当たらず、基本指針案が（新）としているとおり令和8年度以降の改修で追加されるものと思われます。入所率については、当面は定員（D25〜D27）と受給者数（D1）からの概算、又は施設への直接照会で代替する必要がございます。認定者504人が未利用である要因（施設に空きがあるのか、満床で入れないのか）の判別に直結するため、改修の時期を北海道経由でご確認いただけますと幸いで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なお、本書に記載した数値の根拠は「第10期計画_妥当性検証報告書」（全21シート）及び「第10期計画素案 第9稿→第10稿 修正指示書」（全59件）に整理しております。</w:t>
      </w:r>
    </w:p>
    <w:p>
      <w:r>
        <w:br w:type="page"/>
      </w:r>
    </w:p>
    <w:p>
      <w:pPr>
        <w:spacing w:after="120" w:before="200"/>
      </w:pPr>
      <w:r>
        <w:rPr>
          <w:rFonts w:ascii="游ゴシック" w:hAnsi="游ゴシック" w:eastAsia="游ゴシック"/>
          <w:b/>
          <w:sz w:val="24"/>
        </w:rPr>
        <w:t>【第9版の追記】令和8年7月30日以降の受領資料と決定事項</w:t>
      </w:r>
    </w:p>
    <w:p>
      <w:pPr>
        <w:spacing w:after="160"/>
      </w:pPr>
      <w:r>
        <w:rPr>
          <w:rFonts w:ascii="游ゴシック" w:hAnsi="游ゴシック" w:eastAsia="游ゴシック"/>
          <w:b w:val="0"/>
          <w:sz w:val="21"/>
        </w:rPr>
        <w:t>第8版（令和8年7月29日）の後、次の資料をご提供いただきました。いずれも見える化システムの出力であり、これにより確認事項が解消又は変更となりました。</w:t>
      </w:r>
    </w:p>
    <w:tbl>
      <w:tblPr>
        <w:tblStyle w:val="TableGrid"/>
        <w:tblW w:type="auto" w:w="0"/>
        <w:jc w:val="center"/>
        <w:tblLook w:firstColumn="1" w:firstRow="1" w:lastColumn="0" w:lastRow="0" w:noHBand="0" w:noVBand="1" w:val="04A0"/>
      </w:tblPr>
      <w:tblGrid>
        <w:gridCol w:w="3400"/>
        <w:gridCol w:w="3400"/>
        <w:gridCol w:w="3400"/>
      </w:tblGrid>
      <w:tr>
        <w:tc>
          <w:tcPr>
            <w:tcW w:type="dxa" w:w="2041"/>
          </w:tcPr>
          <w:p>
            <w:r/>
            <w:r>
              <w:rPr>
                <w:rFonts w:ascii="游ゴシック" w:hAnsi="游ゴシック" w:eastAsia="游ゴシック"/>
                <w:b/>
                <w:sz w:val="18"/>
              </w:rPr>
              <w:t>受領資料</w:t>
            </w:r>
          </w:p>
        </w:tc>
        <w:tc>
          <w:tcPr>
            <w:tcW w:type="dxa" w:w="3061"/>
          </w:tcPr>
          <w:p>
            <w:r/>
            <w:r>
              <w:rPr>
                <w:rFonts w:ascii="游ゴシック" w:hAnsi="游ゴシック" w:eastAsia="游ゴシック"/>
                <w:b/>
                <w:sz w:val="18"/>
              </w:rPr>
              <w:t>内容</w:t>
            </w:r>
          </w:p>
        </w:tc>
        <w:tc>
          <w:tcPr>
            <w:tcW w:type="dxa" w:w="4535"/>
          </w:tcPr>
          <w:p>
            <w:r/>
            <w:r>
              <w:rPr>
                <w:rFonts w:ascii="游ゴシック" w:hAnsi="游ゴシック" w:eastAsia="游ゴシック"/>
                <w:b/>
                <w:sz w:val="18"/>
              </w:rPr>
              <w:t>解消・変更となった事項</w:t>
            </w:r>
          </w:p>
        </w:tc>
      </w:tr>
      <w:tr>
        <w:tc>
          <w:tcPr>
            <w:tcW w:type="dxa" w:w="2041"/>
          </w:tcPr>
          <w:p>
            <w:r/>
            <w:r>
              <w:rPr>
                <w:rFonts w:ascii="游ゴシック" w:hAnsi="游ゴシック" w:eastAsia="游ゴシック"/>
                <w:sz w:val="18"/>
              </w:rPr>
              <w:t>δ（介護サービス自給率）</w:t>
            </w:r>
          </w:p>
        </w:tc>
        <w:tc>
          <w:tcPr>
            <w:tcW w:type="dxa" w:w="3061"/>
          </w:tcPr>
          <w:p>
            <w:r/>
            <w:r>
              <w:rPr>
                <w:rFonts w:ascii="游ゴシック" w:hAnsi="游ゴシック" w:eastAsia="游ゴシック"/>
                <w:sz w:val="18"/>
              </w:rPr>
              <w:t>6区分×上川管内23市町村・令和7年9月サービス提供分</w:t>
            </w:r>
          </w:p>
        </w:tc>
        <w:tc>
          <w:tcPr>
            <w:tcW w:type="dxa" w:w="4535"/>
          </w:tcPr>
          <w:p>
            <w:r/>
            <w:r>
              <w:rPr>
                <w:rFonts w:ascii="游ゴシック" w:hAnsi="游ゴシック" w:eastAsia="游ゴシック"/>
                <w:sz w:val="18"/>
              </w:rPr>
              <w:t>施設・居住系の受給が区域外施設の利用によるかどうかが確定しました（東川23.2％・美瑛24.7％・東神楽34.5％）。資料のご提供依頼のうち3件が解消しました</w:t>
            </w:r>
          </w:p>
        </w:tc>
      </w:tr>
      <w:tr>
        <w:tc>
          <w:tcPr>
            <w:tcW w:type="dxa" w:w="2041"/>
          </w:tcPr>
          <w:p>
            <w:r/>
            <w:r>
              <w:rPr>
                <w:rFonts w:ascii="游ゴシック" w:hAnsi="游ゴシック" w:eastAsia="游ゴシック"/>
                <w:sz w:val="18"/>
              </w:rPr>
              <w:t>D49（地域差指数）</w:t>
            </w:r>
          </w:p>
        </w:tc>
        <w:tc>
          <w:tcPr>
            <w:tcW w:type="dxa" w:w="3061"/>
          </w:tcPr>
          <w:p>
            <w:r/>
            <w:r>
              <w:rPr>
                <w:rFonts w:ascii="游ゴシック" w:hAnsi="游ゴシック" w:eastAsia="游ゴシック"/>
                <w:sz w:val="18"/>
              </w:rPr>
              <w:t>4要素×上川管内21保険者・令和5年</w:t>
            </w:r>
          </w:p>
        </w:tc>
        <w:tc>
          <w:tcPr>
            <w:tcW w:type="dxa" w:w="4535"/>
          </w:tcPr>
          <w:p>
            <w:r/>
            <w:r>
              <w:rPr>
                <w:rFonts w:ascii="游ゴシック" w:hAnsi="游ゴシック" w:eastAsia="游ゴシック"/>
                <w:sz w:val="18"/>
              </w:rPr>
              <w:t>給付月額指数1.08が管内では8〜10位であり管内中位に近いことが分かりました。また受給率×受給者単価が給付月額指数に一致しないため、指数の分解による要因の按分を撤回いたしました</w:t>
            </w:r>
          </w:p>
        </w:tc>
      </w:tr>
      <w:tr>
        <w:tc>
          <w:tcPr>
            <w:tcW w:type="dxa" w:w="2041"/>
          </w:tcPr>
          <w:p>
            <w:r/>
            <w:r>
              <w:rPr>
                <w:rFonts w:ascii="游ゴシック" w:hAnsi="游ゴシック" w:eastAsia="游ゴシック"/>
                <w:sz w:val="18"/>
              </w:rPr>
              <w:t>C1（保険料と必要保険料月額）</w:t>
            </w:r>
          </w:p>
        </w:tc>
        <w:tc>
          <w:tcPr>
            <w:tcW w:type="dxa" w:w="3061"/>
          </w:tcPr>
          <w:p>
            <w:r/>
            <w:r>
              <w:rPr>
                <w:rFonts w:ascii="游ゴシック" w:hAnsi="游ゴシック" w:eastAsia="游ゴシック"/>
                <w:sz w:val="18"/>
              </w:rPr>
              <w:t>上川管内21保険者・平成21年度〜令和7年度</w:t>
            </w:r>
          </w:p>
        </w:tc>
        <w:tc>
          <w:tcPr>
            <w:tcW w:type="dxa" w:w="4535"/>
          </w:tcPr>
          <w:p>
            <w:r/>
            <w:r>
              <w:rPr>
                <w:rFonts w:ascii="游ゴシック" w:hAnsi="游ゴシック" w:eastAsia="游ゴシック"/>
                <w:sz w:val="18"/>
              </w:rPr>
              <w:t>第7期の保険料基準額6,077円が原典で確認できました。条例によるご確認は不要となりました。期別の剰余（第7期＋159円・第8期＋66円・第9期2年＋385円）も確定しました</w:t>
            </w:r>
          </w:p>
        </w:tc>
      </w:tr>
      <w:tr>
        <w:tc>
          <w:tcPr>
            <w:tcW w:type="dxa" w:w="2041"/>
          </w:tcPr>
          <w:p>
            <w:r/>
            <w:r>
              <w:rPr>
                <w:rFonts w:ascii="游ゴシック" w:hAnsi="游ゴシック" w:eastAsia="游ゴシック"/>
                <w:sz w:val="18"/>
              </w:rPr>
              <w:t>A系列（人口）</w:t>
            </w:r>
          </w:p>
        </w:tc>
        <w:tc>
          <w:tcPr>
            <w:tcW w:type="dxa" w:w="3061"/>
          </w:tcPr>
          <w:p>
            <w:r/>
            <w:r>
              <w:rPr>
                <w:rFonts w:ascii="游ゴシック" w:hAnsi="游ゴシック" w:eastAsia="游ゴシック"/>
                <w:sz w:val="18"/>
              </w:rPr>
              <w:t>A2・A3・A3a・A4・A9／2000年〜2050年</w:t>
            </w:r>
          </w:p>
        </w:tc>
        <w:tc>
          <w:tcPr>
            <w:tcW w:type="dxa" w:w="4535"/>
          </w:tcPr>
          <w:p>
            <w:r/>
            <w:r>
              <w:rPr>
                <w:rFonts w:ascii="游ゴシック" w:hAnsi="游ゴシック" w:eastAsia="游ゴシック"/>
                <w:sz w:val="18"/>
              </w:rPr>
              <w:t>将来推計の基礎が整いました。第10期期間中は65歳以上人口がほぼ横ばい（▲0.1％）で、増えるのは80〜84歳と85歳以上のみであることが分かりました</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【ご決定いただいた事項】</w:t>
      </w:r>
    </w:p>
    <w:tbl>
      <w:tblPr>
        <w:tblStyle w:val="TableGrid"/>
        <w:tblW w:type="auto" w:w="0"/>
        <w:jc w:val="center"/>
        <w:tblLook w:firstColumn="1" w:firstRow="1" w:lastColumn="0" w:lastRow="0" w:noHBand="0" w:noVBand="1" w:val="04A0"/>
      </w:tblPr>
      <w:tblGrid>
        <w:gridCol w:w="3400"/>
        <w:gridCol w:w="3400"/>
        <w:gridCol w:w="3400"/>
      </w:tblGrid>
      <w:tr>
        <w:tc>
          <w:tcPr>
            <w:tcW w:type="dxa" w:w="1701"/>
          </w:tcPr>
          <w:p>
            <w:r/>
            <w:r>
              <w:rPr>
                <w:rFonts w:ascii="游ゴシック" w:hAnsi="游ゴシック" w:eastAsia="游ゴシック"/>
                <w:b/>
                <w:sz w:val="18"/>
              </w:rPr>
              <w:t>決定日</w:t>
            </w:r>
          </w:p>
        </w:tc>
        <w:tc>
          <w:tcPr>
            <w:tcW w:type="dxa" w:w="2494"/>
          </w:tcPr>
          <w:p>
            <w:r/>
            <w:r>
              <w:rPr>
                <w:rFonts w:ascii="游ゴシック" w:hAnsi="游ゴシック" w:eastAsia="游ゴシック"/>
                <w:b/>
                <w:sz w:val="18"/>
              </w:rPr>
              <w:t>事項</w:t>
            </w:r>
          </w:p>
        </w:tc>
        <w:tc>
          <w:tcPr>
            <w:tcW w:type="dxa" w:w="5443"/>
          </w:tcPr>
          <w:p>
            <w:r/>
            <w:r>
              <w:rPr>
                <w:rFonts w:ascii="游ゴシック" w:hAnsi="游ゴシック" w:eastAsia="游ゴシック"/>
                <w:b/>
                <w:sz w:val="18"/>
              </w:rPr>
              <w:t>内容</w:t>
            </w:r>
          </w:p>
        </w:tc>
      </w:tr>
      <w:tr>
        <w:tc>
          <w:tcPr>
            <w:tcW w:type="dxa" w:w="1701"/>
          </w:tcPr>
          <w:p>
            <w:r/>
            <w:r>
              <w:rPr>
                <w:rFonts w:ascii="游ゴシック" w:hAnsi="游ゴシック" w:eastAsia="游ゴシック"/>
                <w:sz w:val="18"/>
              </w:rPr>
              <w:t>令和8年7月30日</w:t>
            </w:r>
          </w:p>
        </w:tc>
        <w:tc>
          <w:tcPr>
            <w:tcW w:type="dxa" w:w="2494"/>
          </w:tcPr>
          <w:p>
            <w:r/>
            <w:r>
              <w:rPr>
                <w:rFonts w:ascii="游ゴシック" w:hAnsi="游ゴシック" w:eastAsia="游ゴシック"/>
                <w:sz w:val="18"/>
              </w:rPr>
              <w:t>第10期の人口推計の基礎</w:t>
            </w:r>
          </w:p>
        </w:tc>
        <w:tc>
          <w:tcPr>
            <w:tcW w:type="dxa" w:w="5443"/>
          </w:tcPr>
          <w:p>
            <w:r/>
            <w:r>
              <w:rPr>
                <w:rFonts w:ascii="游ゴシック" w:hAnsi="游ゴシック" w:eastAsia="游ゴシック"/>
                <w:sz w:val="18"/>
              </w:rPr>
              <w:t>国立社会保障・人口問題研究所「日本の地域別将来推計人口」（見える化システムの初期値）をそのまま用いる。広域連合からのご意向がない場合は見える化システムの値により進める旨のご指示。これを受けて将来推計の第1段階（人口と認定者数）を実施いたしました</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【あらためてお願いする事項】</w:t>
      </w:r>
    </w:p>
    <w:p>
      <w:pPr>
        <w:spacing w:after="120"/>
      </w:pPr>
      <w:r>
        <w:rPr>
          <w:rFonts w:ascii="游ゴシック" w:hAnsi="游ゴシック" w:eastAsia="游ゴシック"/>
          <w:b w:val="0"/>
          <w:sz w:val="21"/>
        </w:rPr>
        <w:t>上記の受領と決定を踏まえ、現時点で最も急ぐものは次のとおりです。詳細は別冊の「必要事項の一覧」をご覧ください。</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134"/>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事項</w:t>
            </w:r>
          </w:p>
        </w:tc>
        <w:tc>
          <w:tcPr>
            <w:tcW w:type="dxa" w:w="3742"/>
          </w:tcPr>
          <w:p>
            <w:r/>
            <w:r>
              <w:rPr>
                <w:rFonts w:ascii="游ゴシック" w:hAnsi="游ゴシック" w:eastAsia="游ゴシック"/>
                <w:b/>
                <w:sz w:val="18"/>
              </w:rPr>
              <w:t>これがないと進まないこと</w:t>
            </w:r>
          </w:p>
        </w:tc>
        <w:tc>
          <w:tcPr>
            <w:tcW w:type="dxa" w:w="1361"/>
          </w:tcPr>
          <w:p>
            <w:r/>
            <w:r>
              <w:rPr>
                <w:rFonts w:ascii="游ゴシック" w:hAnsi="游ゴシック" w:eastAsia="游ゴシック"/>
                <w:b/>
                <w:sz w:val="18"/>
              </w:rPr>
              <w:t>希望時期</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令和6〜8年度の施策・事業実績、事業量、対象実人数、予算・決算</w:t>
            </w:r>
          </w:p>
        </w:tc>
        <w:tc>
          <w:tcPr>
            <w:tcW w:type="dxa" w:w="3742"/>
          </w:tcPr>
          <w:p>
            <w:r/>
            <w:r>
              <w:rPr>
                <w:rFonts w:ascii="游ゴシック" w:hAnsi="游ゴシック" w:eastAsia="游ゴシック"/>
                <w:sz w:val="18"/>
              </w:rPr>
              <w:t>仕様書４（2）の第9期評価が完了いたしません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在宅生活改善調査・居所変更実態調査・介護人材実態調査の第10期分</w:t>
            </w:r>
          </w:p>
        </w:tc>
        <w:tc>
          <w:tcPr>
            <w:tcW w:type="dxa" w:w="3742"/>
          </w:tcPr>
          <w:p>
            <w:r/>
            <w:r>
              <w:rPr>
                <w:rFonts w:ascii="游ゴシック" w:hAnsi="游ゴシック" w:eastAsia="游ゴシック"/>
                <w:sz w:val="18"/>
              </w:rPr>
              <w:t>仕様書４（3）が完了いたしません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要介護度別認定者数の実績（令和元年〜令和8年度・各年3月末）</w:t>
            </w:r>
          </w:p>
        </w:tc>
        <w:tc>
          <w:tcPr>
            <w:tcW w:type="dxa" w:w="3742"/>
          </w:tcPr>
          <w:p>
            <w:r/>
            <w:r>
              <w:rPr>
                <w:rFonts w:ascii="游ゴシック" w:hAnsi="游ゴシック" w:eastAsia="游ゴシック"/>
                <w:sz w:val="18"/>
              </w:rPr>
              <w:t>将来推計の第2段階（サービス見込量）に進めません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令和6年・令和7年の町別住民基本台帳人口（年齢4区分別）</w:t>
            </w:r>
          </w:p>
        </w:tc>
        <w:tc>
          <w:tcPr>
            <w:tcW w:type="dxa" w:w="3742"/>
          </w:tcPr>
          <w:p>
            <w:r/>
            <w:r>
              <w:rPr>
                <w:rFonts w:ascii="游ゴシック" w:hAnsi="游ゴシック" w:eastAsia="游ゴシック"/>
                <w:sz w:val="18"/>
              </w:rPr>
              <w:t>第2章第1節の町別の記述及び特定地域の判定が確定いたしません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介護サービス自給率（δ）の計画本文への掲載の可否</w:t>
            </w:r>
          </w:p>
        </w:tc>
        <w:tc>
          <w:tcPr>
            <w:tcW w:type="dxa" w:w="3742"/>
          </w:tcPr>
          <w:p>
            <w:r/>
            <w:r>
              <w:rPr>
                <w:rFonts w:ascii="游ゴシック" w:hAnsi="游ゴシック" w:eastAsia="游ゴシック"/>
                <w:sz w:val="18"/>
              </w:rPr>
              <w:t>同指標は自治体向けのため取扱いに注意を要する旨が明記されております。掲載できない場合、第2章第3節の構成を組み替えます</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階級別認定率のシナリオの選択</w:t>
            </w:r>
          </w:p>
        </w:tc>
        <w:tc>
          <w:tcPr>
            <w:tcW w:type="dxa" w:w="3742"/>
          </w:tcPr>
          <w:p>
            <w:r/>
            <w:r>
              <w:rPr>
                <w:rFonts w:ascii="游ゴシック" w:hAnsi="游ゴシック" w:eastAsia="游ゴシック"/>
                <w:sz w:val="18"/>
              </w:rPr>
              <w:t>①現状固定／②トレンド継続（推奨）／③令和元年水準へ回帰。令和11年度の認定者数は2,004〜2,112人となります</w:t>
            </w:r>
          </w:p>
        </w:tc>
        <w:tc>
          <w:tcPr>
            <w:tcW w:type="dxa" w:w="1361"/>
          </w:tcPr>
          <w:p>
            <w:r/>
            <w:r>
              <w:rPr>
                <w:rFonts w:ascii="游ゴシック" w:hAnsi="游ゴシック" w:eastAsia="游ゴシック"/>
                <w:sz w:val="18"/>
              </w:rPr>
              <w:t>令和8年10月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介護保険事業計画策定委員会の開催日程・審議事項・資料提出期限</w:t>
            </w:r>
          </w:p>
        </w:tc>
        <w:tc>
          <w:tcPr>
            <w:tcW w:type="dxa" w:w="3742"/>
          </w:tcPr>
          <w:p>
            <w:r/>
            <w:r>
              <w:rPr>
                <w:rFonts w:ascii="游ゴシック" w:hAnsi="游ゴシック" w:eastAsia="游ゴシック"/>
                <w:sz w:val="18"/>
              </w:rPr>
              <w:t>仕様書４（8）各種会議への技術的支援に着手できません</w:t>
            </w:r>
          </w:p>
        </w:tc>
        <w:tc>
          <w:tcPr>
            <w:tcW w:type="dxa" w:w="1361"/>
          </w:tcPr>
          <w:p>
            <w:r/>
            <w:r>
              <w:rPr>
                <w:rFonts w:ascii="游ゴシック" w:hAnsi="游ゴシック" w:eastAsia="游ゴシック"/>
                <w:sz w:val="18"/>
              </w:rPr>
              <w:t>令和8年8月</w:t>
            </w:r>
          </w:p>
        </w:tc>
      </w:tr>
    </w:tbl>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21"/>
        </w:rPr>
        <w:t>なお、図表のレイアウト・体裁につきましては、第9期計画の体裁を維持する方針でご確認をお願いしております。ご確認の結果をいただき次第、全図表へ反映いたします。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