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23.8人／月で村内定員27人の88.1%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7年度に88.1%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23.8人／月（令和7年度）。稼働率88%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D13・D17により算定</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23.8人／月で、村内グループホームの定員27人に対する稼働率は88%です。令和5年度の74.8%から上がり続けており、村内の受け皿の余地は狭まっています。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いずれも計画期間に村内の定員を超えません。最も高いのは通所介護の令和11年度で83.6%です。したがって定員による頭打ちを課しても見込量は動きません。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88.1%・通所介護77.8%（令和7年度）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2026-10-07T23:31:50.499Z</dcterms:created>
  <dcterms:modified xsi:type="dcterms:W3CDTF">2026-10-07T23:31:50.499Z</dcterms:modified>
</cp:coreProperties>
</file>

<file path=docProps/custom.xml><?xml version="1.0" encoding="utf-8"?>
<Properties xmlns="http://schemas.openxmlformats.org/officeDocument/2006/custom-properties" xmlns:vt="http://schemas.openxmlformats.org/officeDocument/2006/docPropsVTypes"/>
</file>