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交付金の評価と取り戻しをめざす27点</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Style w:val="1"/>
        <w:keepNext/>
        <w:keepLines/>
        <w:pageBreakBefore/>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８事業所の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供給側の状況は、厚生労働省「介護サービス情報公表システム」により、町内８事業所の14の指定すべてについて把握しました（令和８年10月）。 定員・在所者数・入所率・待機者数・職種別の従業者数・前年度の採用者数及び退職者数・指定の年月日・退所先が公表されています。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町内にあった軽費老人ホーム（定員70人）は、令和6年3月31日に廃止されました。 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pPr>
        <w:spacing w:before="0" w:after="0" w:line="120" w:lineRule="exact"/>
        <w:rPr>
          <w:sz w:val="4"/>
          <w:szCs w:val="4"/>
        </w:rPr>
      </w:pP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①調査又は実績で裏付けのある事実があること、②第１０期の３年間で打ち手があること、の２つを基準に５本に集約しました（計画素案3-4）。</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第1回策定委員会で報告された1ユニット分の人員の削減、訪問介護の従業者が常勤換算4.5人、施設・居住系の介護職員（常勤換算）82.8人→80.5人、給付費の平坦化（令和7年度0.8％減）</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見込量確保の方策、介護人材の確保、事業所との対話（第7章）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家族介護もサービス利用もない世帯50件（36.2％）。「単身世帯かつ家族介護なし」では24件中20件（83.3％）が施設入所を申込済み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家族介護者への支援、見守り、ケアマネジメント（第5章5-3）</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後期高齢者の増加と重度化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75歳以上が4年で＋15.4％（令和7年度末1,742人）。要介護1・2の平均要介護度の伸びは全国1,580位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介護予防、重度化予防、KPIによる成果の確認（第5章5-1・5-4、第10章）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外出時の移動手段は自動車（自分で運転）74.1％・路線バス5.4％。外出を控えている方19.1％</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移動支援3制度、通いの場（第5章5-3・5-4）</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家族・友人以外に相談できる相手が「いない」38.8％、認知症相談窓口を知らない52.3％</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相談体制、アウトリーチ、認知症施策（第5章5-4、第6章）</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初の計画素案は課題を起点とした６つの基本目標により体系化しており、章立てが異なっていました。現在の計画素案は、下の事務局案Ｃにより組んでいます（７つの柱）。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当初の計画素案の６つの基本目標により体系化する（認知症施策を独立章とし、家族介護者支援・移動支援の再構築・広域医療連携を施策として立てる）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町ご提示の体系（案）と当初の計画素案の基本目標との対応は次のとおりです。章立ての違いのほか、双方に相手方へ対応する項がない施策群があります。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当初の計画素案の基本目標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当初の計画素案に記載のない事業が10件、当初の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なお、計画素案は町のご回答（令和８年９月25日）によりＣ案で仮に組んでおり、委員会のご承認の前のものです。Ａ又はＢとなった場合は、第５章から第８章の節・項を組み替え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認知症対応型共同生活介護、地域密着型介護老人福祉施設入所者生活介護及び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5,931円（▲212円）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6,355円（＋212円）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約29.9万円）により10人分を増減させており、10人で月額約212円動きます（1円未満四捨五入。基金の取崩しの額によらず同じ幅です）。計画素案の保険料算定と同じ式によるものです。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宮城県の高齢者福祉圏域である仙南圏域（２市７町）には、定期巡回・随時対応型訪問介護看護が２事業所（白石市・角田市）、看護小規模多機能型居宅介護が２事業所（白石市・角田市）、小規模多機能型居宅介護が４事業所（村田町・柴田町・白石市）あり、夜間対応型訪問介護はありません（介護サービス情報公表システム、令和８年６月末時点）。町外の地域密着型サービスの利用には本町による指定が要り、その状況をご確認いただいています【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事務局案Ｂは、基金残高の見通しと第11期以降の保険料の平準化を踏まえ、比較案の一つとして50％取崩しを示すもので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6,208円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5,529円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6,339円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5,659円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保険料を動かす要因（算定Ａ 6,822円＝基金の取崩しなしを基準）</w:t>
      </w:r>
      <w:r>
        <w:rPr>
          <w:rFonts w:ascii="BIZ UDPゴシック" w:eastAsia="BIZ UDPゴシック" w:hAnsi="BIZ UDPゴシック"/>
          <w:b/>
          <w:bCs/>
          <w:sz w:val="23"/>
          <w:szCs w:val="23"/>
        </w:rPr>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＋66円（算定Ｂ・Ｃでは＋65円）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＋196円（算定Ｂでは＋196円、算定Ｃでは＋195円）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▲212円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上の差額は、算定Ａ（取崩しなし）を基準とした値です。基金の取崩しは保険料収納必要額から一定額を差し引くものであるため、報酬改定・負担割合・調整交付金・入所・居住系の人数による差は、算定Ｂ・Ｃでもほぼ同じです。予定収納率による差は、取崩し後の額に比例するため、算定Ｂ・Ｃでは小さく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介護給付費準備基金の令和８年度末残高の見込額（決算による確定は令和９年度）</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町財政担当にご確認をお願い中。第３回策定委員会では見込額を用います</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７．交付金の評価と取り戻しをめざす27点</w:t>
      </w:r>
      <w:r>
        <w:rPr>
          <w:rFonts w:ascii="BIZ UDPゴシック" w:eastAsia="BIZ UDPゴシック" w:hAnsi="BIZ UDPゴシック"/>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市町村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取り戻せるか（見込み）</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市町村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市町村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全国1,741市町村</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同規模かつ過疎285市町村</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市町村は全国1,741市町村のうち６団体のみで、本町の353点はそれに次ぐ水準にあります。とくに推進交付金 目標Ⅲ（介護人材の確保その他のサービス提供基盤の整備）の体制・取組指標群は64点満点で、全国で最も高い得点です（同じ64点の市町村は165団体）。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市町村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は、「評価結果の活用」の要件イ（庁外の関係者の参画）に当たる取組の一つとなり得ます。評価指標は「地域ケア会議や計画策定委員会等既存の会議体に、議題を追加して報告」することで足りるとしています。評価は、国の該当状況調査への回答と、本日の議事の記録・反映の結果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ことが影響している可能性があります（因果関係は、町内外別の利用の推移等による追加の検証を要し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は、この要件に当たる取組の一つとなり得ます（評価は国の該当状況調査への回答と記録によ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長期総合計画との関係と、宮城県の第１０期みやぎ高齢者元気プラン（骨子（案））との対応を明記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サービス供給体制の状況を新設（公表情報により町内８事業所の14の指定を把握）。調査結果は第9期調査との比較・体格（BMI）と低栄養リスクを追加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当初の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当初の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第５章・第６章の17表。134事業と再掲４件）には、何をする事業なのかが分かるよう「内容」の欄を設けています。現在の計画素案は本文118頁で、資料編（見込13頁）を加えると計131頁となり、仕様書８の「100頁程度」を31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宮城県への事前協議の開始（介護保険法第117条第13項）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rPr>
          <w:cantSplit/>
        </w:trPr>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keepNext/>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keepNext/>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keepNext/>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p>
      <w:pPr>
        <w:spacing w:before="0" w:after="0" w:line="120" w:lineRule="exact"/>
        <w:rPr>
          <w:sz w:val="4"/>
          <w:szCs w:val="4"/>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keepNext/>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交付金の評価結果のご報告（７）。ご報告し、ご意見をいただくことは「評価結果の活用」の要件に当たる取組の一つとなり得ます（評価は国の該当状況調査への回答と議事の記録によります）</w:t>
      </w:r>
      <w:r>
        <w:rPr>
          <w:rFonts w:ascii="BIZ UDPゴシック" w:eastAsia="BIZ UDPゴシック" w:hAnsi="BIZ UDPゴシック"/>
          <w:sz w:val="22"/>
          <w:szCs w:val="22"/>
        </w:rPr>
      </w:r>
    </w:p>
    <w:p w14:paraId="7E1007D2" w14:textId="77777777" w:rsidR="003F1968" w:rsidRPr="00AF4EBE" w:rsidRDefault="00000000" w:rsidP="00AF4EB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