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地域の課題（第5節）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ご決定をお願いする事項　25件（第6節）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認知症施策推進計画の扱い（第7節）</w:t>
            </w:r>
          </w:p>
        </w:tc>
      </w:tr>
      <w:tr>
        <w:trPr>
          <w:cantSplit/>
        </w:trPr>
        <w:tc>
          <w:tcPr>
            <w:tcW w:type="dxa" w:w="1474"/>
            <w:vAlign w:val="center"/>
          </w:tcPr>
          <w:p>
            <w:pPr>
              <w:spacing w:after="0"/>
              <w:jc w:val="center"/>
            </w:pPr>
            <w:r>
              <w:rPr>
                <w:rFonts w:ascii="游ゴシック" w:hAnsi="游ゴシック" w:eastAsia="游ゴシック"/>
                <w:b/>
                <w:sz w:val="18"/>
              </w:rPr>
              <w:t>6</w:t>
            </w:r>
          </w:p>
        </w:tc>
        <w:tc>
          <w:tcPr>
            <w:tcW w:type="dxa" w:w="8277"/>
            <w:vAlign w:val="center"/>
          </w:tcPr>
          <w:p>
            <w:pPr>
              <w:spacing w:after="0"/>
            </w:pPr>
            <w:r>
              <w:rPr>
                <w:rFonts w:ascii="游ゴシック" w:hAnsi="游ゴシック" w:eastAsia="游ゴシック"/>
                <w:b w:val="0"/>
                <w:sz w:val="18"/>
              </w:rPr>
              <w:t>資料のご提供のお願いと今後の進め方（第9節・第10節）</w:t>
            </w:r>
          </w:p>
        </w:tc>
      </w:tr>
    </w:tbl>
    <w:p>
      <w:pPr>
        <w:ind w:left="227"/>
      </w:pPr>
      <w:r>
        <w:rPr>
          <w:rFonts w:ascii="游ゴシック" w:hAnsi="游ゴシック" w:eastAsia="游ゴシック"/>
          <w:b w:val="0"/>
          <w:sz w:val="18"/>
        </w:rPr>
        <w:t>※ 町ごとの個別協議（令和8年10月中旬から下旬）でお伺いする事項は第8節に掲げています。本意見交換会では扱いません。</w:t>
      </w:r>
    </w:p>
    <w:p>
      <w:pPr>
        <w:keepNext/>
        <w:pageBreakBefore/>
        <w:spacing w:before="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表2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表3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174件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161件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36件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25件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広域連合として決めていただく事項です（第6節）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東川町4件／美瑛町5件／東神楽町2件（第8節）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表4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keepNext/>
        <w:spacing w:before="160" w:after="40"/>
      </w:pPr>
      <w:r>
        <w:rPr>
          <w:rFonts w:ascii="游ゴシック" w:hAnsi="游ゴシック" w:eastAsia="游ゴシック"/>
          <w:b/>
          <w:sz w:val="20"/>
        </w:rPr>
        <w:t>表5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b w:val="0"/>
          <w:sz w:val="18"/>
        </w:rPr>
        <w:t>※ いずれも令和8年10月1日に確定し、第3節の算定に反映しています。</w:t>
      </w:r>
    </w:p>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表6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表7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表8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表9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pageBreakBefore/>
        <w:spacing w:before="0" w:after="120"/>
      </w:pPr>
      <w:r>
        <w:rPr>
          <w:rFonts w:ascii="游ゴシック" w:hAnsi="游ゴシック" w:eastAsia="游ゴシック"/>
          <w:b/>
          <w:color w:val="1F3864"/>
          <w:sz w:val="26"/>
        </w:rPr>
        <w:t>第5節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表10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第6節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keepNext/>
        <w:spacing w:before="180" w:after="60"/>
      </w:pPr>
      <w:r>
        <w:rPr>
          <w:rFonts w:ascii="游ゴシック" w:hAnsi="游ゴシック" w:eastAsia="游ゴシック"/>
          <w:b/>
          <w:sz w:val="22"/>
        </w:rPr>
        <w:t>1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表11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2　計画の記載に関わるもの（21件）</w:t>
      </w:r>
    </w:p>
    <w:p>
      <w:pPr>
        <w:keepNext/>
        <w:spacing w:before="160" w:after="40"/>
      </w:pPr>
      <w:r>
        <w:rPr>
          <w:rFonts w:ascii="游ゴシック" w:hAnsi="游ゴシック" w:eastAsia="游ゴシック"/>
          <w:b/>
          <w:sz w:val="20"/>
        </w:rPr>
        <w:t>表12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3　受託者が仮置きにより進めた事項（46件）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表13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No.33</w:t>
            </w:r>
          </w:p>
        </w:tc>
        <w:tc>
          <w:tcPr>
            <w:tcW w:type="dxa" w:w="2608"/>
            <w:vAlign w:val="center"/>
          </w:tcPr>
          <w:p>
            <w:pPr>
              <w:spacing w:after="0"/>
            </w:pPr>
            <w:r>
              <w:rPr>
                <w:rFonts w:ascii="游ゴシック" w:hAnsi="游ゴシック" w:eastAsia="游ゴシック"/>
                <w:b w:val="0"/>
                <w:sz w:val="16"/>
              </w:rPr>
              <w:t>第10期の政令改正の内容（所得段階）</w:t>
            </w:r>
          </w:p>
        </w:tc>
        <w:tc>
          <w:tcPr>
            <w:tcW w:type="dxa" w:w="4649"/>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vAlign w:val="center"/>
          </w:tcPr>
          <w:p>
            <w:pPr>
              <w:spacing w:after="0"/>
            </w:pPr>
            <w:r>
              <w:rPr>
                <w:rFonts w:ascii="游ゴシック" w:hAnsi="游ゴシック" w:eastAsia="游ゴシック"/>
                <w:b w:val="0"/>
                <w:sz w:val="16"/>
              </w:rPr>
              <w:t>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No.39</w:t>
            </w:r>
          </w:p>
        </w:tc>
        <w:tc>
          <w:tcPr>
            <w:tcW w:type="dxa" w:w="2608"/>
            <w:shd w:val="clear" w:color="auto" w:fill="F2F5FA"/>
            <w:vAlign w:val="center"/>
          </w:tcPr>
          <w:p>
            <w:pPr>
              <w:spacing w:after="0"/>
            </w:pPr>
            <w:r>
              <w:rPr>
                <w:rFonts w:ascii="游ゴシック" w:hAnsi="游ゴシック" w:eastAsia="游ゴシック"/>
                <w:b w:val="0"/>
                <w:sz w:val="16"/>
              </w:rPr>
              <w:t>中間報告・施策体系新旧対照表・骨子案のご確認</w:t>
            </w:r>
          </w:p>
        </w:tc>
        <w:tc>
          <w:tcPr>
            <w:tcW w:type="dxa" w:w="4649"/>
            <w:shd w:val="clear" w:color="auto" w:fill="F2F5FA"/>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shd w:val="clear" w:color="auto" w:fill="F2F5FA"/>
            <w:vAlign w:val="center"/>
          </w:tcPr>
          <w:p>
            <w:pPr>
              <w:spacing w:after="0"/>
            </w:pPr>
            <w:r>
              <w:rPr>
                <w:rFonts w:ascii="游ゴシック" w:hAnsi="游ゴシック" w:eastAsia="游ゴシック"/>
                <w:b w:val="0"/>
                <w:sz w:val="16"/>
              </w:rPr>
              <w:t>第4章第3節</w:t>
            </w:r>
          </w:p>
        </w:tc>
      </w:tr>
      <w:tr>
        <w:trPr>
          <w:cantSplit/>
        </w:trPr>
        <w:tc>
          <w:tcPr>
            <w:tcW w:type="dxa" w:w="794"/>
            <w:vAlign w:val="center"/>
          </w:tcPr>
          <w:p>
            <w:pPr>
              <w:spacing w:after="0"/>
              <w:jc w:val="center"/>
            </w:pPr>
            <w:r>
              <w:rPr>
                <w:rFonts w:ascii="游ゴシック" w:hAnsi="游ゴシック" w:eastAsia="游ゴシック"/>
                <w:b w:val="0"/>
                <w:sz w:val="16"/>
              </w:rPr>
              <w:t>No.40</w:t>
            </w:r>
          </w:p>
        </w:tc>
        <w:tc>
          <w:tcPr>
            <w:tcW w:type="dxa" w:w="2608"/>
            <w:vAlign w:val="center"/>
          </w:tcPr>
          <w:p>
            <w:pPr>
              <w:spacing w:after="0"/>
            </w:pPr>
            <w:r>
              <w:rPr>
                <w:rFonts w:ascii="游ゴシック" w:hAnsi="游ゴシック" w:eastAsia="游ゴシック"/>
                <w:b w:val="0"/>
                <w:sz w:val="16"/>
              </w:rPr>
              <w:t>社会資源一覧の従業員数の重複計上の扱い</w:t>
            </w:r>
          </w:p>
        </w:tc>
        <w:tc>
          <w:tcPr>
            <w:tcW w:type="dxa" w:w="4649"/>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vAlign w:val="center"/>
          </w:tcPr>
          <w:p>
            <w:pPr>
              <w:spacing w:after="0"/>
            </w:pPr>
            <w:r>
              <w:rPr>
                <w:rFonts w:ascii="游ゴシック" w:hAnsi="游ゴシック" w:eastAsia="游ゴシック"/>
                <w:b w:val="0"/>
                <w:sz w:val="16"/>
              </w:rPr>
              <w:t>第2章第3節5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No.43</w:t>
            </w:r>
          </w:p>
        </w:tc>
        <w:tc>
          <w:tcPr>
            <w:tcW w:type="dxa" w:w="2608"/>
            <w:shd w:val="clear" w:color="auto" w:fill="F2F5FA"/>
            <w:vAlign w:val="center"/>
          </w:tcPr>
          <w:p>
            <w:pPr>
              <w:spacing w:after="0"/>
            </w:pPr>
            <w:r>
              <w:rPr>
                <w:rFonts w:ascii="游ゴシック" w:hAnsi="游ゴシック" w:eastAsia="游ゴシック"/>
                <w:b w:val="0"/>
                <w:sz w:val="16"/>
              </w:rPr>
              <w:t>認定に要する日数の扱い</w:t>
            </w:r>
          </w:p>
        </w:tc>
        <w:tc>
          <w:tcPr>
            <w:tcW w:type="dxa" w:w="4649"/>
            <w:shd w:val="clear" w:color="auto" w:fill="F2F5FA"/>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shd w:val="clear" w:color="auto" w:fill="F2F5FA"/>
            <w:vAlign w:val="center"/>
          </w:tcPr>
          <w:p>
            <w:pPr>
              <w:spacing w:after="0"/>
            </w:pPr>
            <w:r>
              <w:rPr>
                <w:rFonts w:ascii="游ゴシック" w:hAnsi="游ゴシック" w:eastAsia="游ゴシック"/>
                <w:b w:val="0"/>
                <w:sz w:val="16"/>
              </w:rPr>
              <w:t>第2章第1節3・第5章 基本目標5</w:t>
            </w:r>
          </w:p>
        </w:tc>
      </w:tr>
      <w:tr>
        <w:trPr>
          <w:cantSplit/>
        </w:trPr>
        <w:tc>
          <w:tcPr>
            <w:tcW w:type="dxa" w:w="794"/>
            <w:vAlign w:val="center"/>
          </w:tcPr>
          <w:p>
            <w:pPr>
              <w:spacing w:after="0"/>
              <w:jc w:val="center"/>
            </w:pPr>
            <w:r>
              <w:rPr>
                <w:rFonts w:ascii="游ゴシック" w:hAnsi="游ゴシック" w:eastAsia="游ゴシック"/>
                <w:b w:val="0"/>
                <w:sz w:val="16"/>
              </w:rPr>
              <w:t>No.45</w:t>
            </w:r>
          </w:p>
        </w:tc>
        <w:tc>
          <w:tcPr>
            <w:tcW w:type="dxa" w:w="2608"/>
            <w:vAlign w:val="center"/>
          </w:tcPr>
          <w:p>
            <w:pPr>
              <w:spacing w:after="0"/>
            </w:pPr>
            <w:r>
              <w:rPr>
                <w:rFonts w:ascii="游ゴシック" w:hAnsi="游ゴシック" w:eastAsia="游ゴシック"/>
                <w:b w:val="0"/>
                <w:sz w:val="16"/>
              </w:rPr>
              <w:t>代表KPI H15の分母の定義</w:t>
            </w:r>
          </w:p>
        </w:tc>
        <w:tc>
          <w:tcPr>
            <w:tcW w:type="dxa" w:w="4649"/>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No.57</w:t>
            </w:r>
          </w:p>
        </w:tc>
        <w:tc>
          <w:tcPr>
            <w:tcW w:type="dxa" w:w="2608"/>
            <w:shd w:val="clear" w:color="auto" w:fill="F2F5FA"/>
            <w:vAlign w:val="center"/>
          </w:tcPr>
          <w:p>
            <w:pPr>
              <w:spacing w:after="0"/>
            </w:pPr>
            <w:r>
              <w:rPr>
                <w:rFonts w:ascii="游ゴシック" w:hAnsi="游ゴシック" w:eastAsia="游ゴシック"/>
                <w:b w:val="0"/>
                <w:sz w:val="16"/>
              </w:rPr>
              <w:t>計画値を0としたサービスに実績がある2件</w:t>
            </w:r>
          </w:p>
        </w:tc>
        <w:tc>
          <w:tcPr>
            <w:tcW w:type="dxa" w:w="4649"/>
            <w:shd w:val="clear" w:color="auto" w:fill="F2F5FA"/>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No.58</w:t>
            </w:r>
          </w:p>
        </w:tc>
        <w:tc>
          <w:tcPr>
            <w:tcW w:type="dxa" w:w="2608"/>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vAlign w:val="center"/>
          </w:tcPr>
          <w:p>
            <w:pPr>
              <w:spacing w:after="0"/>
            </w:pPr>
            <w:r>
              <w:rPr>
                <w:rFonts w:ascii="游ゴシック" w:hAnsi="游ゴシック" w:eastAsia="游ゴシック"/>
                <w:b w:val="0"/>
                <w:sz w:val="16"/>
              </w:rPr>
              <w:t>第6章第2節・第4節1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No.63</w:t>
            </w:r>
          </w:p>
        </w:tc>
        <w:tc>
          <w:tcPr>
            <w:tcW w:type="dxa" w:w="2608"/>
            <w:shd w:val="clear" w:color="auto" w:fill="F2F5FA"/>
            <w:vAlign w:val="center"/>
          </w:tcPr>
          <w:p>
            <w:pPr>
              <w:spacing w:after="0"/>
            </w:pPr>
            <w:r>
              <w:rPr>
                <w:rFonts w:ascii="游ゴシック" w:hAnsi="游ゴシック" w:eastAsia="游ゴシック"/>
                <w:b w:val="0"/>
                <w:sz w:val="16"/>
              </w:rPr>
              <w:t>人口推計の基礎を総合戦略とするご指示への対応</w:t>
            </w:r>
          </w:p>
        </w:tc>
        <w:tc>
          <w:tcPr>
            <w:tcW w:type="dxa" w:w="4649"/>
            <w:shd w:val="clear" w:color="auto" w:fill="F2F5FA"/>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第7節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表14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表15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第8節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表16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spacing w:before="0" w:after="120"/>
      </w:pPr>
      <w:r>
        <w:rPr>
          <w:rFonts w:ascii="游ゴシック" w:hAnsi="游ゴシック" w:eastAsia="游ゴシック"/>
          <w:b/>
          <w:color w:val="1F3864"/>
          <w:sz w:val="26"/>
        </w:rPr>
        <w:t>第9節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表19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spacing w:before="0" w:after="120"/>
      </w:pPr>
      <w:r>
        <w:rPr>
          <w:rFonts w:ascii="游ゴシック" w:hAnsi="游ゴシック" w:eastAsia="游ゴシック"/>
          <w:b/>
          <w:color w:val="1F3864"/>
          <w:sz w:val="26"/>
        </w:rPr>
        <w:t>第10節　10月以降の進め方</w:t>
      </w:r>
    </w:p>
    <w:p>
      <w:pPr>
        <w:keepNext/>
        <w:spacing w:before="160" w:after="40"/>
      </w:pPr>
      <w:r>
        <w:rPr>
          <w:rFonts w:ascii="游ゴシック" w:hAnsi="游ゴシック" w:eastAsia="游ゴシック"/>
          <w:b/>
          <w:sz w:val="20"/>
        </w:rPr>
        <w:t>表20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共通25件のご決定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第2次概算（令和8年10月30日）は、ご決定がない場合も第6節の仮置きにより組みます。その場合は、仮置きによったことを第2次概算の資料に明示します。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