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游ゴシック" w:hAnsi="游ゴシック" w:eastAsia="游ゴシック"/>
          <w:b w:val="0"/>
          <w:color w:val="595959"/>
          <w:sz w:val="20"/>
        </w:rPr>
        <w:t>ビズアップ公共コンサルティング株式会社</w:t>
      </w:r>
    </w:p>
    <w:p>
      <w:pPr>
        <w:spacing w:before="1120"/>
        <w:jc w:val="center"/>
      </w:pPr>
      <w:r>
        <w:rPr>
          <w:rFonts w:ascii="游ゴシック" w:hAnsi="游ゴシック" w:eastAsia="游ゴシック"/>
          <w:b/>
          <w:color w:val="1F3864"/>
          <w:sz w:val="40"/>
        </w:rPr>
        <w:t>介護保険事業計画</w:t>
        <w:br/>
        <w:t>サービス見込量算定の手引き</w:t>
      </w:r>
    </w:p>
    <w:p>
      <w:pPr>
        <w:spacing w:before="200"/>
        <w:jc w:val="center"/>
      </w:pPr>
      <w:r>
        <w:rPr>
          <w:rFonts w:ascii="游ゴシック" w:hAnsi="游ゴシック" w:eastAsia="游ゴシック"/>
          <w:b w:val="0"/>
          <w:sz w:val="24"/>
        </w:rPr>
        <w:t>基準年度・出所・伸びの置き方・自己点検</w:t>
      </w:r>
    </w:p>
    <w:p>
      <w:pPr>
        <w:spacing w:before="1200"/>
        <w:jc w:val="center"/>
      </w:pPr>
      <w:r>
        <w:rPr>
          <w:rFonts w:ascii="游ゴシック" w:hAnsi="游ゴシック" w:eastAsia="游ゴシック"/>
          <w:b w:val="0"/>
          <w:sz w:val="22"/>
        </w:rPr>
        <w:t>令和8年9月</w:t>
      </w:r>
    </w:p>
    <w:p>
      <w:r>
        <w:br w:type="page"/>
      </w:r>
    </w:p>
    <w:p>
      <w:pPr>
        <w:keepNext/>
        <w:spacing w:before="320" w:after="120"/>
      </w:pPr>
      <w:r>
        <w:rPr>
          <w:rFonts w:ascii="游ゴシック" w:hAnsi="游ゴシック" w:eastAsia="游ゴシック"/>
          <w:b/>
          <w:color w:val="1F3864"/>
          <w:sz w:val="26"/>
        </w:rPr>
        <w:t>第1章　この手引きについて</w:t>
      </w:r>
    </w:p>
    <w:p>
      <w:pPr>
        <w:keepNext/>
        <w:spacing w:before="180" w:after="60"/>
      </w:pPr>
      <w:r>
        <w:rPr>
          <w:rFonts w:ascii="游ゴシック" w:hAnsi="游ゴシック" w:eastAsia="游ゴシック"/>
          <w:b/>
          <w:sz w:val="22"/>
        </w:rPr>
        <w:t>1　目的</w:t>
      </w:r>
    </w:p>
    <w:p>
      <w:r>
        <w:rPr>
          <w:rFonts w:ascii="游ゴシック" w:hAnsi="游ゴシック" w:eastAsia="游ゴシック"/>
          <w:b w:val="0"/>
          <w:sz w:val="21"/>
        </w:rPr>
        <w:t>本書は、介護保険事業計画のサービス見込量を算定する方法をまとめたものです。大雪地区広域連合の第10期計画の策定において確立した手順を、他の保険者でも用いられる形に一般化しました。</w:t>
      </w:r>
    </w:p>
    <w:p>
      <w:r>
        <w:rPr>
          <w:rFonts w:ascii="游ゴシック" w:hAnsi="游ゴシック" w:eastAsia="游ゴシック"/>
          <w:b w:val="0"/>
          <w:sz w:val="21"/>
        </w:rPr>
        <w:t>見込量の算定は、給付費と第1号被保険者の保険料に直結します。本書は、算定の各段階でどの選択が保険料をどれだけ動かすかを数値で示すことに重きを置いています。どの置き方が正しいかを一つに定めるのではなく、選択肢を並べて幅を示し、保険者が判断できる形にすることを目的とします。</w:t>
      </w:r>
    </w:p>
    <w:p>
      <w:pPr>
        <w:keepNext/>
        <w:spacing w:before="180" w:after="60"/>
      </w:pPr>
      <w:r>
        <w:rPr>
          <w:rFonts w:ascii="游ゴシック" w:hAnsi="游ゴシック" w:eastAsia="游ゴシック"/>
          <w:b/>
          <w:sz w:val="22"/>
        </w:rPr>
        <w:t>2　本書の使い方</w:t>
      </w:r>
    </w:p>
    <w:p>
      <w:pPr>
        <w:ind w:left="340" w:hanging="340"/>
      </w:pPr>
      <w:r>
        <w:rPr>
          <w:rFonts w:ascii="游ゴシック" w:hAnsi="游ゴシック" w:eastAsia="游ゴシック"/>
          <w:b w:val="0"/>
          <w:sz w:val="21"/>
        </w:rPr>
        <w:t>・第2章から第4章までは、算定に入る前に必ず行う確認です。基準年度と出所を誤ると、以降の精緻な作業が意味を失います。</w:t>
      </w:r>
    </w:p>
    <w:p>
      <w:pPr>
        <w:ind w:left="340" w:hanging="340"/>
      </w:pPr>
      <w:r>
        <w:rPr>
          <w:rFonts w:ascii="游ゴシック" w:hAnsi="游ゴシック" w:eastAsia="游ゴシック"/>
          <w:b w:val="0"/>
          <w:sz w:val="21"/>
        </w:rPr>
        <w:t>・第5章から第8章までは、伸びの置き方と補正です。章ごとに独立しており、必要なものだけを採ることができます。</w:t>
      </w:r>
    </w:p>
    <w:p>
      <w:pPr>
        <w:ind w:left="340" w:hanging="340"/>
      </w:pPr>
      <w:r>
        <w:rPr>
          <w:rFonts w:ascii="游ゴシック" w:hAnsi="游ゴシック" w:eastAsia="游ゴシック"/>
          <w:b w:val="0"/>
          <w:sz w:val="21"/>
        </w:rPr>
        <w:t>・第9章は自己点検です。算定と同時に組み立てることを勧めます。</w:t>
      </w:r>
    </w:p>
    <w:p>
      <w:pPr>
        <w:ind w:left="340" w:hanging="340"/>
      </w:pPr>
      <w:r>
        <w:rPr>
          <w:rFonts w:ascii="游ゴシック" w:hAnsi="游ゴシック" w:eastAsia="游ゴシック"/>
          <w:b w:val="0"/>
          <w:sz w:val="21"/>
        </w:rPr>
        <w:t>・第10章は、実績の趨勢に現れない要因と報酬改定の扱いです。趨勢を延ばす方法が何を落とすかを先に確かめるものです。</w:t>
      </w:r>
    </w:p>
    <w:p>
      <w:pPr>
        <w:ind w:left="340" w:hanging="340"/>
      </w:pPr>
      <w:r>
        <w:rPr>
          <w:rFonts w:ascii="游ゴシック" w:hAnsi="游ゴシック" w:eastAsia="游ゴシック"/>
          <w:b w:val="0"/>
          <w:sz w:val="21"/>
        </w:rPr>
        <w:t>・第11章は、計画に定めるべき事項に対する漏れの点検です。算定に入る前と終えた後の2回行います。</w:t>
      </w:r>
    </w:p>
    <w:p>
      <w:pPr>
        <w:ind w:left="340" w:hanging="340"/>
      </w:pPr>
      <w:r>
        <w:rPr>
          <w:rFonts w:ascii="游ゴシック" w:hAnsi="游ゴシック" w:eastAsia="游ゴシック"/>
          <w:b w:val="0"/>
          <w:sz w:val="21"/>
        </w:rPr>
        <w:t>・資料1のチェックリストは、算定の各段階で確認する事項を並べたものです。</w:t>
      </w:r>
    </w:p>
    <w:p>
      <w:pPr>
        <w:keepNext/>
        <w:spacing w:before="180" w:after="60"/>
      </w:pPr>
      <w:r>
        <w:rPr>
          <w:rFonts w:ascii="游ゴシック" w:hAnsi="游ゴシック" w:eastAsia="游ゴシック"/>
          <w:b/>
          <w:sz w:val="22"/>
        </w:rPr>
        <w:t>3　前提とする資料</w:t>
      </w:r>
    </w:p>
    <w:p>
      <w:r>
        <w:rPr>
          <w:rFonts w:ascii="游ゴシック" w:hAnsi="游ゴシック" w:eastAsia="游ゴシック"/>
          <w:b w:val="0"/>
          <w:sz w:val="21"/>
        </w:rPr>
        <w:t>本書の手順は、次の資料がそろっていることを前提とします。いずれも保険者が入手できるものです。</w:t>
      </w:r>
    </w:p>
    <w:p>
      <w:pPr>
        <w:keepNext/>
        <w:spacing w:before="160" w:after="40"/>
      </w:pPr>
      <w:r>
        <w:rPr>
          <w:rFonts w:ascii="游ゴシック" w:hAnsi="游ゴシック" w:eastAsia="游ゴシック"/>
          <w:b/>
          <w:sz w:val="20"/>
        </w:rPr>
        <w:t>表1　前提とする資料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9"/>
              </w:rPr>
              <w:t>資料</w:t>
            </w:r>
          </w:p>
        </w:tc>
        <w:tc>
          <w:tcPr>
            <w:tcW w:type="dxa" w:w="3628"/>
            <w:shd w:val="clear" w:color="auto" w:fill="1F3864"/>
            <w:vAlign w:val="center"/>
          </w:tcPr>
          <w:p>
            <w:pPr>
              <w:spacing w:after="0"/>
              <w:jc w:val="center"/>
            </w:pPr>
            <w:r>
              <w:rPr>
                <w:rFonts w:ascii="游ゴシック" w:hAnsi="游ゴシック" w:eastAsia="游ゴシック"/>
                <w:b/>
                <w:color w:val="FFFFFF"/>
                <w:sz w:val="19"/>
              </w:rPr>
              <w:t>用途</w:t>
            </w:r>
          </w:p>
        </w:tc>
        <w:tc>
          <w:tcPr>
            <w:tcW w:type="dxa" w:w="3288"/>
            <w:shd w:val="clear" w:color="auto" w:fill="1F3864"/>
            <w:vAlign w:val="center"/>
          </w:tcPr>
          <w:p>
            <w:pPr>
              <w:spacing w:after="0"/>
              <w:jc w:val="center"/>
            </w:pPr>
            <w:r>
              <w:rPr>
                <w:rFonts w:ascii="游ゴシック" w:hAnsi="游ゴシック" w:eastAsia="游ゴシック"/>
                <w:b/>
                <w:color w:val="FFFFFF"/>
                <w:sz w:val="19"/>
              </w:rPr>
              <w:t>留意点</w:t>
            </w:r>
          </w:p>
        </w:tc>
      </w:tr>
      <w:tr>
        <w:trPr>
          <w:cantSplit/>
        </w:trPr>
        <w:tc>
          <w:tcPr>
            <w:tcW w:type="dxa" w:w="2835"/>
            <w:vAlign w:val="center"/>
          </w:tcPr>
          <w:p>
            <w:pPr>
              <w:spacing w:after="0"/>
            </w:pPr>
            <w:r>
              <w:rPr>
                <w:rFonts w:ascii="游ゴシック" w:hAnsi="游ゴシック" w:eastAsia="游ゴシック"/>
                <w:b w:val="0"/>
                <w:sz w:val="19"/>
              </w:rPr>
              <w:t>地域包括ケア「見える化」システム　総括表</w:t>
            </w:r>
          </w:p>
        </w:tc>
        <w:tc>
          <w:tcPr>
            <w:tcW w:type="dxa" w:w="3628"/>
            <w:vAlign w:val="center"/>
          </w:tcPr>
          <w:p>
            <w:pPr>
              <w:spacing w:after="0"/>
            </w:pPr>
            <w:r>
              <w:rPr>
                <w:rFonts w:ascii="游ゴシック" w:hAnsi="游ゴシック" w:eastAsia="游ゴシック"/>
                <w:b w:val="0"/>
                <w:sz w:val="19"/>
              </w:rPr>
              <w:t>サービス別の利用者数・1人あたり給付費・給付費。計画値と実績値</w:t>
            </w:r>
          </w:p>
        </w:tc>
        <w:tc>
          <w:tcPr>
            <w:tcW w:type="dxa" w:w="3288"/>
            <w:vAlign w:val="center"/>
          </w:tcPr>
          <w:p>
            <w:pPr>
              <w:spacing w:after="0"/>
            </w:pPr>
            <w:r>
              <w:rPr>
                <w:rFonts w:ascii="游ゴシック" w:hAnsi="游ゴシック" w:eastAsia="游ゴシック"/>
                <w:b w:val="0"/>
                <w:sz w:val="19"/>
              </w:rPr>
              <w:t>保険者単位。計画期をまたいで比較できる</w:t>
            </w:r>
          </w:p>
        </w:tc>
      </w:tr>
      <w:tr>
        <w:trPr>
          <w:cantSplit/>
        </w:trPr>
        <w:tc>
          <w:tcPr>
            <w:tcW w:type="dxa" w:w="2835"/>
            <w:shd w:val="clear" w:color="auto" w:fill="F2F5FA"/>
            <w:vAlign w:val="center"/>
          </w:tcPr>
          <w:p>
            <w:pPr>
              <w:spacing w:after="0"/>
            </w:pPr>
            <w:r>
              <w:rPr>
                <w:rFonts w:ascii="游ゴシック" w:hAnsi="游ゴシック" w:eastAsia="游ゴシック"/>
                <w:b w:val="0"/>
                <w:sz w:val="19"/>
              </w:rPr>
              <w:t>介護保険事業状況報告（年報）</w:t>
            </w:r>
          </w:p>
        </w:tc>
        <w:tc>
          <w:tcPr>
            <w:tcW w:type="dxa" w:w="3628"/>
            <w:shd w:val="clear" w:color="auto" w:fill="F2F5FA"/>
            <w:vAlign w:val="center"/>
          </w:tcPr>
          <w:p>
            <w:pPr>
              <w:spacing w:after="0"/>
            </w:pPr>
            <w:r>
              <w:rPr>
                <w:rFonts w:ascii="游ゴシック" w:hAnsi="游ゴシック" w:eastAsia="游ゴシック"/>
                <w:b w:val="0"/>
                <w:sz w:val="19"/>
              </w:rPr>
              <w:t>給付費の総額の検算</w:t>
            </w:r>
          </w:p>
        </w:tc>
        <w:tc>
          <w:tcPr>
            <w:tcW w:type="dxa" w:w="3288"/>
            <w:shd w:val="clear" w:color="auto" w:fill="F2F5FA"/>
            <w:vAlign w:val="center"/>
          </w:tcPr>
          <w:p>
            <w:pPr>
              <w:spacing w:after="0"/>
            </w:pPr>
            <w:r>
              <w:rPr>
                <w:rFonts w:ascii="游ゴシック" w:hAnsi="游ゴシック" w:eastAsia="游ゴシック"/>
                <w:b w:val="0"/>
                <w:sz w:val="19"/>
              </w:rPr>
              <w:t>総括表の給付費の合計と一致するかを点検する</w:t>
            </w:r>
          </w:p>
        </w:tc>
      </w:tr>
      <w:tr>
        <w:trPr>
          <w:cantSplit/>
        </w:trPr>
        <w:tc>
          <w:tcPr>
            <w:tcW w:type="dxa" w:w="2835"/>
            <w:vAlign w:val="center"/>
          </w:tcPr>
          <w:p>
            <w:pPr>
              <w:spacing w:after="0"/>
            </w:pPr>
            <w:r>
              <w:rPr>
                <w:rFonts w:ascii="游ゴシック" w:hAnsi="游ゴシック" w:eastAsia="游ゴシック"/>
                <w:b w:val="0"/>
                <w:sz w:val="19"/>
              </w:rPr>
              <w:t>介護保険事業状況報告（月報）</w:t>
            </w:r>
          </w:p>
        </w:tc>
        <w:tc>
          <w:tcPr>
            <w:tcW w:type="dxa" w:w="3628"/>
            <w:vAlign w:val="center"/>
          </w:tcPr>
          <w:p>
            <w:pPr>
              <w:spacing w:after="0"/>
            </w:pPr>
            <w:r>
              <w:rPr>
                <w:rFonts w:ascii="游ゴシック" w:hAnsi="游ゴシック" w:eastAsia="游ゴシック"/>
                <w:b w:val="0"/>
                <w:sz w:val="19"/>
              </w:rPr>
              <w:t>年度途中の年度の月数の確定</w:t>
            </w:r>
          </w:p>
        </w:tc>
        <w:tc>
          <w:tcPr>
            <w:tcW w:type="dxa" w:w="3288"/>
            <w:vAlign w:val="center"/>
          </w:tcPr>
          <w:p>
            <w:pPr>
              <w:spacing w:after="0"/>
            </w:pPr>
            <w:r>
              <w:rPr>
                <w:rFonts w:ascii="游ゴシック" w:hAnsi="游ゴシック" w:eastAsia="游ゴシック"/>
                <w:b w:val="0"/>
                <w:sz w:val="19"/>
              </w:rPr>
              <w:t>給付費（様式4）を含まないことがある</w:t>
            </w:r>
          </w:p>
        </w:tc>
      </w:tr>
      <w:tr>
        <w:trPr>
          <w:cantSplit/>
        </w:trPr>
        <w:tc>
          <w:tcPr>
            <w:tcW w:type="dxa" w:w="2835"/>
            <w:shd w:val="clear" w:color="auto" w:fill="F2F5FA"/>
            <w:vAlign w:val="center"/>
          </w:tcPr>
          <w:p>
            <w:pPr>
              <w:spacing w:after="0"/>
            </w:pPr>
            <w:r>
              <w:rPr>
                <w:rFonts w:ascii="游ゴシック" w:hAnsi="游ゴシック" w:eastAsia="游ゴシック"/>
                <w:b w:val="0"/>
                <w:sz w:val="19"/>
              </w:rPr>
              <w:t>介護保険事業計画作成支援ツール　実績値シート</w:t>
            </w:r>
          </w:p>
        </w:tc>
        <w:tc>
          <w:tcPr>
            <w:tcW w:type="dxa" w:w="3628"/>
            <w:shd w:val="clear" w:color="auto" w:fill="F2F5FA"/>
            <w:vAlign w:val="center"/>
          </w:tcPr>
          <w:p>
            <w:pPr>
              <w:spacing w:after="0"/>
            </w:pPr>
            <w:r>
              <w:rPr>
                <w:rFonts w:ascii="游ゴシック" w:hAnsi="游ゴシック" w:eastAsia="游ゴシック"/>
                <w:b w:val="0"/>
                <w:sz w:val="19"/>
              </w:rPr>
              <w:t>要介護度別の値、標準給付費見込額の加算項目</w:t>
            </w:r>
          </w:p>
        </w:tc>
        <w:tc>
          <w:tcPr>
            <w:tcW w:type="dxa" w:w="3288"/>
            <w:shd w:val="clear" w:color="auto" w:fill="F2F5FA"/>
            <w:vAlign w:val="center"/>
          </w:tcPr>
          <w:p>
            <w:pPr>
              <w:spacing w:after="0"/>
            </w:pPr>
            <w:r>
              <w:rPr>
                <w:rFonts w:ascii="游ゴシック" w:hAnsi="游ゴシック" w:eastAsia="游ゴシック"/>
                <w:b w:val="0"/>
                <w:sz w:val="19"/>
              </w:rPr>
              <w:t>広域連合では市町村ごとの入力となるため合計に重複が生じることがある</w:t>
            </w:r>
          </w:p>
        </w:tc>
      </w:tr>
      <w:tr>
        <w:trPr>
          <w:cantSplit/>
        </w:trPr>
        <w:tc>
          <w:tcPr>
            <w:tcW w:type="dxa" w:w="2835"/>
            <w:vAlign w:val="center"/>
          </w:tcPr>
          <w:p>
            <w:pPr>
              <w:spacing w:after="0"/>
            </w:pPr>
            <w:r>
              <w:rPr>
                <w:rFonts w:ascii="游ゴシック" w:hAnsi="游ゴシック" w:eastAsia="游ゴシック"/>
                <w:b w:val="0"/>
                <w:sz w:val="19"/>
              </w:rPr>
              <w:t>前期計画の本文</w:t>
            </w:r>
          </w:p>
        </w:tc>
        <w:tc>
          <w:tcPr>
            <w:tcW w:type="dxa" w:w="3628"/>
            <w:vAlign w:val="center"/>
          </w:tcPr>
          <w:p>
            <w:pPr>
              <w:spacing w:after="0"/>
            </w:pPr>
            <w:r>
              <w:rPr>
                <w:rFonts w:ascii="游ゴシック" w:hAnsi="游ゴシック" w:eastAsia="游ゴシック"/>
                <w:b w:val="0"/>
                <w:sz w:val="19"/>
              </w:rPr>
              <w:t>計画値の出所と算定方法の確認</w:t>
            </w:r>
          </w:p>
        </w:tc>
        <w:tc>
          <w:tcPr>
            <w:tcW w:type="dxa" w:w="3288"/>
            <w:vAlign w:val="center"/>
          </w:tcPr>
          <w:p>
            <w:pPr>
              <w:spacing w:after="0"/>
            </w:pPr>
            <w:r>
              <w:rPr>
                <w:rFonts w:ascii="游ゴシック" w:hAnsi="游ゴシック" w:eastAsia="游ゴシック"/>
                <w:b w:val="0"/>
                <w:sz w:val="19"/>
              </w:rPr>
              <w:t>―</w:t>
            </w:r>
          </w:p>
        </w:tc>
      </w:tr>
      <w:tr>
        <w:trPr>
          <w:cantSplit/>
        </w:trPr>
        <w:tc>
          <w:tcPr>
            <w:tcW w:type="dxa" w:w="2835"/>
            <w:shd w:val="clear" w:color="auto" w:fill="F2F5FA"/>
            <w:vAlign w:val="center"/>
          </w:tcPr>
          <w:p>
            <w:pPr>
              <w:spacing w:after="0"/>
            </w:pPr>
            <w:r>
              <w:rPr>
                <w:rFonts w:ascii="游ゴシック" w:hAnsi="游ゴシック" w:eastAsia="游ゴシック"/>
                <w:b w:val="0"/>
                <w:sz w:val="19"/>
              </w:rPr>
              <w:t>都道府県の指定事業所一覧・各施設の名簿</w:t>
            </w:r>
          </w:p>
        </w:tc>
        <w:tc>
          <w:tcPr>
            <w:tcW w:type="dxa" w:w="3628"/>
            <w:shd w:val="clear" w:color="auto" w:fill="F2F5FA"/>
            <w:vAlign w:val="center"/>
          </w:tcPr>
          <w:p>
            <w:pPr>
              <w:spacing w:after="0"/>
            </w:pPr>
            <w:r>
              <w:rPr>
                <w:rFonts w:ascii="游ゴシック" w:hAnsi="游ゴシック" w:eastAsia="游ゴシック"/>
                <w:b w:val="0"/>
                <w:sz w:val="19"/>
              </w:rPr>
              <w:t>定員の把握</w:t>
            </w:r>
          </w:p>
        </w:tc>
        <w:tc>
          <w:tcPr>
            <w:tcW w:type="dxa" w:w="3288"/>
            <w:shd w:val="clear" w:color="auto" w:fill="F2F5FA"/>
            <w:vAlign w:val="center"/>
          </w:tcPr>
          <w:p>
            <w:pPr>
              <w:spacing w:after="0"/>
            </w:pPr>
            <w:r>
              <w:rPr>
                <w:rFonts w:ascii="游ゴシック" w:hAnsi="游ゴシック" w:eastAsia="游ゴシック"/>
                <w:b w:val="0"/>
                <w:sz w:val="19"/>
              </w:rPr>
              <w:t>見込量が定員を超えていないかの点検に用いる</w:t>
            </w:r>
          </w:p>
        </w:tc>
      </w:tr>
    </w:tbl>
    <w:p>
      <w:pPr>
        <w:ind w:left="227"/>
      </w:pPr>
      <w:r>
        <w:rPr>
          <w:rFonts w:ascii="游ゴシック" w:hAnsi="游ゴシック" w:eastAsia="游ゴシック"/>
          <w:b w:val="0"/>
          <w:sz w:val="18"/>
        </w:rPr>
        <w:t>※ 見える化システムの総括表は、計画値と実績値を同じ様式で並べているため、対計画比を計画期をまたいで求められます。本書の中核となる資料です。</w:t>
      </w:r>
    </w:p>
    <w:p>
      <w:pPr>
        <w:keepNext/>
        <w:spacing w:before="320" w:after="120"/>
      </w:pPr>
      <w:r>
        <w:rPr>
          <w:rFonts w:ascii="游ゴシック" w:hAnsi="游ゴシック" w:eastAsia="游ゴシック"/>
          <w:b/>
          <w:color w:val="1F3864"/>
          <w:sz w:val="26"/>
        </w:rPr>
        <w:t>第2章　基準年度の決め方</w:t>
      </w:r>
    </w:p>
    <w:p>
      <w:pPr>
        <w:keepNext/>
        <w:spacing w:before="180" w:after="60"/>
      </w:pPr>
      <w:r>
        <w:rPr>
          <w:rFonts w:ascii="游ゴシック" w:hAnsi="游ゴシック" w:eastAsia="游ゴシック"/>
          <w:b/>
          <w:sz w:val="22"/>
        </w:rPr>
        <w:t>1　年度が完結しているかを実測する</w:t>
      </w:r>
    </w:p>
    <w:p>
      <w:r>
        <w:rPr>
          <w:rFonts w:ascii="游ゴシック" w:hAnsi="游ゴシック" w:eastAsia="游ゴシック"/>
          <w:b w:val="0"/>
          <w:sz w:val="21"/>
        </w:rPr>
        <w:t>見込量は基準年度の実績を出発点とします。基準年度が年度の途中であれば、以降のすべての算定がずれます。計画の策定作業は年度の途中に行うため、直近年度のデータは必ず途中である点に注意を要します。</w:t>
      </w:r>
    </w:p>
    <w:p>
      <w:r>
        <w:rPr>
          <w:rFonts w:ascii="游ゴシック" w:hAnsi="游ゴシック" w:eastAsia="游ゴシック"/>
          <w:b w:val="0"/>
          <w:sz w:val="21"/>
        </w:rPr>
        <w:t>年度が完結しているかは、資料の表題ではなく数値から実測します。次の4つの方法があります。</w:t>
      </w:r>
    </w:p>
    <w:p>
      <w:pPr>
        <w:keepNext/>
        <w:spacing w:before="160" w:after="40"/>
      </w:pPr>
      <w:r>
        <w:rPr>
          <w:rFonts w:ascii="游ゴシック" w:hAnsi="游ゴシック" w:eastAsia="游ゴシック"/>
          <w:b/>
          <w:sz w:val="20"/>
        </w:rPr>
        <w:t>表2　年度の月数を実測する方法</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9"/>
              </w:rPr>
              <w:t>方法</w:t>
            </w:r>
          </w:p>
        </w:tc>
        <w:tc>
          <w:tcPr>
            <w:tcW w:type="dxa" w:w="3402"/>
            <w:shd w:val="clear" w:color="auto" w:fill="1F3864"/>
            <w:vAlign w:val="center"/>
          </w:tcPr>
          <w:p>
            <w:pPr>
              <w:spacing w:after="0"/>
              <w:jc w:val="center"/>
            </w:pPr>
            <w:r>
              <w:rPr>
                <w:rFonts w:ascii="游ゴシック" w:hAnsi="游ゴシック" w:eastAsia="游ゴシック"/>
                <w:b/>
                <w:color w:val="FFFFFF"/>
                <w:sz w:val="19"/>
              </w:rPr>
              <w:t>式</w:t>
            </w:r>
          </w:p>
        </w:tc>
        <w:tc>
          <w:tcPr>
            <w:tcW w:type="dxa" w:w="1928"/>
            <w:shd w:val="clear" w:color="auto" w:fill="1F3864"/>
            <w:vAlign w:val="center"/>
          </w:tcPr>
          <w:p>
            <w:pPr>
              <w:spacing w:after="0"/>
              <w:jc w:val="center"/>
            </w:pPr>
            <w:r>
              <w:rPr>
                <w:rFonts w:ascii="游ゴシック" w:hAnsi="游ゴシック" w:eastAsia="游ゴシック"/>
                <w:b/>
                <w:color w:val="FFFFFF"/>
                <w:sz w:val="19"/>
              </w:rPr>
              <w:t>長所</w:t>
            </w:r>
          </w:p>
        </w:tc>
        <w:tc>
          <w:tcPr>
            <w:tcW w:type="dxa" w:w="1814"/>
            <w:shd w:val="clear" w:color="auto" w:fill="1F3864"/>
            <w:vAlign w:val="center"/>
          </w:tcPr>
          <w:p>
            <w:pPr>
              <w:spacing w:after="0"/>
              <w:jc w:val="center"/>
            </w:pPr>
            <w:r>
              <w:rPr>
                <w:rFonts w:ascii="游ゴシック" w:hAnsi="游ゴシック" w:eastAsia="游ゴシック"/>
                <w:b/>
                <w:color w:val="FFFFFF"/>
                <w:sz w:val="19"/>
              </w:rPr>
              <w:t>短所</w:t>
            </w:r>
          </w:p>
        </w:tc>
      </w:tr>
      <w:tr>
        <w:trPr>
          <w:cantSplit/>
        </w:trPr>
        <w:tc>
          <w:tcPr>
            <w:tcW w:type="dxa" w:w="2608"/>
            <w:vAlign w:val="center"/>
          </w:tcPr>
          <w:p>
            <w:pPr>
              <w:spacing w:after="0"/>
            </w:pPr>
            <w:r>
              <w:rPr>
                <w:rFonts w:ascii="游ゴシック" w:hAnsi="游ゴシック" w:eastAsia="游ゴシック"/>
                <w:b w:val="0"/>
                <w:sz w:val="19"/>
              </w:rPr>
              <w:t>月報の収録月を数える</w:t>
            </w:r>
          </w:p>
        </w:tc>
        <w:tc>
          <w:tcPr>
            <w:tcW w:type="dxa" w:w="3402"/>
            <w:vAlign w:val="center"/>
          </w:tcPr>
          <w:p>
            <w:pPr>
              <w:spacing w:after="0"/>
            </w:pPr>
            <w:r>
              <w:rPr>
                <w:rFonts w:ascii="游ゴシック" w:hAnsi="游ゴシック" w:eastAsia="游ゴシック"/>
                <w:b w:val="0"/>
                <w:sz w:val="19"/>
              </w:rPr>
              <w:t>月報の年月のキーの数</w:t>
            </w:r>
          </w:p>
        </w:tc>
        <w:tc>
          <w:tcPr>
            <w:tcW w:type="dxa" w:w="1928"/>
            <w:vAlign w:val="center"/>
          </w:tcPr>
          <w:p>
            <w:pPr>
              <w:spacing w:after="0"/>
            </w:pPr>
            <w:r>
              <w:rPr>
                <w:rFonts w:ascii="游ゴシック" w:hAnsi="游ゴシック" w:eastAsia="游ゴシック"/>
                <w:b w:val="0"/>
                <w:sz w:val="19"/>
              </w:rPr>
              <w:t>月数が直接分かる</w:t>
            </w:r>
          </w:p>
        </w:tc>
        <w:tc>
          <w:tcPr>
            <w:tcW w:type="dxa" w:w="1814"/>
            <w:vAlign w:val="center"/>
          </w:tcPr>
          <w:p>
            <w:pPr>
              <w:spacing w:after="0"/>
            </w:pPr>
            <w:r>
              <w:rPr>
                <w:rFonts w:ascii="游ゴシック" w:hAnsi="游ゴシック" w:eastAsia="游ゴシック"/>
                <w:b w:val="0"/>
                <w:sz w:val="19"/>
              </w:rPr>
              <w:t>月報を受領していない場合は使えない</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延べ被保険者数を1か月の被保険者数で除す</w:t>
            </w:r>
          </w:p>
        </w:tc>
        <w:tc>
          <w:tcPr>
            <w:tcW w:type="dxa" w:w="3402"/>
            <w:shd w:val="clear" w:color="auto" w:fill="F2F5FA"/>
            <w:vAlign w:val="center"/>
          </w:tcPr>
          <w:p>
            <w:pPr>
              <w:spacing w:after="0"/>
            </w:pPr>
            <w:r>
              <w:rPr>
                <w:rFonts w:ascii="游ゴシック" w:hAnsi="游ゴシック" w:eastAsia="游ゴシック"/>
                <w:b w:val="0"/>
                <w:sz w:val="19"/>
              </w:rPr>
              <w:t>延べ第1号被保険者数 ÷ 各月の第1号被保険者数</w:t>
            </w:r>
          </w:p>
        </w:tc>
        <w:tc>
          <w:tcPr>
            <w:tcW w:type="dxa" w:w="1928"/>
            <w:shd w:val="clear" w:color="auto" w:fill="F2F5FA"/>
            <w:vAlign w:val="center"/>
          </w:tcPr>
          <w:p>
            <w:pPr>
              <w:spacing w:after="0"/>
            </w:pPr>
            <w:r>
              <w:rPr>
                <w:rFonts w:ascii="游ゴシック" w:hAnsi="游ゴシック" w:eastAsia="游ゴシック"/>
                <w:b w:val="0"/>
                <w:sz w:val="19"/>
              </w:rPr>
              <w:t>見える化システムの受給率の系列から求まる</w:t>
            </w:r>
          </w:p>
        </w:tc>
        <w:tc>
          <w:tcPr>
            <w:tcW w:type="dxa" w:w="1814"/>
            <w:shd w:val="clear" w:color="auto" w:fill="F2F5FA"/>
            <w:vAlign w:val="center"/>
          </w:tcPr>
          <w:p>
            <w:pPr>
              <w:spacing w:after="0"/>
            </w:pPr>
            <w:r>
              <w:rPr>
                <w:rFonts w:ascii="游ゴシック" w:hAnsi="游ゴシック" w:eastAsia="游ゴシック"/>
                <w:b w:val="0"/>
                <w:sz w:val="19"/>
              </w:rPr>
              <w:t>端数が出ることがある</w:t>
            </w:r>
          </w:p>
        </w:tc>
      </w:tr>
      <w:tr>
        <w:trPr>
          <w:cantSplit/>
        </w:trPr>
        <w:tc>
          <w:tcPr>
            <w:tcW w:type="dxa" w:w="2608"/>
            <w:vAlign w:val="center"/>
          </w:tcPr>
          <w:p>
            <w:pPr>
              <w:spacing w:after="0"/>
            </w:pPr>
            <w:r>
              <w:rPr>
                <w:rFonts w:ascii="游ゴシック" w:hAnsi="游ゴシック" w:eastAsia="游ゴシック"/>
                <w:b w:val="0"/>
                <w:sz w:val="19"/>
              </w:rPr>
              <w:t>給付費の対前年度比から求める</w:t>
            </w:r>
          </w:p>
        </w:tc>
        <w:tc>
          <w:tcPr>
            <w:tcW w:type="dxa" w:w="3402"/>
            <w:vAlign w:val="center"/>
          </w:tcPr>
          <w:p>
            <w:pPr>
              <w:spacing w:after="0"/>
            </w:pPr>
            <w:r>
              <w:rPr>
                <w:rFonts w:ascii="游ゴシック" w:hAnsi="游ゴシック" w:eastAsia="游ゴシック"/>
                <w:b w:val="0"/>
                <w:sz w:val="19"/>
              </w:rPr>
              <w:t>当年度の給付費 ÷ 前年度の給付費 × 12</w:t>
            </w:r>
          </w:p>
        </w:tc>
        <w:tc>
          <w:tcPr>
            <w:tcW w:type="dxa" w:w="1928"/>
            <w:vAlign w:val="center"/>
          </w:tcPr>
          <w:p>
            <w:pPr>
              <w:spacing w:after="0"/>
            </w:pPr>
            <w:r>
              <w:rPr>
                <w:rFonts w:ascii="游ゴシック" w:hAnsi="游ゴシック" w:eastAsia="游ゴシック"/>
                <w:b w:val="0"/>
                <w:sz w:val="19"/>
              </w:rPr>
              <w:t>給付費の系列だけで求まる</w:t>
            </w:r>
          </w:p>
        </w:tc>
        <w:tc>
          <w:tcPr>
            <w:tcW w:type="dxa" w:w="1814"/>
            <w:vAlign w:val="center"/>
          </w:tcPr>
          <w:p>
            <w:pPr>
              <w:spacing w:after="0"/>
            </w:pPr>
            <w:r>
              <w:rPr>
                <w:rFonts w:ascii="游ゴシック" w:hAnsi="游ゴシック" w:eastAsia="游ゴシック"/>
                <w:b w:val="0"/>
                <w:sz w:val="19"/>
              </w:rPr>
              <w:t>単価と数量の動きを含むため月数と一致しない</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数量の水準比で補正して求める</w:t>
            </w:r>
          </w:p>
        </w:tc>
        <w:tc>
          <w:tcPr>
            <w:tcW w:type="dxa" w:w="3402"/>
            <w:shd w:val="clear" w:color="auto" w:fill="F2F5FA"/>
            <w:vAlign w:val="center"/>
          </w:tcPr>
          <w:p>
            <w:pPr>
              <w:spacing w:after="0"/>
            </w:pPr>
            <w:r>
              <w:rPr>
                <w:rFonts w:ascii="游ゴシック" w:hAnsi="游ゴシック" w:eastAsia="游ゴシック"/>
                <w:b w:val="0"/>
                <w:sz w:val="19"/>
              </w:rPr>
              <w:t>（給付費比 × 12）÷（月平均受給者数の比 × 月数）</w:t>
            </w:r>
          </w:p>
        </w:tc>
        <w:tc>
          <w:tcPr>
            <w:tcW w:type="dxa" w:w="1928"/>
            <w:shd w:val="clear" w:color="auto" w:fill="F2F5FA"/>
            <w:vAlign w:val="center"/>
          </w:tcPr>
          <w:p>
            <w:pPr>
              <w:spacing w:after="0"/>
            </w:pPr>
            <w:r>
              <w:rPr>
                <w:rFonts w:ascii="游ゴシック" w:hAnsi="游ゴシック" w:eastAsia="游ゴシック"/>
                <w:b w:val="0"/>
                <w:sz w:val="19"/>
              </w:rPr>
              <w:t>単価の動きを分離できる</w:t>
            </w:r>
          </w:p>
        </w:tc>
        <w:tc>
          <w:tcPr>
            <w:tcW w:type="dxa" w:w="1814"/>
            <w:shd w:val="clear" w:color="auto" w:fill="F2F5FA"/>
            <w:vAlign w:val="center"/>
          </w:tcPr>
          <w:p>
            <w:pPr>
              <w:spacing w:after="0"/>
            </w:pPr>
            <w:r>
              <w:rPr>
                <w:rFonts w:ascii="游ゴシック" w:hAnsi="游ゴシック" w:eastAsia="游ゴシック"/>
                <w:b w:val="0"/>
                <w:sz w:val="19"/>
              </w:rPr>
              <w:t>月報の受給者数を要する</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令和8年度は、給付費が令和7年度の34.55％で12を乗じると4.146か月相当となりましたが、月報が令和8年4月から7月までの4か月を収録していたため4か月と確定しました。差の3.65％は単価の動きです。月数を給付費の比だけで求めていれば4.1か月と誤るところでした。</w:t>
      </w:r>
    </w:p>
    <w:p>
      <w:pPr>
        <w:keepNext/>
        <w:spacing w:before="180" w:after="60"/>
      </w:pPr>
      <w:r>
        <w:rPr>
          <w:rFonts w:ascii="游ゴシック" w:hAnsi="游ゴシック" w:eastAsia="游ゴシック"/>
          <w:b/>
          <w:sz w:val="22"/>
        </w:rPr>
        <w:t>2　数量と単価で扱いが違う</w:t>
      </w:r>
    </w:p>
    <w:p>
      <w:r>
        <w:rPr>
          <w:rFonts w:ascii="游ゴシック" w:hAnsi="游ゴシック" w:eastAsia="游ゴシック"/>
          <w:b w:val="0"/>
          <w:sz w:val="21"/>
        </w:rPr>
        <w:t>年度が途中であっても、すべての値が使えないわけではありません。月数に比例する値と、月数に中立な値を分けます。</w:t>
      </w:r>
    </w:p>
    <w:p>
      <w:pPr>
        <w:keepNext/>
        <w:spacing w:before="160" w:after="40"/>
      </w:pPr>
      <w:r>
        <w:rPr>
          <w:rFonts w:ascii="游ゴシック" w:hAnsi="游ゴシック" w:eastAsia="游ゴシック"/>
          <w:b/>
          <w:sz w:val="20"/>
        </w:rPr>
        <w:t>表3　月数に比例する値と中立な値</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区分</w:t>
            </w:r>
          </w:p>
        </w:tc>
        <w:tc>
          <w:tcPr>
            <w:tcW w:type="dxa" w:w="4649"/>
            <w:shd w:val="clear" w:color="auto" w:fill="1F3864"/>
            <w:vAlign w:val="center"/>
          </w:tcPr>
          <w:p>
            <w:pPr>
              <w:spacing w:after="0"/>
              <w:jc w:val="center"/>
            </w:pPr>
            <w:r>
              <w:rPr>
                <w:rFonts w:ascii="游ゴシック" w:hAnsi="游ゴシック" w:eastAsia="游ゴシック"/>
                <w:b/>
                <w:color w:val="FFFFFF"/>
                <w:sz w:val="19"/>
              </w:rPr>
              <w:t>値の例</w:t>
            </w:r>
          </w:p>
        </w:tc>
        <w:tc>
          <w:tcPr>
            <w:tcW w:type="dxa" w:w="2835"/>
            <w:shd w:val="clear" w:color="auto" w:fill="1F3864"/>
            <w:vAlign w:val="center"/>
          </w:tcPr>
          <w:p>
            <w:pPr>
              <w:spacing w:after="0"/>
              <w:jc w:val="center"/>
            </w:pPr>
            <w:r>
              <w:rPr>
                <w:rFonts w:ascii="游ゴシック" w:hAnsi="游ゴシック" w:eastAsia="游ゴシック"/>
                <w:b/>
                <w:color w:val="FFFFFF"/>
                <w:sz w:val="19"/>
              </w:rPr>
              <w:t>年度途中での可否</w:t>
            </w:r>
          </w:p>
        </w:tc>
      </w:tr>
      <w:tr>
        <w:trPr>
          <w:cantSplit/>
        </w:trPr>
        <w:tc>
          <w:tcPr>
            <w:tcW w:type="dxa" w:w="2268"/>
            <w:vAlign w:val="center"/>
          </w:tcPr>
          <w:p>
            <w:pPr>
              <w:spacing w:after="0"/>
            </w:pPr>
            <w:r>
              <w:rPr>
                <w:rFonts w:ascii="游ゴシック" w:hAnsi="游ゴシック" w:eastAsia="游ゴシック"/>
                <w:b w:val="0"/>
                <w:sz w:val="19"/>
              </w:rPr>
              <w:t>月数に比例する</w:t>
            </w:r>
          </w:p>
        </w:tc>
        <w:tc>
          <w:tcPr>
            <w:tcW w:type="dxa" w:w="4649"/>
            <w:vAlign w:val="center"/>
          </w:tcPr>
          <w:p>
            <w:pPr>
              <w:spacing w:after="0"/>
            </w:pPr>
            <w:r>
              <w:rPr>
                <w:rFonts w:ascii="游ゴシック" w:hAnsi="游ゴシック" w:eastAsia="游ゴシック"/>
                <w:b w:val="0"/>
                <w:sz w:val="19"/>
              </w:rPr>
              <w:t>延べ利用者数、給付費の総額、年度累計を12で除した月平均利用者数</w:t>
            </w:r>
          </w:p>
        </w:tc>
        <w:tc>
          <w:tcPr>
            <w:tcW w:type="dxa" w:w="2835"/>
            <w:vAlign w:val="center"/>
          </w:tcPr>
          <w:p>
            <w:pPr>
              <w:spacing w:after="0"/>
            </w:pPr>
            <w:r>
              <w:rPr>
                <w:rFonts w:ascii="游ゴシック" w:hAnsi="游ゴシック" w:eastAsia="游ゴシック"/>
                <w:b w:val="0"/>
                <w:sz w:val="19"/>
              </w:rPr>
              <w:t>使えない</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月数に中立</w:t>
            </w:r>
          </w:p>
        </w:tc>
        <w:tc>
          <w:tcPr>
            <w:tcW w:type="dxa" w:w="4649"/>
            <w:shd w:val="clear" w:color="auto" w:fill="F2F5FA"/>
            <w:vAlign w:val="center"/>
          </w:tcPr>
          <w:p>
            <w:pPr>
              <w:spacing w:after="0"/>
            </w:pPr>
            <w:r>
              <w:rPr>
                <w:rFonts w:ascii="游ゴシック" w:hAnsi="游ゴシック" w:eastAsia="游ゴシック"/>
                <w:b w:val="0"/>
                <w:sz w:val="19"/>
              </w:rPr>
              <w:t>1人1月あたり給付費、1人1月あたり利用日数・回数、受給率（分子分母が同じ月数のとき）</w:t>
            </w:r>
          </w:p>
        </w:tc>
        <w:tc>
          <w:tcPr>
            <w:tcW w:type="dxa" w:w="2835"/>
            <w:shd w:val="clear" w:color="auto" w:fill="F2F5FA"/>
            <w:vAlign w:val="center"/>
          </w:tcPr>
          <w:p>
            <w:pPr>
              <w:spacing w:after="0"/>
            </w:pPr>
            <w:r>
              <w:rPr>
                <w:rFonts w:ascii="游ゴシック" w:hAnsi="游ゴシック" w:eastAsia="游ゴシック"/>
                <w:b w:val="0"/>
                <w:sz w:val="19"/>
              </w:rPr>
              <w:t>使える</w:t>
            </w:r>
          </w:p>
        </w:tc>
      </w:tr>
      <w:tr>
        <w:trPr>
          <w:cantSplit/>
        </w:trPr>
        <w:tc>
          <w:tcPr>
            <w:tcW w:type="dxa" w:w="2268"/>
            <w:vAlign w:val="center"/>
          </w:tcPr>
          <w:p>
            <w:pPr>
              <w:spacing w:after="0"/>
            </w:pPr>
            <w:r>
              <w:rPr>
                <w:rFonts w:ascii="游ゴシック" w:hAnsi="游ゴシック" w:eastAsia="游ゴシック"/>
                <w:b w:val="0"/>
                <w:sz w:val="19"/>
              </w:rPr>
              <w:t>月数に中立（比の形）</w:t>
            </w:r>
          </w:p>
        </w:tc>
        <w:tc>
          <w:tcPr>
            <w:tcW w:type="dxa" w:w="4649"/>
            <w:vAlign w:val="center"/>
          </w:tcPr>
          <w:p>
            <w:pPr>
              <w:spacing w:after="0"/>
            </w:pPr>
            <w:r>
              <w:rPr>
                <w:rFonts w:ascii="游ゴシック" w:hAnsi="游ゴシック" w:eastAsia="游ゴシック"/>
                <w:b w:val="0"/>
                <w:sz w:val="19"/>
              </w:rPr>
              <w:t>当年度の月平均 ÷ 前年度の月平均</w:t>
            </w:r>
          </w:p>
        </w:tc>
        <w:tc>
          <w:tcPr>
            <w:tcW w:type="dxa" w:w="2835"/>
            <w:vAlign w:val="center"/>
          </w:tcPr>
          <w:p>
            <w:pPr>
              <w:spacing w:after="0"/>
            </w:pPr>
            <w:r>
              <w:rPr>
                <w:rFonts w:ascii="游ゴシック" w:hAnsi="游ゴシック" w:eastAsia="游ゴシック"/>
                <w:b w:val="0"/>
                <w:sz w:val="19"/>
              </w:rPr>
              <w:t>使える。月数も除数も比の中で消える</w:t>
            </w:r>
          </w:p>
        </w:tc>
      </w:tr>
    </w:tbl>
    <w:p>
      <w:pPr>
        <w:ind w:left="227"/>
      </w:pPr>
      <w:r>
        <w:rPr>
          <w:rFonts w:ascii="游ゴシック" w:hAnsi="游ゴシック" w:eastAsia="游ゴシック"/>
          <w:b w:val="0"/>
          <w:sz w:val="18"/>
        </w:rPr>
        <w:t>※ 計画作成支援ツールの「月平均利用者数」は年度累計を12で除した値であることがあり、年度途中では月平均になりません。列名だけで判断せず、前年度との比が月数に比例していないかを確かめます。</w:t>
      </w:r>
    </w:p>
    <w:p>
      <w:pPr>
        <w:keepNext/>
        <w:spacing w:before="180" w:after="60"/>
      </w:pPr>
      <w:r>
        <w:rPr>
          <w:rFonts w:ascii="游ゴシック" w:hAnsi="游ゴシック" w:eastAsia="游ゴシック"/>
          <w:b/>
          <w:sz w:val="22"/>
        </w:rPr>
        <w:t>3　基準年度の選び方</w:t>
      </w:r>
    </w:p>
    <w:p>
      <w:r>
        <w:rPr>
          <w:rFonts w:ascii="游ゴシック" w:hAnsi="游ゴシック" w:eastAsia="游ゴシック"/>
          <w:b w:val="0"/>
          <w:sz w:val="21"/>
        </w:rPr>
        <w:t>基準年度は、完結した年度のうち最も新しいものとします。1年古い年度を選ぶ理由は、通常ありません。ただし年度間でサービスの計上の定義が変わっている場合は、変更後の年度を選びます。</w:t>
      </w:r>
    </w:p>
    <w:p>
      <w:pPr>
        <w:ind w:left="340" w:hanging="340"/>
      </w:pPr>
      <w:r>
        <w:rPr>
          <w:rFonts w:ascii="游ゴシック" w:hAnsi="游ゴシック" w:eastAsia="游ゴシック"/>
          <w:b w:val="0"/>
          <w:sz w:val="21"/>
        </w:rPr>
        <w:t>・完結した最新の年度を基準年度とする。</w:t>
      </w:r>
    </w:p>
    <w:p>
      <w:pPr>
        <w:ind w:left="340" w:hanging="340"/>
      </w:pPr>
      <w:r>
        <w:rPr>
          <w:rFonts w:ascii="游ゴシック" w:hAnsi="游ゴシック" w:eastAsia="游ゴシック"/>
          <w:b w:val="0"/>
          <w:sz w:val="21"/>
        </w:rPr>
        <w:t>・年度途中の年度は、期間を明記して参考として掲げる。年度換算した値は掲げない。</w:t>
      </w:r>
    </w:p>
    <w:p>
      <w:pPr>
        <w:ind w:left="340" w:hanging="340"/>
      </w:pPr>
      <w:r>
        <w:rPr>
          <w:rFonts w:ascii="游ゴシック" w:hAnsi="游ゴシック" w:eastAsia="游ゴシック"/>
          <w:b w:val="0"/>
          <w:sz w:val="21"/>
        </w:rPr>
        <w:t>・計上の定義が変わった年度がないかを、サービス別の実績の不連続で点検する。</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令和7年度を基準年度としました。令和6年度と令和7年度の間に介護予防訪問看護の計上の変化がみられたため、変更後の令和7年度を採りました。</w:t>
      </w:r>
    </w:p>
    <w:p>
      <w:pPr>
        <w:keepNext/>
        <w:spacing w:before="320" w:after="120"/>
      </w:pPr>
      <w:r>
        <w:rPr>
          <w:rFonts w:ascii="游ゴシック" w:hAnsi="游ゴシック" w:eastAsia="游ゴシック"/>
          <w:b/>
          <w:color w:val="1F3864"/>
          <w:sz w:val="26"/>
        </w:rPr>
        <w:t>第3章　出所の選び方</w:t>
      </w:r>
    </w:p>
    <w:p>
      <w:pPr>
        <w:keepNext/>
        <w:spacing w:before="180" w:after="60"/>
      </w:pPr>
      <w:r>
        <w:rPr>
          <w:rFonts w:ascii="游ゴシック" w:hAnsi="游ゴシック" w:eastAsia="游ゴシック"/>
          <w:b/>
          <w:sz w:val="22"/>
        </w:rPr>
        <w:t>1　保険者単位か市町村合計か</w:t>
      </w:r>
    </w:p>
    <w:p>
      <w:r>
        <w:rPr>
          <w:rFonts w:ascii="游ゴシック" w:hAnsi="游ゴシック" w:eastAsia="游ゴシック"/>
          <w:b w:val="0"/>
          <w:sz w:val="21"/>
        </w:rPr>
        <w:t>広域連合又は一部事務組合が保険者である場合、同じ指標でも保険者単位の値と構成市町村の合計の値が併存します。保険料は保険者を単位として算定するため、算定の基礎には保険者単位を用います。</w:t>
      </w:r>
    </w:p>
    <w:p>
      <w:r>
        <w:rPr>
          <w:rFonts w:ascii="游ゴシック" w:hAnsi="游ゴシック" w:eastAsia="游ゴシック"/>
          <w:b w:val="0"/>
          <w:sz w:val="21"/>
        </w:rPr>
        <w:t>両者は一致しないことがあります。市町村をまたぐ計上の重複（転居、住所地特例、複数市町村の事業所の利用）により、合計が保険者単位を上回るのが通例です。</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令和7年度の給付費は、3町合計が広域連合単位を0.00％上回りました。令和6年度と令和8年度は完全に一致しており、令和7年度のみ差が生じています。利用者数では、サービスにより＋1.4％から＋243％の開きがありました。差の理由が確定するまで、保険料の算定には保険者単位を用いています。</w:t>
      </w:r>
    </w:p>
    <w:p>
      <w:pPr>
        <w:keepNext/>
        <w:spacing w:before="180" w:after="60"/>
      </w:pPr>
      <w:r>
        <w:rPr>
          <w:rFonts w:ascii="游ゴシック" w:hAnsi="游ゴシック" w:eastAsia="游ゴシック"/>
          <w:b/>
          <w:sz w:val="22"/>
        </w:rPr>
        <w:t>2　内的整合を点検する</w:t>
      </w:r>
    </w:p>
    <w:p>
      <w:r>
        <w:rPr>
          <w:rFonts w:ascii="游ゴシック" w:hAnsi="游ゴシック" w:eastAsia="游ゴシック"/>
          <w:b w:val="0"/>
          <w:sz w:val="21"/>
        </w:rPr>
        <w:t>複数の系列を用いる前に、系列どうしの整合を点検します。整合が取れている系列を基礎に選べば、以降の算定が一本の経路でつながります。</w:t>
      </w:r>
    </w:p>
    <w:p>
      <w:pPr>
        <w:keepNext/>
        <w:spacing w:before="160" w:after="40"/>
      </w:pPr>
      <w:r>
        <w:rPr>
          <w:rFonts w:ascii="游ゴシック" w:hAnsi="游ゴシック" w:eastAsia="游ゴシック"/>
          <w:b/>
          <w:sz w:val="20"/>
        </w:rPr>
        <w:t>表4　内的整合の点検の型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9"/>
              </w:rPr>
              <w:t>点検</w:t>
            </w:r>
          </w:p>
        </w:tc>
        <w:tc>
          <w:tcPr>
            <w:tcW w:type="dxa" w:w="3628"/>
            <w:shd w:val="clear" w:color="auto" w:fill="1F3864"/>
            <w:vAlign w:val="center"/>
          </w:tcPr>
          <w:p>
            <w:pPr>
              <w:spacing w:after="0"/>
              <w:jc w:val="center"/>
            </w:pPr>
            <w:r>
              <w:rPr>
                <w:rFonts w:ascii="游ゴシック" w:hAnsi="游ゴシック" w:eastAsia="游ゴシック"/>
                <w:b/>
                <w:color w:val="FFFFFF"/>
                <w:sz w:val="19"/>
              </w:rPr>
              <w:t>式</w:t>
            </w:r>
          </w:p>
        </w:tc>
        <w:tc>
          <w:tcPr>
            <w:tcW w:type="dxa" w:w="1134"/>
            <w:shd w:val="clear" w:color="auto" w:fill="1F3864"/>
            <w:vAlign w:val="center"/>
          </w:tcPr>
          <w:p>
            <w:pPr>
              <w:spacing w:after="0"/>
              <w:jc w:val="center"/>
            </w:pPr>
            <w:r>
              <w:rPr>
                <w:rFonts w:ascii="游ゴシック" w:hAnsi="游ゴシック" w:eastAsia="游ゴシック"/>
                <w:b/>
                <w:color w:val="FFFFFF"/>
                <w:sz w:val="19"/>
              </w:rPr>
              <w:t>許容</w:t>
            </w:r>
          </w:p>
        </w:tc>
        <w:tc>
          <w:tcPr>
            <w:tcW w:type="dxa" w:w="2948"/>
            <w:shd w:val="clear" w:color="auto" w:fill="1F3864"/>
            <w:vAlign w:val="center"/>
          </w:tcPr>
          <w:p>
            <w:pPr>
              <w:spacing w:after="0"/>
              <w:jc w:val="center"/>
            </w:pPr>
            <w:r>
              <w:rPr>
                <w:rFonts w:ascii="游ゴシック" w:hAnsi="游ゴシック" w:eastAsia="游ゴシック"/>
                <w:b/>
                <w:color w:val="FFFFFF"/>
                <w:sz w:val="19"/>
              </w:rPr>
              <w:t>不一致のときの扱い</w:t>
            </w:r>
          </w:p>
        </w:tc>
      </w:tr>
      <w:tr>
        <w:trPr>
          <w:cantSplit/>
        </w:trPr>
        <w:tc>
          <w:tcPr>
            <w:tcW w:type="dxa" w:w="2041"/>
            <w:vAlign w:val="center"/>
          </w:tcPr>
          <w:p>
            <w:pPr>
              <w:spacing w:after="0"/>
            </w:pPr>
            <w:r>
              <w:rPr>
                <w:rFonts w:ascii="游ゴシック" w:hAnsi="游ゴシック" w:eastAsia="游ゴシック"/>
                <w:b w:val="0"/>
                <w:sz w:val="19"/>
              </w:rPr>
              <w:t>数量×単価＝金額</w:t>
            </w:r>
          </w:p>
        </w:tc>
        <w:tc>
          <w:tcPr>
            <w:tcW w:type="dxa" w:w="3628"/>
            <w:vAlign w:val="center"/>
          </w:tcPr>
          <w:p>
            <w:pPr>
              <w:spacing w:after="0"/>
            </w:pPr>
            <w:r>
              <w:rPr>
                <w:rFonts w:ascii="游ゴシック" w:hAnsi="游ゴシック" w:eastAsia="游ゴシック"/>
                <w:b w:val="0"/>
                <w:sz w:val="19"/>
              </w:rPr>
              <w:t>利用者数 × 1人あたり給付費 ＝ 給付費</w:t>
            </w:r>
          </w:p>
        </w:tc>
        <w:tc>
          <w:tcPr>
            <w:tcW w:type="dxa" w:w="1134"/>
            <w:vAlign w:val="center"/>
          </w:tcPr>
          <w:p>
            <w:pPr>
              <w:spacing w:after="0"/>
            </w:pPr>
            <w:r>
              <w:rPr>
                <w:rFonts w:ascii="游ゴシック" w:hAnsi="游ゴシック" w:eastAsia="游ゴシック"/>
                <w:b w:val="0"/>
                <w:sz w:val="19"/>
              </w:rPr>
              <w:t>円未満</w:t>
            </w:r>
          </w:p>
        </w:tc>
        <w:tc>
          <w:tcPr>
            <w:tcW w:type="dxa" w:w="2948"/>
            <w:vAlign w:val="center"/>
          </w:tcPr>
          <w:p>
            <w:pPr>
              <w:spacing w:after="0"/>
            </w:pPr>
            <w:r>
              <w:rPr>
                <w:rFonts w:ascii="游ゴシック" w:hAnsi="游ゴシック" w:eastAsia="游ゴシック"/>
                <w:b w:val="0"/>
                <w:sz w:val="19"/>
              </w:rPr>
              <w:t>系列の定義が違う。用いる系列を絞る</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合計＝別系列の合計</w:t>
            </w:r>
          </w:p>
        </w:tc>
        <w:tc>
          <w:tcPr>
            <w:tcW w:type="dxa" w:w="3628"/>
            <w:shd w:val="clear" w:color="auto" w:fill="F2F5FA"/>
            <w:vAlign w:val="center"/>
          </w:tcPr>
          <w:p>
            <w:pPr>
              <w:spacing w:after="0"/>
            </w:pPr>
            <w:r>
              <w:rPr>
                <w:rFonts w:ascii="游ゴシック" w:hAnsi="游ゴシック" w:eastAsia="游ゴシック"/>
                <w:b w:val="0"/>
                <w:sz w:val="19"/>
              </w:rPr>
              <w:t>サービス別の給付費の合計 ＝ 年報の給付費</w:t>
            </w:r>
          </w:p>
        </w:tc>
        <w:tc>
          <w:tcPr>
            <w:tcW w:type="dxa" w:w="1134"/>
            <w:shd w:val="clear" w:color="auto" w:fill="F2F5FA"/>
            <w:vAlign w:val="center"/>
          </w:tcPr>
          <w:p>
            <w:pPr>
              <w:spacing w:after="0"/>
            </w:pPr>
            <w:r>
              <w:rPr>
                <w:rFonts w:ascii="游ゴシック" w:hAnsi="游ゴシック" w:eastAsia="游ゴシック"/>
                <w:b w:val="0"/>
                <w:sz w:val="19"/>
              </w:rPr>
              <w:t>円未満</w:t>
            </w:r>
          </w:p>
        </w:tc>
        <w:tc>
          <w:tcPr>
            <w:tcW w:type="dxa" w:w="2948"/>
            <w:shd w:val="clear" w:color="auto" w:fill="F2F5FA"/>
            <w:vAlign w:val="center"/>
          </w:tcPr>
          <w:p>
            <w:pPr>
              <w:spacing w:after="0"/>
            </w:pPr>
            <w:r>
              <w:rPr>
                <w:rFonts w:ascii="游ゴシック" w:hAnsi="游ゴシック" w:eastAsia="游ゴシック"/>
                <w:b w:val="0"/>
                <w:sz w:val="19"/>
              </w:rPr>
              <w:t>範囲が違う。何を含み何を含まないかを確かめる</w:t>
            </w:r>
          </w:p>
        </w:tc>
      </w:tr>
      <w:tr>
        <w:trPr>
          <w:cantSplit/>
        </w:trPr>
        <w:tc>
          <w:tcPr>
            <w:tcW w:type="dxa" w:w="2041"/>
            <w:vAlign w:val="center"/>
          </w:tcPr>
          <w:p>
            <w:pPr>
              <w:spacing w:after="0"/>
            </w:pPr>
            <w:r>
              <w:rPr>
                <w:rFonts w:ascii="游ゴシック" w:hAnsi="游ゴシック" w:eastAsia="游ゴシック"/>
                <w:b w:val="0"/>
                <w:sz w:val="19"/>
              </w:rPr>
              <w:t>構成の合計＝総数</w:t>
            </w:r>
          </w:p>
        </w:tc>
        <w:tc>
          <w:tcPr>
            <w:tcW w:type="dxa" w:w="3628"/>
            <w:vAlign w:val="center"/>
          </w:tcPr>
          <w:p>
            <w:pPr>
              <w:spacing w:after="0"/>
            </w:pPr>
            <w:r>
              <w:rPr>
                <w:rFonts w:ascii="游ゴシック" w:hAnsi="游ゴシック" w:eastAsia="游ゴシック"/>
                <w:b w:val="0"/>
                <w:sz w:val="19"/>
              </w:rPr>
              <w:t>要介護度別の合計 ＝ 総数</w:t>
            </w:r>
          </w:p>
        </w:tc>
        <w:tc>
          <w:tcPr>
            <w:tcW w:type="dxa" w:w="1134"/>
            <w:vAlign w:val="center"/>
          </w:tcPr>
          <w:p>
            <w:pPr>
              <w:spacing w:after="0"/>
            </w:pPr>
            <w:r>
              <w:rPr>
                <w:rFonts w:ascii="游ゴシック" w:hAnsi="游ゴシック" w:eastAsia="游ゴシック"/>
                <w:b w:val="0"/>
                <w:sz w:val="19"/>
              </w:rPr>
              <w:t>1人未満</w:t>
            </w:r>
          </w:p>
        </w:tc>
        <w:tc>
          <w:tcPr>
            <w:tcW w:type="dxa" w:w="2948"/>
            <w:vAlign w:val="center"/>
          </w:tcPr>
          <w:p>
            <w:pPr>
              <w:spacing w:after="0"/>
            </w:pPr>
            <w:r>
              <w:rPr>
                <w:rFonts w:ascii="游ゴシック" w:hAnsi="游ゴシック" w:eastAsia="游ゴシック"/>
                <w:b w:val="0"/>
                <w:sz w:val="19"/>
              </w:rPr>
              <w:t>重複計上がある。名寄せの有無を確かめる</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期間の合計＝年度計</w:t>
            </w:r>
          </w:p>
        </w:tc>
        <w:tc>
          <w:tcPr>
            <w:tcW w:type="dxa" w:w="3628"/>
            <w:shd w:val="clear" w:color="auto" w:fill="F2F5FA"/>
            <w:vAlign w:val="center"/>
          </w:tcPr>
          <w:p>
            <w:pPr>
              <w:spacing w:after="0"/>
            </w:pPr>
            <w:r>
              <w:rPr>
                <w:rFonts w:ascii="游ゴシック" w:hAnsi="游ゴシック" w:eastAsia="游ゴシック"/>
                <w:b w:val="0"/>
                <w:sz w:val="19"/>
              </w:rPr>
              <w:t>各月の合計 ＝ 年度の値</w:t>
            </w:r>
          </w:p>
        </w:tc>
        <w:tc>
          <w:tcPr>
            <w:tcW w:type="dxa" w:w="1134"/>
            <w:shd w:val="clear" w:color="auto" w:fill="F2F5FA"/>
            <w:vAlign w:val="center"/>
          </w:tcPr>
          <w:p>
            <w:pPr>
              <w:spacing w:after="0"/>
            </w:pPr>
            <w:r>
              <w:rPr>
                <w:rFonts w:ascii="游ゴシック" w:hAnsi="游ゴシック" w:eastAsia="游ゴシック"/>
                <w:b w:val="0"/>
                <w:sz w:val="19"/>
              </w:rPr>
              <w:t>端数</w:t>
            </w:r>
          </w:p>
        </w:tc>
        <w:tc>
          <w:tcPr>
            <w:tcW w:type="dxa" w:w="2948"/>
            <w:shd w:val="clear" w:color="auto" w:fill="F2F5FA"/>
            <w:vAlign w:val="center"/>
          </w:tcPr>
          <w:p>
            <w:pPr>
              <w:spacing w:after="0"/>
            </w:pPr>
            <w:r>
              <w:rPr>
                <w:rFonts w:ascii="游ゴシック" w:hAnsi="游ゴシック" w:eastAsia="游ゴシック"/>
                <w:b w:val="0"/>
                <w:sz w:val="19"/>
              </w:rPr>
              <w:t>月数を確かめる</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見える化システムの総括表は、利用者数×1人あたり給付費＝給付費が全29行で成立し、給付費の合計が介護保険事業状況報告（年報）と円単位で一致しました（令和6年度 2,817,194,455円／令和7年度 2,915,307,125円）。この整合を確かめたうえで、総括表を算定の基礎に選んでいます。</w:t>
      </w:r>
    </w:p>
    <w:p>
      <w:pPr>
        <w:keepNext/>
        <w:spacing w:before="180" w:after="60"/>
      </w:pPr>
      <w:r>
        <w:rPr>
          <w:rFonts w:ascii="游ゴシック" w:hAnsi="游ゴシック" w:eastAsia="游ゴシック"/>
          <w:b/>
          <w:sz w:val="22"/>
        </w:rPr>
        <w:t>3　丸めの解像度を確かめる</w:t>
      </w:r>
    </w:p>
    <w:p>
      <w:r>
        <w:rPr>
          <w:rFonts w:ascii="游ゴシック" w:hAnsi="游ゴシック" w:eastAsia="游ゴシック"/>
          <w:b w:val="0"/>
          <w:sz w:val="21"/>
        </w:rPr>
        <w:t>公表値には丸めがあります。丸めの幅が測ろうとする効果より大きい系列は、その用途には使えません。率で公表される指標は、分母を掛けて実数に直したときの刻みを確かめます。</w:t>
      </w:r>
    </w:p>
    <w:p>
      <w:r>
        <w:rPr>
          <w:rFonts w:ascii="游ゴシック" w:hAnsi="游ゴシック" w:eastAsia="游ゴシック"/>
          <w:b w:val="0"/>
          <w:sz w:val="21"/>
        </w:rPr>
        <w:t xml:space="preserve">　刻み ＝ 公表の丸め幅 × 分母</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受給率が小数第1位までしか公表されない系列では、分母が第1号被保険者数（9,082人）であるため0.1％が約9.1人／月の刻みになりました。月5.2人の訪問入浴介護は、この方法では0人になります。実数が併載される3種別を除き、率からサービス別の見込量を作ることは避けました。</w:t>
      </w:r>
    </w:p>
    <w:p>
      <w:pPr>
        <w:keepNext/>
        <w:spacing w:before="320" w:after="120"/>
      </w:pPr>
      <w:r>
        <w:rPr>
          <w:rFonts w:ascii="游ゴシック" w:hAnsi="游ゴシック" w:eastAsia="游ゴシック"/>
          <w:b/>
          <w:color w:val="1F3864"/>
          <w:sz w:val="26"/>
        </w:rPr>
        <w:t>第4章　算定パターンの列挙と比較</w:t>
      </w:r>
    </w:p>
    <w:p>
      <w:pPr>
        <w:keepNext/>
        <w:spacing w:before="180" w:after="60"/>
      </w:pPr>
      <w:r>
        <w:rPr>
          <w:rFonts w:ascii="游ゴシック" w:hAnsi="游ゴシック" w:eastAsia="游ゴシック"/>
          <w:b/>
          <w:sz w:val="22"/>
        </w:rPr>
        <w:t>1　パターンの3軸</w:t>
      </w:r>
    </w:p>
    <w:p>
      <w:r>
        <w:rPr>
          <w:rFonts w:ascii="游ゴシック" w:hAnsi="游ゴシック" w:eastAsia="游ゴシック"/>
          <w:b w:val="0"/>
          <w:sz w:val="21"/>
        </w:rPr>
        <w:t>見込量の算定は、次の3つの軸の組合せで決まります。1つに決め打つのではなく、組合せを列挙して保険料まで通して比べます。</w:t>
      </w:r>
    </w:p>
    <w:p>
      <w:pPr>
        <w:keepNext/>
        <w:spacing w:before="160" w:after="40"/>
      </w:pPr>
      <w:r>
        <w:rPr>
          <w:rFonts w:ascii="游ゴシック" w:hAnsi="游ゴシック" w:eastAsia="游ゴシック"/>
          <w:b/>
          <w:sz w:val="20"/>
        </w:rPr>
        <w:t>表5　算定パターンの3軸</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spacing w:after="0"/>
              <w:jc w:val="center"/>
            </w:pPr>
            <w:r>
              <w:rPr>
                <w:rFonts w:ascii="游ゴシック" w:hAnsi="游ゴシック" w:eastAsia="游ゴシック"/>
                <w:b/>
                <w:color w:val="FFFFFF"/>
                <w:sz w:val="19"/>
              </w:rPr>
              <w:t>軸</w:t>
            </w:r>
          </w:p>
        </w:tc>
        <w:tc>
          <w:tcPr>
            <w:tcW w:type="dxa" w:w="3969"/>
            <w:shd w:val="clear" w:color="auto" w:fill="1F3864"/>
            <w:vAlign w:val="center"/>
          </w:tcPr>
          <w:p>
            <w:pPr>
              <w:spacing w:after="0"/>
              <w:jc w:val="center"/>
            </w:pPr>
            <w:r>
              <w:rPr>
                <w:rFonts w:ascii="游ゴシック" w:hAnsi="游ゴシック" w:eastAsia="游ゴシック"/>
                <w:b/>
                <w:color w:val="FFFFFF"/>
                <w:sz w:val="19"/>
              </w:rPr>
              <w:t>選択肢</w:t>
            </w:r>
          </w:p>
        </w:tc>
        <w:tc>
          <w:tcPr>
            <w:tcW w:type="dxa" w:w="4082"/>
            <w:shd w:val="clear" w:color="auto" w:fill="1F3864"/>
            <w:vAlign w:val="center"/>
          </w:tcPr>
          <w:p>
            <w:pPr>
              <w:spacing w:after="0"/>
              <w:jc w:val="center"/>
            </w:pPr>
            <w:r>
              <w:rPr>
                <w:rFonts w:ascii="游ゴシック" w:hAnsi="游ゴシック" w:eastAsia="游ゴシック"/>
                <w:b/>
                <w:color w:val="FFFFFF"/>
                <w:sz w:val="19"/>
              </w:rPr>
              <w:t>効きの大きさの目安</w:t>
            </w:r>
          </w:p>
        </w:tc>
      </w:tr>
      <w:tr>
        <w:trPr>
          <w:cantSplit/>
        </w:trPr>
        <w:tc>
          <w:tcPr>
            <w:tcW w:type="dxa" w:w="1701"/>
            <w:vAlign w:val="center"/>
          </w:tcPr>
          <w:p>
            <w:pPr>
              <w:spacing w:after="0"/>
            </w:pPr>
            <w:r>
              <w:rPr>
                <w:rFonts w:ascii="游ゴシック" w:hAnsi="游ゴシック" w:eastAsia="游ゴシック"/>
                <w:b w:val="0"/>
                <w:sz w:val="19"/>
              </w:rPr>
              <w:t>基準年度</w:t>
            </w:r>
          </w:p>
        </w:tc>
        <w:tc>
          <w:tcPr>
            <w:tcW w:type="dxa" w:w="3969"/>
            <w:vAlign w:val="center"/>
          </w:tcPr>
          <w:p>
            <w:pPr>
              <w:spacing w:after="0"/>
            </w:pPr>
            <w:r>
              <w:rPr>
                <w:rFonts w:ascii="游ゴシック" w:hAnsi="游ゴシック" w:eastAsia="游ゴシック"/>
                <w:b w:val="0"/>
                <w:sz w:val="19"/>
              </w:rPr>
              <w:t>完結した最新年度／1年前／年度途中の年度</w:t>
            </w:r>
          </w:p>
        </w:tc>
        <w:tc>
          <w:tcPr>
            <w:tcW w:type="dxa" w:w="4082"/>
            <w:vAlign w:val="center"/>
          </w:tcPr>
          <w:p>
            <w:pPr>
              <w:spacing w:after="0"/>
            </w:pPr>
            <w:r>
              <w:rPr>
                <w:rFonts w:ascii="游ゴシック" w:hAnsi="游ゴシック" w:eastAsia="游ゴシック"/>
                <w:b w:val="0"/>
                <w:sz w:val="19"/>
              </w:rPr>
              <w:t>大きい。年度途中の年度を用いると誤りが最も大きい</w:t>
            </w:r>
          </w:p>
        </w:tc>
      </w:tr>
      <w:tr>
        <w:trPr>
          <w:cantSplit/>
        </w:trPr>
        <w:tc>
          <w:tcPr>
            <w:tcW w:type="dxa" w:w="1701"/>
            <w:shd w:val="clear" w:color="auto" w:fill="F2F5FA"/>
            <w:vAlign w:val="center"/>
          </w:tcPr>
          <w:p>
            <w:pPr>
              <w:spacing w:after="0"/>
            </w:pPr>
            <w:r>
              <w:rPr>
                <w:rFonts w:ascii="游ゴシック" w:hAnsi="游ゴシック" w:eastAsia="游ゴシック"/>
                <w:b w:val="0"/>
                <w:sz w:val="19"/>
              </w:rPr>
              <w:t>出所</w:t>
            </w:r>
          </w:p>
        </w:tc>
        <w:tc>
          <w:tcPr>
            <w:tcW w:type="dxa" w:w="3969"/>
            <w:shd w:val="clear" w:color="auto" w:fill="F2F5FA"/>
            <w:vAlign w:val="center"/>
          </w:tcPr>
          <w:p>
            <w:pPr>
              <w:spacing w:after="0"/>
            </w:pPr>
            <w:r>
              <w:rPr>
                <w:rFonts w:ascii="游ゴシック" w:hAnsi="游ゴシック" w:eastAsia="游ゴシック"/>
                <w:b w:val="0"/>
                <w:sz w:val="19"/>
              </w:rPr>
              <w:t>保険者単位／市町村合計／率から復元</w:t>
            </w:r>
          </w:p>
        </w:tc>
        <w:tc>
          <w:tcPr>
            <w:tcW w:type="dxa" w:w="4082"/>
            <w:shd w:val="clear" w:color="auto" w:fill="F2F5FA"/>
            <w:vAlign w:val="center"/>
          </w:tcPr>
          <w:p>
            <w:pPr>
              <w:spacing w:after="0"/>
            </w:pPr>
            <w:r>
              <w:rPr>
                <w:rFonts w:ascii="游ゴシック" w:hAnsi="游ゴシック" w:eastAsia="游ゴシック"/>
                <w:b w:val="0"/>
                <w:sz w:val="19"/>
              </w:rPr>
              <w:t>大きい。重複計上の分だけ市町村合計が上回る</w:t>
            </w:r>
          </w:p>
        </w:tc>
      </w:tr>
      <w:tr>
        <w:trPr>
          <w:cantSplit/>
        </w:trPr>
        <w:tc>
          <w:tcPr>
            <w:tcW w:type="dxa" w:w="1701"/>
            <w:vAlign w:val="center"/>
          </w:tcPr>
          <w:p>
            <w:pPr>
              <w:spacing w:after="0"/>
            </w:pPr>
            <w:r>
              <w:rPr>
                <w:rFonts w:ascii="游ゴシック" w:hAnsi="游ゴシック" w:eastAsia="游ゴシック"/>
                <w:b w:val="0"/>
                <w:sz w:val="19"/>
              </w:rPr>
              <w:t>伸びの置き方</w:t>
            </w:r>
          </w:p>
        </w:tc>
        <w:tc>
          <w:tcPr>
            <w:tcW w:type="dxa" w:w="3969"/>
            <w:vAlign w:val="center"/>
          </w:tcPr>
          <w:p>
            <w:pPr>
              <w:spacing w:after="0"/>
            </w:pPr>
            <w:r>
              <w:rPr>
                <w:rFonts w:ascii="游ゴシック" w:hAnsi="游ゴシック" w:eastAsia="游ゴシック"/>
                <w:b w:val="0"/>
                <w:sz w:val="19"/>
              </w:rPr>
              <w:t>認定者数の伸びで一律／サービス別の趨勢／自然体推計</w:t>
            </w:r>
          </w:p>
        </w:tc>
        <w:tc>
          <w:tcPr>
            <w:tcW w:type="dxa" w:w="4082"/>
            <w:vAlign w:val="center"/>
          </w:tcPr>
          <w:p>
            <w:pPr>
              <w:spacing w:after="0"/>
            </w:pPr>
            <w:r>
              <w:rPr>
                <w:rFonts w:ascii="游ゴシック" w:hAnsi="游ゴシック" w:eastAsia="游ゴシック"/>
                <w:b w:val="0"/>
                <w:sz w:val="19"/>
              </w:rPr>
              <w:t>中くらい。シナリオの取り方で幅が出る</w:t>
            </w:r>
          </w:p>
        </w:tc>
      </w:tr>
    </w:tbl>
    <w:p>
      <w:pPr>
        <w:keepNext/>
        <w:spacing w:before="180" w:after="60"/>
      </w:pPr>
      <w:r>
        <w:rPr>
          <w:rFonts w:ascii="游ゴシック" w:hAnsi="游ゴシック" w:eastAsia="游ゴシック"/>
          <w:b/>
          <w:sz w:val="22"/>
        </w:rPr>
        <w:t>2　保険料まで通して比べる</w:t>
      </w:r>
    </w:p>
    <w:p>
      <w:r>
        <w:rPr>
          <w:rFonts w:ascii="游ゴシック" w:hAnsi="游ゴシック" w:eastAsia="游ゴシック"/>
          <w:b w:val="0"/>
          <w:sz w:val="21"/>
        </w:rPr>
        <w:t>パターンの比較は、給付費で止めずに保険料の月額まで通します。給付費の1％が月額に何円効くかを先に求めておくと、以降の検討で「意思決定に効くもの」と「誤差の範囲のもの」を分けられます。</w:t>
      </w:r>
    </w:p>
    <w:p>
      <w:r>
        <w:rPr>
          <w:rFonts w:ascii="游ゴシック" w:hAnsi="游ゴシック" w:eastAsia="游ゴシック"/>
          <w:b w:val="0"/>
          <w:sz w:val="21"/>
        </w:rPr>
        <w:t xml:space="preserve">　給付費1円が保険料収納必要額に効く額 ＝ 割増率 ×（第1号負担割合 ＋ 調整交付金相当割合 － 見込交付割合）</w:t>
      </w:r>
    </w:p>
    <w:p>
      <w:r>
        <w:rPr>
          <w:rFonts w:ascii="游ゴシック" w:hAnsi="游ゴシック" w:eastAsia="游ゴシック"/>
          <w:b w:val="0"/>
          <w:sz w:val="21"/>
        </w:rPr>
        <w:t xml:space="preserve">　地域支援事業費1円が効く額 ＝ 第1号負担割合</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給付費1％あたり月額60.7円でした。この基準により、算定できた7パターンの月額の幅825円に対し、季節補正（月額0円から▲14円）は誤差の範囲であると判別できました。</w:t>
      </w:r>
    </w:p>
    <w:p>
      <w:pPr>
        <w:ind w:left="227"/>
      </w:pPr>
      <w:r>
        <w:rPr>
          <w:rFonts w:ascii="游ゴシック" w:hAnsi="游ゴシック" w:eastAsia="游ゴシック"/>
          <w:b w:val="0"/>
          <w:sz w:val="18"/>
        </w:rPr>
        <w:t>※ 給付費と地域支援事業費では1円あたりの効きが異なります。給付費は割増率を経て①と②の両方に、地域支援事業費は①のみに効くためです。施策により給付費を減らして地域支援事業費を増やす場合、この比が損益分岐になります。</w:t>
      </w:r>
    </w:p>
    <w:p>
      <w:pPr>
        <w:keepNext/>
        <w:spacing w:before="320" w:after="120"/>
      </w:pPr>
      <w:r>
        <w:rPr>
          <w:rFonts w:ascii="游ゴシック" w:hAnsi="游ゴシック" w:eastAsia="游ゴシック"/>
          <w:b/>
          <w:color w:val="1F3864"/>
          <w:sz w:val="26"/>
        </w:rPr>
        <w:t>第5章　伸びの置き方（対計画比の偏りの補正）</w:t>
      </w:r>
    </w:p>
    <w:p>
      <w:pPr>
        <w:keepNext/>
        <w:spacing w:before="180" w:after="60"/>
      </w:pPr>
      <w:r>
        <w:rPr>
          <w:rFonts w:ascii="游ゴシック" w:hAnsi="游ゴシック" w:eastAsia="游ゴシック"/>
          <w:b/>
          <w:sz w:val="22"/>
        </w:rPr>
        <w:t>1　一律の伸びが生む偏り</w:t>
      </w:r>
    </w:p>
    <w:p>
      <w:r>
        <w:rPr>
          <w:rFonts w:ascii="游ゴシック" w:hAnsi="游ゴシック" w:eastAsia="游ゴシック"/>
          <w:b w:val="0"/>
          <w:sz w:val="21"/>
        </w:rPr>
        <w:t>見込量の伸びを認定者数の伸びで一律に置くと、サービスごとの伸びの違いがそのまま対計画比の開きになります。対計画比（実績÷計画）を計画期をまたいで求めると、この偏りが見えます。</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第7期から第9期までの8年度の対計画比は、サービス別に34.0％から146.6％まで開いていました。全体は8年度すべてで100％未満（8年平均94.93％）です。実績の伸びはサービス別に年率▲10.7％から＋28.8％まで開いており、認定者数の伸び（年率＋0.48％）とは別物でした。</w:t>
      </w:r>
    </w:p>
    <w:p>
      <w:pPr>
        <w:keepNext/>
        <w:spacing w:before="180" w:after="60"/>
      </w:pPr>
      <w:r>
        <w:rPr>
          <w:rFonts w:ascii="游ゴシック" w:hAnsi="游ゴシック" w:eastAsia="游ゴシック"/>
          <w:b/>
          <w:sz w:val="22"/>
        </w:rPr>
        <w:t>2　補正の式</w:t>
      </w:r>
    </w:p>
    <w:p>
      <w:r>
        <w:rPr>
          <w:rFonts w:ascii="游ゴシック" w:hAnsi="游ゴシック" w:eastAsia="游ゴシック"/>
          <w:b w:val="0"/>
          <w:sz w:val="21"/>
        </w:rPr>
        <w:t>一律の伸びに、サービス別の趨勢を一定の割合だけ加えます。趨勢をそのまま延長すると外れやすいため、割合と上限で抑えます。</w:t>
      </w:r>
    </w:p>
    <w:p>
      <w:r>
        <w:rPr>
          <w:rFonts w:ascii="游ゴシック" w:hAnsi="游ゴシック" w:eastAsia="游ゴシック"/>
          <w:b w:val="0"/>
          <w:sz w:val="21"/>
        </w:rPr>
        <w:t xml:space="preserve">　g'ₛ ＝ gₙ ＋ φ × clip(gₛ － gₙ, ±c)</w:t>
      </w:r>
    </w:p>
    <w:p>
      <w:r>
        <w:rPr>
          <w:rFonts w:ascii="游ゴシック" w:hAnsi="游ゴシック" w:eastAsia="游ゴシック"/>
          <w:b w:val="0"/>
          <w:sz w:val="21"/>
        </w:rPr>
        <w:t xml:space="preserve">　見込量ₛ(年) ＝ 基準年度の実績ₛ × (1 ＋ g'ₛ)^経過年数</w:t>
      </w:r>
    </w:p>
    <w:p>
      <w:pPr>
        <w:keepNext/>
        <w:spacing w:before="160" w:after="40"/>
      </w:pPr>
      <w:r>
        <w:rPr>
          <w:rFonts w:ascii="游ゴシック" w:hAnsi="游ゴシック" w:eastAsia="游ゴシック"/>
          <w:b/>
          <w:sz w:val="20"/>
        </w:rPr>
        <w:t>表6　補正の式の記号</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907"/>
            <w:shd w:val="clear" w:color="auto" w:fill="1F3864"/>
            <w:vAlign w:val="center"/>
          </w:tcPr>
          <w:p>
            <w:pPr>
              <w:spacing w:after="0"/>
              <w:jc w:val="center"/>
            </w:pPr>
            <w:r>
              <w:rPr>
                <w:rFonts w:ascii="游ゴシック" w:hAnsi="游ゴシック" w:eastAsia="游ゴシック"/>
                <w:b/>
                <w:color w:val="FFFFFF"/>
                <w:sz w:val="19"/>
              </w:rPr>
              <w:t>記号</w:t>
            </w:r>
          </w:p>
        </w:tc>
        <w:tc>
          <w:tcPr>
            <w:tcW w:type="dxa" w:w="3515"/>
            <w:shd w:val="clear" w:color="auto" w:fill="1F3864"/>
            <w:vAlign w:val="center"/>
          </w:tcPr>
          <w:p>
            <w:pPr>
              <w:spacing w:after="0"/>
              <w:jc w:val="center"/>
            </w:pPr>
            <w:r>
              <w:rPr>
                <w:rFonts w:ascii="游ゴシック" w:hAnsi="游ゴシック" w:eastAsia="游ゴシック"/>
                <w:b/>
                <w:color w:val="FFFFFF"/>
                <w:sz w:val="19"/>
              </w:rPr>
              <w:t>内容</w:t>
            </w:r>
          </w:p>
        </w:tc>
        <w:tc>
          <w:tcPr>
            <w:tcW w:type="dxa" w:w="5329"/>
            <w:shd w:val="clear" w:color="auto" w:fill="1F3864"/>
            <w:vAlign w:val="center"/>
          </w:tcPr>
          <w:p>
            <w:pPr>
              <w:spacing w:after="0"/>
              <w:jc w:val="center"/>
            </w:pPr>
            <w:r>
              <w:rPr>
                <w:rFonts w:ascii="游ゴシック" w:hAnsi="游ゴシック" w:eastAsia="游ゴシック"/>
                <w:b/>
                <w:color w:val="FFFFFF"/>
                <w:sz w:val="19"/>
              </w:rPr>
              <w:t>置き方</w:t>
            </w:r>
          </w:p>
        </w:tc>
      </w:tr>
      <w:tr>
        <w:trPr>
          <w:cantSplit/>
        </w:trPr>
        <w:tc>
          <w:tcPr>
            <w:tcW w:type="dxa" w:w="907"/>
            <w:vAlign w:val="center"/>
          </w:tcPr>
          <w:p>
            <w:pPr>
              <w:spacing w:after="0"/>
            </w:pPr>
            <w:r>
              <w:rPr>
                <w:rFonts w:ascii="游ゴシック" w:hAnsi="游ゴシック" w:eastAsia="游ゴシック"/>
                <w:b w:val="0"/>
                <w:sz w:val="19"/>
              </w:rPr>
              <w:t>gₙ</w:t>
            </w:r>
          </w:p>
        </w:tc>
        <w:tc>
          <w:tcPr>
            <w:tcW w:type="dxa" w:w="3515"/>
            <w:vAlign w:val="center"/>
          </w:tcPr>
          <w:p>
            <w:pPr>
              <w:spacing w:after="0"/>
            </w:pPr>
            <w:r>
              <w:rPr>
                <w:rFonts w:ascii="游ゴシック" w:hAnsi="游ゴシック" w:eastAsia="游ゴシック"/>
                <w:b w:val="0"/>
                <w:sz w:val="19"/>
              </w:rPr>
              <w:t>認定者数の伸び（年率）</w:t>
            </w:r>
          </w:p>
        </w:tc>
        <w:tc>
          <w:tcPr>
            <w:tcW w:type="dxa" w:w="5329"/>
            <w:vAlign w:val="center"/>
          </w:tcPr>
          <w:p>
            <w:pPr>
              <w:spacing w:after="0"/>
            </w:pPr>
            <w:r>
              <w:rPr>
                <w:rFonts w:ascii="游ゴシック" w:hAnsi="游ゴシック" w:eastAsia="游ゴシック"/>
                <w:b w:val="0"/>
                <w:sz w:val="19"/>
              </w:rPr>
              <w:t>人口・認定者数の推計による</w:t>
            </w:r>
          </w:p>
        </w:tc>
      </w:tr>
      <w:tr>
        <w:trPr>
          <w:cantSplit/>
        </w:trPr>
        <w:tc>
          <w:tcPr>
            <w:tcW w:type="dxa" w:w="907"/>
            <w:shd w:val="clear" w:color="auto" w:fill="F2F5FA"/>
            <w:vAlign w:val="center"/>
          </w:tcPr>
          <w:p>
            <w:pPr>
              <w:spacing w:after="0"/>
            </w:pPr>
            <w:r>
              <w:rPr>
                <w:rFonts w:ascii="游ゴシック" w:hAnsi="游ゴシック" w:eastAsia="游ゴシック"/>
                <w:b w:val="0"/>
                <w:sz w:val="19"/>
              </w:rPr>
              <w:t>gₛ</w:t>
            </w:r>
          </w:p>
        </w:tc>
        <w:tc>
          <w:tcPr>
            <w:tcW w:type="dxa" w:w="3515"/>
            <w:shd w:val="clear" w:color="auto" w:fill="F2F5FA"/>
            <w:vAlign w:val="center"/>
          </w:tcPr>
          <w:p>
            <w:pPr>
              <w:spacing w:after="0"/>
            </w:pPr>
            <w:r>
              <w:rPr>
                <w:rFonts w:ascii="游ゴシック" w:hAnsi="游ゴシック" w:eastAsia="游ゴシック"/>
                <w:b w:val="0"/>
                <w:sz w:val="19"/>
              </w:rPr>
              <w:t>サービスsの実績の伸び（年率）</w:t>
            </w:r>
          </w:p>
        </w:tc>
        <w:tc>
          <w:tcPr>
            <w:tcW w:type="dxa" w:w="5329"/>
            <w:shd w:val="clear" w:color="auto" w:fill="F2F5FA"/>
            <w:vAlign w:val="center"/>
          </w:tcPr>
          <w:p>
            <w:pPr>
              <w:spacing w:after="0"/>
            </w:pPr>
            <w:r>
              <w:rPr>
                <w:rFonts w:ascii="游ゴシック" w:hAnsi="游ゴシック" w:eastAsia="游ゴシック"/>
                <w:b w:val="0"/>
                <w:sz w:val="19"/>
              </w:rPr>
              <w:t>基準年度までの数年の年平均変化率。窓の長さは後述のとおり選ぶ</w:t>
            </w:r>
          </w:p>
        </w:tc>
      </w:tr>
      <w:tr>
        <w:trPr>
          <w:cantSplit/>
        </w:trPr>
        <w:tc>
          <w:tcPr>
            <w:tcW w:type="dxa" w:w="907"/>
            <w:vAlign w:val="center"/>
          </w:tcPr>
          <w:p>
            <w:pPr>
              <w:spacing w:after="0"/>
            </w:pPr>
            <w:r>
              <w:rPr>
                <w:rFonts w:ascii="游ゴシック" w:hAnsi="游ゴシック" w:eastAsia="游ゴシック"/>
                <w:b w:val="0"/>
                <w:sz w:val="19"/>
              </w:rPr>
              <w:t>φ</w:t>
            </w:r>
          </w:p>
        </w:tc>
        <w:tc>
          <w:tcPr>
            <w:tcW w:type="dxa" w:w="3515"/>
            <w:vAlign w:val="center"/>
          </w:tcPr>
          <w:p>
            <w:pPr>
              <w:spacing w:after="0"/>
            </w:pPr>
            <w:r>
              <w:rPr>
                <w:rFonts w:ascii="游ゴシック" w:hAnsi="游ゴシック" w:eastAsia="游ゴシック"/>
                <w:b w:val="0"/>
                <w:sz w:val="19"/>
              </w:rPr>
              <w:t>趨勢を反映する割合</w:t>
            </w:r>
          </w:p>
        </w:tc>
        <w:tc>
          <w:tcPr>
            <w:tcW w:type="dxa" w:w="5329"/>
            <w:vAlign w:val="center"/>
          </w:tcPr>
          <w:p>
            <w:pPr>
              <w:spacing w:after="0"/>
            </w:pPr>
            <w:r>
              <w:rPr>
                <w:rFonts w:ascii="游ゴシック" w:hAnsi="游ゴシック" w:eastAsia="游ゴシック"/>
                <w:b w:val="0"/>
                <w:sz w:val="19"/>
              </w:rPr>
              <w:t>0で一律、1で趨勢を全反映。バックテストで選ぶ</w:t>
            </w:r>
          </w:p>
        </w:tc>
      </w:tr>
      <w:tr>
        <w:trPr>
          <w:cantSplit/>
        </w:trPr>
        <w:tc>
          <w:tcPr>
            <w:tcW w:type="dxa" w:w="907"/>
            <w:shd w:val="clear" w:color="auto" w:fill="F2F5FA"/>
            <w:vAlign w:val="center"/>
          </w:tcPr>
          <w:p>
            <w:pPr>
              <w:spacing w:after="0"/>
            </w:pPr>
            <w:r>
              <w:rPr>
                <w:rFonts w:ascii="游ゴシック" w:hAnsi="游ゴシック" w:eastAsia="游ゴシック"/>
                <w:b w:val="0"/>
                <w:sz w:val="19"/>
              </w:rPr>
              <w:t>c</w:t>
            </w:r>
          </w:p>
        </w:tc>
        <w:tc>
          <w:tcPr>
            <w:tcW w:type="dxa" w:w="3515"/>
            <w:shd w:val="clear" w:color="auto" w:fill="F2F5FA"/>
            <w:vAlign w:val="center"/>
          </w:tcPr>
          <w:p>
            <w:pPr>
              <w:spacing w:after="0"/>
            </w:pPr>
            <w:r>
              <w:rPr>
                <w:rFonts w:ascii="游ゴシック" w:hAnsi="游ゴシック" w:eastAsia="游ゴシック"/>
                <w:b w:val="0"/>
                <w:sz w:val="19"/>
              </w:rPr>
              <w:t>趨勢の差の上限</w:t>
            </w:r>
          </w:p>
        </w:tc>
        <w:tc>
          <w:tcPr>
            <w:tcW w:type="dxa" w:w="5329"/>
            <w:shd w:val="clear" w:color="auto" w:fill="F2F5FA"/>
            <w:vAlign w:val="center"/>
          </w:tcPr>
          <w:p>
            <w:pPr>
              <w:spacing w:after="0"/>
            </w:pPr>
            <w:r>
              <w:rPr>
                <w:rFonts w:ascii="游ゴシック" w:hAnsi="游ゴシック" w:eastAsia="游ゴシック"/>
                <w:b w:val="0"/>
                <w:sz w:val="19"/>
              </w:rPr>
              <w:t>同上。伸びが極端なサービスの影響を抑える</w:t>
            </w:r>
          </w:p>
        </w:tc>
      </w:tr>
    </w:tbl>
    <w:p>
      <w:pPr>
        <w:keepNext/>
        <w:spacing w:before="180" w:after="60"/>
      </w:pPr>
      <w:r>
        <w:rPr>
          <w:rFonts w:ascii="游ゴシック" w:hAnsi="游ゴシック" w:eastAsia="游ゴシック"/>
          <w:b/>
          <w:sz w:val="22"/>
        </w:rPr>
        <w:t>3　バックテストによる選択</w:t>
      </w:r>
    </w:p>
    <w:p>
      <w:r>
        <w:rPr>
          <w:rFonts w:ascii="游ゴシック" w:hAnsi="游ゴシック" w:eastAsia="游ゴシック"/>
          <w:b w:val="0"/>
          <w:sz w:val="21"/>
        </w:rPr>
        <w:t>φ・上限・窓の長さは、過去のデータで予測を行って選びます。起点と予測年数を変えた複数の組合せで比べることで、一つの組合せに合わせすぎることを避けます。</w:t>
      </w:r>
    </w:p>
    <w:p>
      <w:pPr>
        <w:ind w:left="340" w:hanging="340"/>
      </w:pPr>
      <w:r>
        <w:rPr>
          <w:rFonts w:ascii="游ゴシック" w:hAnsi="游ゴシック" w:eastAsia="游ゴシック"/>
          <w:b w:val="0"/>
          <w:sz w:val="21"/>
        </w:rPr>
        <w:t>・起点年度の実績から数年先を予測し、その年度の実績と比べる。</w:t>
      </w:r>
    </w:p>
    <w:p>
      <w:pPr>
        <w:ind w:left="340" w:hanging="340"/>
      </w:pPr>
      <w:r>
        <w:rPr>
          <w:rFonts w:ascii="游ゴシック" w:hAnsi="游ゴシック" w:eastAsia="游ゴシック"/>
          <w:b w:val="0"/>
          <w:sz w:val="21"/>
        </w:rPr>
        <w:t>・誤差はサービス別の絶対誤差を給付費で加重したものと、総給付費の絶対誤差の2つで見る。</w:t>
      </w:r>
    </w:p>
    <w:p>
      <w:pPr>
        <w:ind w:left="340" w:hanging="340"/>
      </w:pPr>
      <w:r>
        <w:rPr>
          <w:rFonts w:ascii="游ゴシック" w:hAnsi="游ゴシック" w:eastAsia="游ゴシック"/>
          <w:b w:val="0"/>
          <w:sz w:val="21"/>
        </w:rPr>
        <w:t>・起点と予測年数の組合せを複数用意し、その平均で設定を選ぶ。</w:t>
      </w:r>
    </w:p>
    <w:p>
      <w:pPr>
        <w:ind w:left="340" w:hanging="340"/>
      </w:pPr>
      <w:r>
        <w:rPr>
          <w:rFonts w:ascii="游ゴシック" w:hAnsi="游ゴシック" w:eastAsia="游ゴシック"/>
          <w:b w:val="0"/>
          <w:sz w:val="21"/>
        </w:rPr>
        <w:t>・一律（φ＝0）を必ず比較対象に入れる。補正が一律より良いことを示せなければ補正しない。</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起点と予測年数を変えた5通りの組合せで、φ・上限・窓の30設定を比べました。φ＝0.5・上限±3％・窓5年が最良で、一律（φ＝0）は30設定中15位でした。総給付費の予測誤差は、一律1.68％に対し補正1.13％です。</w:t>
      </w:r>
    </w:p>
    <w:p>
      <w:pPr>
        <w:keepNext/>
        <w:spacing w:before="180" w:after="60"/>
      </w:pPr>
      <w:r>
        <w:rPr>
          <w:rFonts w:ascii="游ゴシック" w:hAnsi="游ゴシック" w:eastAsia="游ゴシック"/>
          <w:b/>
          <w:sz w:val="22"/>
        </w:rPr>
        <w:t>4　補正で解消しないもの</w:t>
      </w:r>
    </w:p>
    <w:p>
      <w:r>
        <w:rPr>
          <w:rFonts w:ascii="游ゴシック" w:hAnsi="游ゴシック" w:eastAsia="游ゴシック"/>
          <w:b w:val="0"/>
          <w:sz w:val="21"/>
        </w:rPr>
        <w:t>補正は総給付費の予測を改善しますが、サービス別の大きな外れは解消しません。外れは趨勢の問題ではなく、供給又は制度の問題であることが多いためです。これらはサービスごとに理由を確かめ、供給実現性の段階で扱います。</w:t>
      </w:r>
    </w:p>
    <w:p>
      <w:pPr>
        <w:keepNext/>
        <w:spacing w:before="160" w:after="40"/>
      </w:pPr>
      <w:r>
        <w:rPr>
          <w:rFonts w:ascii="游ゴシック" w:hAnsi="游ゴシック" w:eastAsia="游ゴシック"/>
          <w:b/>
          <w:sz w:val="20"/>
        </w:rPr>
        <w:t>表7　補正で解消しない外れの型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型</w:t>
            </w:r>
          </w:p>
        </w:tc>
        <w:tc>
          <w:tcPr>
            <w:tcW w:type="dxa" w:w="3742"/>
            <w:shd w:val="clear" w:color="auto" w:fill="1F3864"/>
            <w:vAlign w:val="center"/>
          </w:tcPr>
          <w:p>
            <w:pPr>
              <w:spacing w:after="0"/>
              <w:jc w:val="center"/>
            </w:pPr>
            <w:r>
              <w:rPr>
                <w:rFonts w:ascii="游ゴシック" w:hAnsi="游ゴシック" w:eastAsia="游ゴシック"/>
                <w:b/>
                <w:color w:val="FFFFFF"/>
                <w:sz w:val="19"/>
              </w:rPr>
              <w:t>現れ方</w:t>
            </w:r>
          </w:p>
        </w:tc>
        <w:tc>
          <w:tcPr>
            <w:tcW w:type="dxa" w:w="4082"/>
            <w:shd w:val="clear" w:color="auto" w:fill="1F3864"/>
            <w:vAlign w:val="center"/>
          </w:tcPr>
          <w:p>
            <w:pPr>
              <w:spacing w:after="0"/>
              <w:jc w:val="center"/>
            </w:pPr>
            <w:r>
              <w:rPr>
                <w:rFonts w:ascii="游ゴシック" w:hAnsi="游ゴシック" w:eastAsia="游ゴシック"/>
                <w:b/>
                <w:color w:val="FFFFFF"/>
                <w:sz w:val="19"/>
              </w:rPr>
              <w:t>扱い</w:t>
            </w:r>
          </w:p>
        </w:tc>
      </w:tr>
      <w:tr>
        <w:trPr>
          <w:cantSplit/>
        </w:trPr>
        <w:tc>
          <w:tcPr>
            <w:tcW w:type="dxa" w:w="1928"/>
            <w:vAlign w:val="center"/>
          </w:tcPr>
          <w:p>
            <w:pPr>
              <w:spacing w:after="0"/>
            </w:pPr>
            <w:r>
              <w:rPr>
                <w:rFonts w:ascii="游ゴシック" w:hAnsi="游ゴシック" w:eastAsia="游ゴシック"/>
                <w:b w:val="0"/>
                <w:sz w:val="19"/>
              </w:rPr>
              <w:t>供給が失われた</w:t>
            </w:r>
          </w:p>
        </w:tc>
        <w:tc>
          <w:tcPr>
            <w:tcW w:type="dxa" w:w="3742"/>
            <w:vAlign w:val="center"/>
          </w:tcPr>
          <w:p>
            <w:pPr>
              <w:spacing w:after="0"/>
            </w:pPr>
            <w:r>
              <w:rPr>
                <w:rFonts w:ascii="游ゴシック" w:hAnsi="游ゴシック" w:eastAsia="游ゴシック"/>
                <w:b w:val="0"/>
                <w:sz w:val="19"/>
              </w:rPr>
              <w:t>ある年度に大きく落ちてその後戻らない</w:t>
            </w:r>
          </w:p>
        </w:tc>
        <w:tc>
          <w:tcPr>
            <w:tcW w:type="dxa" w:w="4082"/>
            <w:vAlign w:val="center"/>
          </w:tcPr>
          <w:p>
            <w:pPr>
              <w:spacing w:after="0"/>
            </w:pPr>
            <w:r>
              <w:rPr>
                <w:rFonts w:ascii="游ゴシック" w:hAnsi="游ゴシック" w:eastAsia="游ゴシック"/>
                <w:b w:val="0"/>
                <w:sz w:val="19"/>
              </w:rPr>
              <w:t>事業所の休廃止・定員の縮小の有無を確かめる</w:t>
            </w:r>
          </w:p>
        </w:tc>
      </w:tr>
      <w:tr>
        <w:trPr>
          <w:cantSplit/>
        </w:trPr>
        <w:tc>
          <w:tcPr>
            <w:tcW w:type="dxa" w:w="1928"/>
            <w:shd w:val="clear" w:color="auto" w:fill="F2F5FA"/>
            <w:vAlign w:val="center"/>
          </w:tcPr>
          <w:p>
            <w:pPr>
              <w:spacing w:after="0"/>
            </w:pPr>
            <w:r>
              <w:rPr>
                <w:rFonts w:ascii="游ゴシック" w:hAnsi="游ゴシック" w:eastAsia="游ゴシック"/>
                <w:b w:val="0"/>
                <w:sz w:val="19"/>
              </w:rPr>
              <w:t>供給が需要を作っている</w:t>
            </w:r>
          </w:p>
        </w:tc>
        <w:tc>
          <w:tcPr>
            <w:tcW w:type="dxa" w:w="3742"/>
            <w:shd w:val="clear" w:color="auto" w:fill="F2F5FA"/>
            <w:vAlign w:val="center"/>
          </w:tcPr>
          <w:p>
            <w:pPr>
              <w:spacing w:after="0"/>
            </w:pPr>
            <w:r>
              <w:rPr>
                <w:rFonts w:ascii="游ゴシック" w:hAnsi="游ゴシック" w:eastAsia="游ゴシック"/>
                <w:b w:val="0"/>
                <w:sz w:val="19"/>
              </w:rPr>
              <w:t>供給が厚い種別が計画を継続的に上回る</w:t>
            </w:r>
          </w:p>
        </w:tc>
        <w:tc>
          <w:tcPr>
            <w:tcW w:type="dxa" w:w="4082"/>
            <w:shd w:val="clear" w:color="auto" w:fill="F2F5FA"/>
            <w:vAlign w:val="center"/>
          </w:tcPr>
          <w:p>
            <w:pPr>
              <w:spacing w:after="0"/>
            </w:pPr>
            <w:r>
              <w:rPr>
                <w:rFonts w:ascii="游ゴシック" w:hAnsi="游ゴシック" w:eastAsia="游ゴシック"/>
                <w:b w:val="0"/>
                <w:sz w:val="19"/>
              </w:rPr>
              <w:t>供給側の指標（事業所数・従事者数）と併せて見る</w:t>
            </w:r>
          </w:p>
        </w:tc>
      </w:tr>
      <w:tr>
        <w:trPr>
          <w:cantSplit/>
        </w:trPr>
        <w:tc>
          <w:tcPr>
            <w:tcW w:type="dxa" w:w="1928"/>
            <w:vAlign w:val="center"/>
          </w:tcPr>
          <w:p>
            <w:pPr>
              <w:spacing w:after="0"/>
            </w:pPr>
            <w:r>
              <w:rPr>
                <w:rFonts w:ascii="游ゴシック" w:hAnsi="游ゴシック" w:eastAsia="游ゴシック"/>
                <w:b w:val="0"/>
                <w:sz w:val="19"/>
              </w:rPr>
              <w:t>制度の変更</w:t>
            </w:r>
          </w:p>
        </w:tc>
        <w:tc>
          <w:tcPr>
            <w:tcW w:type="dxa" w:w="3742"/>
            <w:vAlign w:val="center"/>
          </w:tcPr>
          <w:p>
            <w:pPr>
              <w:spacing w:after="0"/>
            </w:pPr>
            <w:r>
              <w:rPr>
                <w:rFonts w:ascii="游ゴシック" w:hAnsi="游ゴシック" w:eastAsia="游ゴシック"/>
                <w:b w:val="0"/>
                <w:sz w:val="19"/>
              </w:rPr>
              <w:t>計上の区分が変わった年度で不連続になる</w:t>
            </w:r>
          </w:p>
        </w:tc>
        <w:tc>
          <w:tcPr>
            <w:tcW w:type="dxa" w:w="4082"/>
            <w:vAlign w:val="center"/>
          </w:tcPr>
          <w:p>
            <w:pPr>
              <w:spacing w:after="0"/>
            </w:pPr>
            <w:r>
              <w:rPr>
                <w:rFonts w:ascii="游ゴシック" w:hAnsi="游ゴシック" w:eastAsia="游ゴシック"/>
                <w:b w:val="0"/>
                <w:sz w:val="19"/>
              </w:rPr>
              <w:t>変更後の年度を基準年度とする</w:t>
            </w:r>
          </w:p>
        </w:tc>
      </w:tr>
      <w:tr>
        <w:trPr>
          <w:cantSplit/>
        </w:trPr>
        <w:tc>
          <w:tcPr>
            <w:tcW w:type="dxa" w:w="1928"/>
            <w:shd w:val="clear" w:color="auto" w:fill="F2F5FA"/>
            <w:vAlign w:val="center"/>
          </w:tcPr>
          <w:p>
            <w:pPr>
              <w:spacing w:after="0"/>
            </w:pPr>
            <w:r>
              <w:rPr>
                <w:rFonts w:ascii="游ゴシック" w:hAnsi="游ゴシック" w:eastAsia="游ゴシック"/>
                <w:b w:val="0"/>
                <w:sz w:val="19"/>
              </w:rPr>
              <w:t>件数が少ない</w:t>
            </w:r>
          </w:p>
        </w:tc>
        <w:tc>
          <w:tcPr>
            <w:tcW w:type="dxa" w:w="3742"/>
            <w:shd w:val="clear" w:color="auto" w:fill="F2F5FA"/>
            <w:vAlign w:val="center"/>
          </w:tcPr>
          <w:p>
            <w:pPr>
              <w:spacing w:after="0"/>
            </w:pPr>
            <w:r>
              <w:rPr>
                <w:rFonts w:ascii="游ゴシック" w:hAnsi="游ゴシック" w:eastAsia="游ゴシック"/>
                <w:b w:val="0"/>
                <w:sz w:val="19"/>
              </w:rPr>
              <w:t>年による振れが大きく平均が定まらない</w:t>
            </w:r>
          </w:p>
        </w:tc>
        <w:tc>
          <w:tcPr>
            <w:tcW w:type="dxa" w:w="4082"/>
            <w:shd w:val="clear" w:color="auto" w:fill="F2F5FA"/>
            <w:vAlign w:val="center"/>
          </w:tcPr>
          <w:p>
            <w:pPr>
              <w:spacing w:after="0"/>
            </w:pPr>
            <w:r>
              <w:rPr>
                <w:rFonts w:ascii="游ゴシック" w:hAnsi="游ゴシック" w:eastAsia="游ゴシック"/>
                <w:b w:val="0"/>
                <w:sz w:val="19"/>
              </w:rPr>
              <w:t>趨勢を用いず基準年度の水準を据え置く</w:t>
            </w:r>
          </w:p>
        </w:tc>
      </w:tr>
    </w:tbl>
    <w:p>
      <w:pPr>
        <w:keepNext/>
        <w:spacing w:before="320" w:after="120"/>
      </w:pPr>
      <w:r>
        <w:rPr>
          <w:rFonts w:ascii="游ゴシック" w:hAnsi="游ゴシック" w:eastAsia="游ゴシック"/>
          <w:b/>
          <w:color w:val="1F3864"/>
          <w:sz w:val="26"/>
        </w:rPr>
        <w:t>第6章　季節性の扱い</w:t>
      </w:r>
    </w:p>
    <w:p>
      <w:pPr>
        <w:keepNext/>
        <w:spacing w:before="180" w:after="60"/>
      </w:pPr>
      <w:r>
        <w:rPr>
          <w:rFonts w:ascii="游ゴシック" w:hAnsi="游ゴシック" w:eastAsia="游ゴシック"/>
          <w:b/>
          <w:sz w:val="22"/>
        </w:rPr>
        <w:t>1　完結年度を基準年度とすれば季節補正は要らない</w:t>
      </w:r>
    </w:p>
    <w:p>
      <w:r>
        <w:rPr>
          <w:rFonts w:ascii="游ゴシック" w:hAnsi="游ゴシック" w:eastAsia="游ゴシック"/>
          <w:b w:val="0"/>
          <w:sz w:val="21"/>
        </w:rPr>
        <w:t>基準年度が完結していれば、各月が1回ずつ含まれるため季節指数の和は月数と等しくなります。年度換算係数は1となり、季節補正は恒等的に消えます。季節補正が問題になるのは、年度途中の年度を基準年度に用いる場合だけです。</w:t>
      </w:r>
    </w:p>
    <w:p>
      <w:r>
        <w:rPr>
          <w:rFonts w:ascii="游ゴシック" w:hAnsi="游ゴシック" w:eastAsia="游ゴシック"/>
          <w:b w:val="0"/>
          <w:sz w:val="21"/>
        </w:rPr>
        <w:t>したがって季節性の検討は、基準年度の決め方（第2章）の後段の問題です。完結年度を基準年度とする限り、季節補正に労力を割く必要はありません。</w:t>
      </w:r>
    </w:p>
    <w:p>
      <w:pPr>
        <w:keepNext/>
        <w:spacing w:before="180" w:after="60"/>
      </w:pPr>
      <w:r>
        <w:rPr>
          <w:rFonts w:ascii="游ゴシック" w:hAnsi="游ゴシック" w:eastAsia="游ゴシック"/>
          <w:b/>
          <w:sz w:val="22"/>
        </w:rPr>
        <w:t>2　季節性を測る場合の手順</w:t>
      </w:r>
    </w:p>
    <w:p>
      <w:r>
        <w:rPr>
          <w:rFonts w:ascii="游ゴシック" w:hAnsi="游ゴシック" w:eastAsia="游ゴシック"/>
          <w:b w:val="0"/>
          <w:sz w:val="21"/>
        </w:rPr>
        <w:t>年度途中の年度を用いざるを得ない場合や、季節差そのものを施策の根拠に用いる場合は、次の手順で測ります。</w:t>
      </w:r>
    </w:p>
    <w:p>
      <w:pPr>
        <w:ind w:left="340" w:hanging="340"/>
      </w:pPr>
      <w:r>
        <w:rPr>
          <w:rFonts w:ascii="游ゴシック" w:hAnsi="游ゴシック" w:eastAsia="游ゴシック"/>
          <w:b w:val="0"/>
          <w:sz w:val="21"/>
        </w:rPr>
        <w:t>・月次の系列を集める。給付費の月次が公表されていないことが多く、受給者数の月次で代用することになる。</w:t>
      </w:r>
    </w:p>
    <w:p>
      <w:pPr>
        <w:ind w:left="340" w:hanging="340"/>
      </w:pPr>
      <w:r>
        <w:rPr>
          <w:rFonts w:ascii="游ゴシック" w:hAnsi="游ゴシック" w:eastAsia="游ゴシック"/>
          <w:b w:val="0"/>
          <w:sz w:val="21"/>
        </w:rPr>
        <w:t>・対数値から線形トレンドを除く。トレンドと季節を分離しないと、伸びを季節と読み違える。</w:t>
      </w:r>
    </w:p>
    <w:p>
      <w:pPr>
        <w:ind w:left="340" w:hanging="340"/>
      </w:pPr>
      <w:r>
        <w:rPr>
          <w:rFonts w:ascii="游ゴシック" w:hAnsi="游ゴシック" w:eastAsia="游ゴシック"/>
          <w:b w:val="0"/>
          <w:sz w:val="21"/>
        </w:rPr>
        <w:t>・暦月ごとの平均ではなく、数か月ずつ束ねた対比（冬季と夏季など）で検定する。24か月では各暦月が2回しか現れず、月別の指数は不規則変動と分離できない。</w:t>
      </w:r>
    </w:p>
    <w:p>
      <w:pPr>
        <w:ind w:left="340" w:hanging="340"/>
      </w:pPr>
      <w:r>
        <w:rPr>
          <w:rFonts w:ascii="游ゴシック" w:hAnsi="游ゴシック" w:eastAsia="游ゴシック"/>
          <w:b w:val="0"/>
          <w:sz w:val="21"/>
        </w:rPr>
        <w:t>・年度別にも同じ対比を求め、向きが再現するかを確かめる。再現しないものは測定できないとする。</w:t>
      </w:r>
    </w:p>
    <w:p>
      <w:pPr>
        <w:ind w:left="340" w:hanging="340"/>
      </w:pPr>
      <w:r>
        <w:rPr>
          <w:rFonts w:ascii="游ゴシック" w:hAnsi="游ゴシック" w:eastAsia="游ゴシック"/>
          <w:b w:val="0"/>
          <w:sz w:val="21"/>
        </w:rPr>
        <w:t>・区分ごとに向きが逆であれば、合計では相殺される。総量だけを見て季節性がないと判断しない。</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施設は冬季が＋2.80％、在宅は▲2.48％で、2年とも同じ向きに再現しました。居住系と合計は再現せず、測定できないとしました。給付費で加重すると相殺され、年度換算係数は一律の3.0000に対し2.9935で、月額への効きは▲14円にとどまりました。</w:t>
      </w:r>
    </w:p>
    <w:p>
      <w:pPr>
        <w:ind w:left="227"/>
      </w:pPr>
      <w:r>
        <w:rPr>
          <w:rFonts w:ascii="游ゴシック" w:hAnsi="游ゴシック" w:eastAsia="游ゴシック"/>
          <w:b w:val="0"/>
          <w:sz w:val="18"/>
        </w:rPr>
        <w:t>※ 季節補正の効きが小さくても、年度途中の年度を「実績」と呼べない根拠にはなります。対象月が季節の山又は谷に当たる場合、月数が足りないだけでなく構成が年度の姿と異なるためです。</w:t>
      </w:r>
    </w:p>
    <w:p>
      <w:pPr>
        <w:keepNext/>
        <w:spacing w:before="320" w:after="120"/>
      </w:pPr>
      <w:r>
        <w:rPr>
          <w:rFonts w:ascii="游ゴシック" w:hAnsi="游ゴシック" w:eastAsia="游ゴシック"/>
          <w:b/>
          <w:color w:val="1F3864"/>
          <w:sz w:val="26"/>
        </w:rPr>
        <w:t>第7章　施策反映の設計と歯止め</w:t>
      </w:r>
    </w:p>
    <w:p>
      <w:pPr>
        <w:keepNext/>
        <w:spacing w:before="180" w:after="60"/>
      </w:pPr>
      <w:r>
        <w:rPr>
          <w:rFonts w:ascii="游ゴシック" w:hAnsi="游ゴシック" w:eastAsia="游ゴシック"/>
          <w:b/>
          <w:sz w:val="22"/>
        </w:rPr>
        <w:t>1　算定式のどこに施策が入るかを先に確かめる</w:t>
      </w:r>
    </w:p>
    <w:p>
      <w:r>
        <w:rPr>
          <w:rFonts w:ascii="游ゴシック" w:hAnsi="游ゴシック" w:eastAsia="游ゴシック"/>
          <w:b w:val="0"/>
          <w:sz w:val="21"/>
        </w:rPr>
        <w:t>施策反映を検討する前に、用いている算定式のどこに変数があるかを確かめます。変数として存在しない要素は、式を拡張しない限り反映できません。</w:t>
      </w:r>
    </w:p>
    <w:p>
      <w:pPr>
        <w:keepNext/>
        <w:spacing w:before="160" w:after="40"/>
      </w:pPr>
      <w:r>
        <w:rPr>
          <w:rFonts w:ascii="游ゴシック" w:hAnsi="游ゴシック" w:eastAsia="游ゴシック"/>
          <w:b/>
          <w:sz w:val="20"/>
        </w:rPr>
        <w:t>表8　見込量の要素と施策の入る余地</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要素</w:t>
            </w:r>
          </w:p>
        </w:tc>
        <w:tc>
          <w:tcPr>
            <w:tcW w:type="dxa" w:w="3061"/>
            <w:shd w:val="clear" w:color="auto" w:fill="1F3864"/>
            <w:vAlign w:val="center"/>
          </w:tcPr>
          <w:p>
            <w:pPr>
              <w:spacing w:after="0"/>
              <w:jc w:val="center"/>
            </w:pPr>
            <w:r>
              <w:rPr>
                <w:rFonts w:ascii="游ゴシック" w:hAnsi="游ゴシック" w:eastAsia="游ゴシック"/>
                <w:b/>
                <w:color w:val="FFFFFF"/>
                <w:sz w:val="19"/>
              </w:rPr>
              <w:t>一律の伸びの式での扱い</w:t>
            </w:r>
          </w:p>
        </w:tc>
        <w:tc>
          <w:tcPr>
            <w:tcW w:type="dxa" w:w="4422"/>
            <w:shd w:val="clear" w:color="auto" w:fill="1F3864"/>
            <w:vAlign w:val="center"/>
          </w:tcPr>
          <w:p>
            <w:pPr>
              <w:spacing w:after="0"/>
              <w:jc w:val="center"/>
            </w:pPr>
            <w:r>
              <w:rPr>
                <w:rFonts w:ascii="游ゴシック" w:hAnsi="游ゴシック" w:eastAsia="游ゴシック"/>
                <w:b/>
                <w:color w:val="FFFFFF"/>
                <w:sz w:val="19"/>
              </w:rPr>
              <w:t>施策を反映するために要すること</w:t>
            </w:r>
          </w:p>
        </w:tc>
      </w:tr>
      <w:tr>
        <w:trPr>
          <w:cantSplit/>
        </w:trPr>
        <w:tc>
          <w:tcPr>
            <w:tcW w:type="dxa" w:w="2268"/>
            <w:vAlign w:val="center"/>
          </w:tcPr>
          <w:p>
            <w:pPr>
              <w:spacing w:after="0"/>
            </w:pPr>
            <w:r>
              <w:rPr>
                <w:rFonts w:ascii="游ゴシック" w:hAnsi="游ゴシック" w:eastAsia="游ゴシック"/>
                <w:b w:val="0"/>
                <w:sz w:val="19"/>
              </w:rPr>
              <w:t>認定者数</w:t>
            </w:r>
          </w:p>
        </w:tc>
        <w:tc>
          <w:tcPr>
            <w:tcW w:type="dxa" w:w="3061"/>
            <w:vAlign w:val="center"/>
          </w:tcPr>
          <w:p>
            <w:pPr>
              <w:spacing w:after="0"/>
            </w:pPr>
            <w:r>
              <w:rPr>
                <w:rFonts w:ascii="游ゴシック" w:hAnsi="游ゴシック" w:eastAsia="游ゴシック"/>
                <w:b w:val="0"/>
                <w:sz w:val="19"/>
              </w:rPr>
              <w:t>変数</w:t>
            </w:r>
          </w:p>
        </w:tc>
        <w:tc>
          <w:tcPr>
            <w:tcW w:type="dxa" w:w="4422"/>
            <w:vAlign w:val="center"/>
          </w:tcPr>
          <w:p>
            <w:pPr>
              <w:spacing w:after="0"/>
            </w:pPr>
            <w:r>
              <w:rPr>
                <w:rFonts w:ascii="游ゴシック" w:hAnsi="游ゴシック" w:eastAsia="游ゴシック"/>
                <w:b w:val="0"/>
                <w:sz w:val="19"/>
              </w:rPr>
              <w:t>―</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要介護度別の構成</w:t>
            </w:r>
          </w:p>
        </w:tc>
        <w:tc>
          <w:tcPr>
            <w:tcW w:type="dxa" w:w="3061"/>
            <w:shd w:val="clear" w:color="auto" w:fill="F2F5FA"/>
            <w:vAlign w:val="center"/>
          </w:tcPr>
          <w:p>
            <w:pPr>
              <w:spacing w:after="0"/>
            </w:pPr>
            <w:r>
              <w:rPr>
                <w:rFonts w:ascii="游ゴシック" w:hAnsi="游ゴシック" w:eastAsia="游ゴシック"/>
                <w:b w:val="0"/>
                <w:sz w:val="19"/>
              </w:rPr>
              <w:t>基準年度で固定</w:t>
            </w:r>
          </w:p>
        </w:tc>
        <w:tc>
          <w:tcPr>
            <w:tcW w:type="dxa" w:w="4422"/>
            <w:shd w:val="clear" w:color="auto" w:fill="F2F5FA"/>
            <w:vAlign w:val="center"/>
          </w:tcPr>
          <w:p>
            <w:pPr>
              <w:spacing w:after="0"/>
            </w:pPr>
            <w:r>
              <w:rPr>
                <w:rFonts w:ascii="游ゴシック" w:hAnsi="游ゴシック" w:eastAsia="游ゴシック"/>
                <w:b w:val="0"/>
                <w:sz w:val="19"/>
              </w:rPr>
              <w:t>要介護度別に分解する</w:t>
            </w:r>
          </w:p>
        </w:tc>
      </w:tr>
      <w:tr>
        <w:trPr>
          <w:cantSplit/>
        </w:trPr>
        <w:tc>
          <w:tcPr>
            <w:tcW w:type="dxa" w:w="2268"/>
            <w:vAlign w:val="center"/>
          </w:tcPr>
          <w:p>
            <w:pPr>
              <w:spacing w:after="0"/>
            </w:pPr>
            <w:r>
              <w:rPr>
                <w:rFonts w:ascii="游ゴシック" w:hAnsi="游ゴシック" w:eastAsia="游ゴシック"/>
                <w:b w:val="0"/>
                <w:sz w:val="19"/>
              </w:rPr>
              <w:t>サービス別の利用率</w:t>
            </w:r>
          </w:p>
        </w:tc>
        <w:tc>
          <w:tcPr>
            <w:tcW w:type="dxa" w:w="3061"/>
            <w:vAlign w:val="center"/>
          </w:tcPr>
          <w:p>
            <w:pPr>
              <w:spacing w:after="0"/>
            </w:pPr>
            <w:r>
              <w:rPr>
                <w:rFonts w:ascii="游ゴシック" w:hAnsi="游ゴシック" w:eastAsia="游ゴシック"/>
                <w:b w:val="0"/>
                <w:sz w:val="19"/>
              </w:rPr>
              <w:t>基準年度で固定</w:t>
            </w:r>
          </w:p>
        </w:tc>
        <w:tc>
          <w:tcPr>
            <w:tcW w:type="dxa" w:w="4422"/>
            <w:vAlign w:val="center"/>
          </w:tcPr>
          <w:p>
            <w:pPr>
              <w:spacing w:after="0"/>
            </w:pPr>
            <w:r>
              <w:rPr>
                <w:rFonts w:ascii="游ゴシック" w:hAnsi="游ゴシック" w:eastAsia="游ゴシック"/>
                <w:b w:val="0"/>
                <w:sz w:val="19"/>
              </w:rPr>
              <w:t>サービス別・要介護度別の利用率を持つ</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1人あたり利用日数・回数</w:t>
            </w:r>
          </w:p>
        </w:tc>
        <w:tc>
          <w:tcPr>
            <w:tcW w:type="dxa" w:w="3061"/>
            <w:shd w:val="clear" w:color="auto" w:fill="F2F5FA"/>
            <w:vAlign w:val="center"/>
          </w:tcPr>
          <w:p>
            <w:pPr>
              <w:spacing w:after="0"/>
            </w:pPr>
            <w:r>
              <w:rPr>
                <w:rFonts w:ascii="游ゴシック" w:hAnsi="游ゴシック" w:eastAsia="游ゴシック"/>
                <w:b w:val="0"/>
                <w:sz w:val="19"/>
              </w:rPr>
              <w:t>基準年度で固定</w:t>
            </w:r>
          </w:p>
        </w:tc>
        <w:tc>
          <w:tcPr>
            <w:tcW w:type="dxa" w:w="4422"/>
            <w:shd w:val="clear" w:color="auto" w:fill="F2F5FA"/>
            <w:vAlign w:val="center"/>
          </w:tcPr>
          <w:p>
            <w:pPr>
              <w:spacing w:after="0"/>
            </w:pPr>
            <w:r>
              <w:rPr>
                <w:rFonts w:ascii="游ゴシック" w:hAnsi="游ゴシック" w:eastAsia="游ゴシック"/>
                <w:b w:val="0"/>
                <w:sz w:val="19"/>
              </w:rPr>
              <w:t>同上</w:t>
            </w:r>
          </w:p>
        </w:tc>
      </w:tr>
      <w:tr>
        <w:trPr>
          <w:cantSplit/>
        </w:trPr>
        <w:tc>
          <w:tcPr>
            <w:tcW w:type="dxa" w:w="2268"/>
            <w:vAlign w:val="center"/>
          </w:tcPr>
          <w:p>
            <w:pPr>
              <w:spacing w:after="0"/>
            </w:pPr>
            <w:r>
              <w:rPr>
                <w:rFonts w:ascii="游ゴシック" w:hAnsi="游ゴシック" w:eastAsia="游ゴシック"/>
                <w:b w:val="0"/>
                <w:sz w:val="19"/>
              </w:rPr>
              <w:t>単価</w:t>
            </w:r>
          </w:p>
        </w:tc>
        <w:tc>
          <w:tcPr>
            <w:tcW w:type="dxa" w:w="3061"/>
            <w:vAlign w:val="center"/>
          </w:tcPr>
          <w:p>
            <w:pPr>
              <w:spacing w:after="0"/>
            </w:pPr>
            <w:r>
              <w:rPr>
                <w:rFonts w:ascii="游ゴシック" w:hAnsi="游ゴシック" w:eastAsia="游ゴシック"/>
                <w:b w:val="0"/>
                <w:sz w:val="19"/>
              </w:rPr>
              <w:t>基準年度で固定</w:t>
            </w:r>
          </w:p>
        </w:tc>
        <w:tc>
          <w:tcPr>
            <w:tcW w:type="dxa" w:w="4422"/>
            <w:vAlign w:val="center"/>
          </w:tcPr>
          <w:p>
            <w:pPr>
              <w:spacing w:after="0"/>
            </w:pPr>
            <w:r>
              <w:rPr>
                <w:rFonts w:ascii="游ゴシック" w:hAnsi="游ゴシック" w:eastAsia="游ゴシック"/>
                <w:b w:val="0"/>
                <w:sz w:val="19"/>
              </w:rPr>
              <w:t>報酬改定率を別に置く</w:t>
            </w:r>
          </w:p>
        </w:tc>
      </w:tr>
    </w:tbl>
    <w:p>
      <w:pPr>
        <w:keepNext/>
        <w:spacing w:before="180" w:after="60"/>
      </w:pPr>
      <w:r>
        <w:rPr>
          <w:rFonts w:ascii="游ゴシック" w:hAnsi="游ゴシック" w:eastAsia="游ゴシック"/>
          <w:b/>
          <w:sz w:val="22"/>
        </w:rPr>
        <w:t>2　指標と見込量の連関を1つずつ確かめる</w:t>
      </w:r>
    </w:p>
    <w:p>
      <w:r>
        <w:rPr>
          <w:rFonts w:ascii="游ゴシック" w:hAnsi="游ゴシック" w:eastAsia="游ゴシック"/>
          <w:b w:val="0"/>
          <w:sz w:val="21"/>
        </w:rPr>
        <w:t>成果指標のうち、見込量に量的に効くものは限られます。次の3つを満たすものだけが反映の対象になります。</w:t>
      </w:r>
    </w:p>
    <w:p>
      <w:pPr>
        <w:ind w:left="340" w:hanging="340"/>
      </w:pPr>
      <w:r>
        <w:rPr>
          <w:rFonts w:ascii="游ゴシック" w:hAnsi="游ゴシック" w:eastAsia="游ゴシック"/>
          <w:b w:val="0"/>
          <w:sz w:val="21"/>
        </w:rPr>
        <w:t>・見込量の要素のいずれかに、式を通じて効くこと。</w:t>
      </w:r>
    </w:p>
    <w:p>
      <w:pPr>
        <w:ind w:left="340" w:hanging="340"/>
      </w:pPr>
      <w:r>
        <w:rPr>
          <w:rFonts w:ascii="游ゴシック" w:hAnsi="游ゴシック" w:eastAsia="游ゴシック"/>
          <w:b w:val="0"/>
          <w:sz w:val="21"/>
        </w:rPr>
        <w:t>・基準値が算定されていること。</w:t>
      </w:r>
    </w:p>
    <w:p>
      <w:pPr>
        <w:ind w:left="340" w:hanging="340"/>
      </w:pPr>
      <w:r>
        <w:rPr>
          <w:rFonts w:ascii="游ゴシック" w:hAnsi="游ゴシック" w:eastAsia="游ゴシック"/>
          <w:b w:val="0"/>
          <w:sz w:val="21"/>
        </w:rPr>
        <w:t>・目標値が確定していること。</w:t>
      </w:r>
    </w:p>
    <w:p>
      <w:pPr>
        <w:ind w:left="227"/>
      </w:pPr>
      <w:r>
        <w:rPr>
          <w:rFonts w:ascii="游ゴシック" w:hAnsi="游ゴシック" w:eastAsia="游ゴシック"/>
          <w:b w:val="0"/>
          <w:sz w:val="18"/>
        </w:rPr>
        <w:t>※ 目標が「水準の維持」であるものは、見込量を動かしません。目標が未確定のものも反映できません。この2つを外すと、反映できる指標はごく少数になるのが通例です。</w:t>
      </w:r>
    </w:p>
    <w:p>
      <w:pPr>
        <w:keepNext/>
        <w:spacing w:before="180" w:after="60"/>
      </w:pPr>
      <w:r>
        <w:rPr>
          <w:rFonts w:ascii="游ゴシック" w:hAnsi="游ゴシック" w:eastAsia="游ゴシック"/>
          <w:b/>
          <w:sz w:val="22"/>
        </w:rPr>
        <w:t>3　歯止め</w:t>
      </w:r>
    </w:p>
    <w:p>
      <w:r>
        <w:rPr>
          <w:rFonts w:ascii="游ゴシック" w:hAnsi="游ゴシック" w:eastAsia="游ゴシック"/>
          <w:b w:val="0"/>
          <w:sz w:val="21"/>
        </w:rPr>
        <w:t>施策の達成を前提に見込量を下げると、給付費と保険料を過小に見積もることになります。実績が見込みを上回れば保険料が不足し、財政安定化基金からの借入れに至ります。次の歯止めを設けることを勧めます。</w:t>
      </w:r>
    </w:p>
    <w:p>
      <w:pPr>
        <w:keepNext/>
        <w:spacing w:before="160" w:after="40"/>
      </w:pPr>
      <w:r>
        <w:rPr>
          <w:rFonts w:ascii="游ゴシック" w:hAnsi="游ゴシック" w:eastAsia="游ゴシック"/>
          <w:b/>
          <w:sz w:val="20"/>
        </w:rPr>
        <w:t>表9　施策反映の歯止め</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9"/>
              </w:rPr>
              <w:t>歯止め</w:t>
            </w:r>
          </w:p>
        </w:tc>
        <w:tc>
          <w:tcPr>
            <w:tcW w:type="dxa" w:w="3969"/>
            <w:shd w:val="clear" w:color="auto" w:fill="1F3864"/>
            <w:vAlign w:val="center"/>
          </w:tcPr>
          <w:p>
            <w:pPr>
              <w:spacing w:after="0"/>
              <w:jc w:val="center"/>
            </w:pPr>
            <w:r>
              <w:rPr>
                <w:rFonts w:ascii="游ゴシック" w:hAnsi="游ゴシック" w:eastAsia="游ゴシック"/>
                <w:b/>
                <w:color w:val="FFFFFF"/>
                <w:sz w:val="19"/>
              </w:rPr>
              <w:t>内容</w:t>
            </w:r>
          </w:p>
        </w:tc>
        <w:tc>
          <w:tcPr>
            <w:tcW w:type="dxa" w:w="3742"/>
            <w:shd w:val="clear" w:color="auto" w:fill="1F3864"/>
            <w:vAlign w:val="center"/>
          </w:tcPr>
          <w:p>
            <w:pPr>
              <w:spacing w:after="0"/>
              <w:jc w:val="center"/>
            </w:pPr>
            <w:r>
              <w:rPr>
                <w:rFonts w:ascii="游ゴシック" w:hAnsi="游ゴシック" w:eastAsia="游ゴシック"/>
                <w:b/>
                <w:color w:val="FFFFFF"/>
                <w:sz w:val="19"/>
              </w:rPr>
              <w:t>理由</w:t>
            </w:r>
          </w:p>
        </w:tc>
      </w:tr>
      <w:tr>
        <w:trPr>
          <w:cantSplit/>
        </w:trPr>
        <w:tc>
          <w:tcPr>
            <w:tcW w:type="dxa" w:w="2041"/>
            <w:vAlign w:val="center"/>
          </w:tcPr>
          <w:p>
            <w:pPr>
              <w:spacing w:after="0"/>
            </w:pPr>
            <w:r>
              <w:rPr>
                <w:rFonts w:ascii="游ゴシック" w:hAnsi="游ゴシック" w:eastAsia="游ゴシック"/>
                <w:b w:val="0"/>
                <w:sz w:val="19"/>
              </w:rPr>
              <w:t>自然体推計を基本とする</w:t>
            </w:r>
          </w:p>
        </w:tc>
        <w:tc>
          <w:tcPr>
            <w:tcW w:type="dxa" w:w="3969"/>
            <w:vAlign w:val="center"/>
          </w:tcPr>
          <w:p>
            <w:pPr>
              <w:spacing w:after="0"/>
            </w:pPr>
            <w:r>
              <w:rPr>
                <w:rFonts w:ascii="游ゴシック" w:hAnsi="游ゴシック" w:eastAsia="游ゴシック"/>
                <w:b w:val="0"/>
                <w:sz w:val="19"/>
              </w:rPr>
              <w:t>施策反映は自然体推計からの調整として行い、自然体推計そのものを置き換えない</w:t>
            </w:r>
          </w:p>
        </w:tc>
        <w:tc>
          <w:tcPr>
            <w:tcW w:type="dxa" w:w="3742"/>
            <w:vAlign w:val="center"/>
          </w:tcPr>
          <w:p>
            <w:pPr>
              <w:spacing w:after="0"/>
            </w:pPr>
            <w:r>
              <w:rPr>
                <w:rFonts w:ascii="游ゴシック" w:hAnsi="游ゴシック" w:eastAsia="游ゴシック"/>
                <w:b w:val="0"/>
                <w:sz w:val="19"/>
              </w:rPr>
              <w:t>自然体推計は実績に基づくが、施策反映は目標に基づく</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根拠のある振替えに限る</w:t>
            </w:r>
          </w:p>
        </w:tc>
        <w:tc>
          <w:tcPr>
            <w:tcW w:type="dxa" w:w="3969"/>
            <w:shd w:val="clear" w:color="auto" w:fill="F2F5FA"/>
            <w:vAlign w:val="center"/>
          </w:tcPr>
          <w:p>
            <w:pPr>
              <w:spacing w:after="0"/>
            </w:pPr>
            <w:r>
              <w:rPr>
                <w:rFonts w:ascii="游ゴシック" w:hAnsi="游ゴシック" w:eastAsia="游ゴシック"/>
                <w:b w:val="0"/>
                <w:sz w:val="19"/>
              </w:rPr>
              <w:t>サービス間の振替えは、単価差と人数の両方に根拠がある場合に限って置く</w:t>
            </w:r>
          </w:p>
        </w:tc>
        <w:tc>
          <w:tcPr>
            <w:tcW w:type="dxa" w:w="3742"/>
            <w:shd w:val="clear" w:color="auto" w:fill="F2F5FA"/>
            <w:vAlign w:val="center"/>
          </w:tcPr>
          <w:p>
            <w:pPr>
              <w:spacing w:after="0"/>
            </w:pPr>
            <w:r>
              <w:rPr>
                <w:rFonts w:ascii="游ゴシック" w:hAnsi="游ゴシック" w:eastAsia="游ゴシック"/>
                <w:b w:val="0"/>
                <w:sz w:val="19"/>
              </w:rPr>
              <w:t>純減は目標の達成を前提とする</w:t>
            </w:r>
          </w:p>
        </w:tc>
      </w:tr>
      <w:tr>
        <w:trPr>
          <w:cantSplit/>
        </w:trPr>
        <w:tc>
          <w:tcPr>
            <w:tcW w:type="dxa" w:w="2041"/>
            <w:vAlign w:val="center"/>
          </w:tcPr>
          <w:p>
            <w:pPr>
              <w:spacing w:after="0"/>
            </w:pPr>
            <w:r>
              <w:rPr>
                <w:rFonts w:ascii="游ゴシック" w:hAnsi="游ゴシック" w:eastAsia="游ゴシック"/>
                <w:b w:val="0"/>
                <w:sz w:val="19"/>
              </w:rPr>
              <w:t>純減を認めない</w:t>
            </w:r>
          </w:p>
        </w:tc>
        <w:tc>
          <w:tcPr>
            <w:tcW w:type="dxa" w:w="3969"/>
            <w:vAlign w:val="center"/>
          </w:tcPr>
          <w:p>
            <w:pPr>
              <w:spacing w:after="0"/>
            </w:pPr>
            <w:r>
              <w:rPr>
                <w:rFonts w:ascii="游ゴシック" w:hAnsi="游ゴシック" w:eastAsia="游ゴシック"/>
                <w:b w:val="0"/>
                <w:sz w:val="19"/>
              </w:rPr>
              <w:t>施策の効果として給付費の総額を下げる置き方は行わない</w:t>
            </w:r>
          </w:p>
        </w:tc>
        <w:tc>
          <w:tcPr>
            <w:tcW w:type="dxa" w:w="3742"/>
            <w:vAlign w:val="center"/>
          </w:tcPr>
          <w:p>
            <w:pPr>
              <w:spacing w:after="0"/>
            </w:pPr>
            <w:r>
              <w:rPr>
                <w:rFonts w:ascii="游ゴシック" w:hAnsi="游ゴシック" w:eastAsia="游ゴシック"/>
                <w:b w:val="0"/>
                <w:sz w:val="19"/>
              </w:rPr>
              <w:t>計画が実績を上回ってきた実績があるならなおさら</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感度分析で幅を示す</w:t>
            </w:r>
          </w:p>
        </w:tc>
        <w:tc>
          <w:tcPr>
            <w:tcW w:type="dxa" w:w="3969"/>
            <w:shd w:val="clear" w:color="auto" w:fill="F2F5FA"/>
            <w:vAlign w:val="center"/>
          </w:tcPr>
          <w:p>
            <w:pPr>
              <w:spacing w:after="0"/>
            </w:pPr>
            <w:r>
              <w:rPr>
                <w:rFonts w:ascii="游ゴシック" w:hAnsi="游ゴシック" w:eastAsia="游ゴシック"/>
                <w:b w:val="0"/>
                <w:sz w:val="19"/>
              </w:rPr>
              <w:t>施策反映を行う場合は、行わない場合と併せて幅で示す</w:t>
            </w:r>
          </w:p>
        </w:tc>
        <w:tc>
          <w:tcPr>
            <w:tcW w:type="dxa" w:w="3742"/>
            <w:shd w:val="clear" w:color="auto" w:fill="F2F5FA"/>
            <w:vAlign w:val="center"/>
          </w:tcPr>
          <w:p>
            <w:pPr>
              <w:spacing w:after="0"/>
            </w:pPr>
            <w:r>
              <w:rPr>
                <w:rFonts w:ascii="游ゴシック" w:hAnsi="游ゴシック" w:eastAsia="游ゴシック"/>
                <w:b w:val="0"/>
                <w:sz w:val="19"/>
              </w:rPr>
              <w:t>採用値を1つに定めると、外れたときの影響が見えない</w:t>
            </w:r>
          </w:p>
        </w:tc>
      </w:tr>
      <w:tr>
        <w:trPr>
          <w:cantSplit/>
        </w:trPr>
        <w:tc>
          <w:tcPr>
            <w:tcW w:type="dxa" w:w="2041"/>
            <w:vAlign w:val="center"/>
          </w:tcPr>
          <w:p>
            <w:pPr>
              <w:spacing w:after="0"/>
            </w:pPr>
            <w:r>
              <w:rPr>
                <w:rFonts w:ascii="游ゴシック" w:hAnsi="游ゴシック" w:eastAsia="游ゴシック"/>
                <w:b w:val="0"/>
                <w:sz w:val="19"/>
              </w:rPr>
              <w:t>事後に検証する</w:t>
            </w:r>
          </w:p>
        </w:tc>
        <w:tc>
          <w:tcPr>
            <w:tcW w:type="dxa" w:w="3969"/>
            <w:vAlign w:val="center"/>
          </w:tcPr>
          <w:p>
            <w:pPr>
              <w:spacing w:after="0"/>
            </w:pPr>
            <w:r>
              <w:rPr>
                <w:rFonts w:ascii="游ゴシック" w:hAnsi="游ゴシック" w:eastAsia="游ゴシック"/>
                <w:b w:val="0"/>
                <w:sz w:val="19"/>
              </w:rPr>
              <w:t>毎年度、給付費の計画乖離率を算定して確認する</w:t>
            </w:r>
          </w:p>
        </w:tc>
        <w:tc>
          <w:tcPr>
            <w:tcW w:type="dxa" w:w="3742"/>
            <w:vAlign w:val="center"/>
          </w:tcPr>
          <w:p>
            <w:pPr>
              <w:spacing w:after="0"/>
            </w:pPr>
            <w:r>
              <w:rPr>
                <w:rFonts w:ascii="游ゴシック" w:hAnsi="游ゴシック" w:eastAsia="游ゴシック"/>
                <w:b w:val="0"/>
                <w:sz w:val="19"/>
              </w:rPr>
              <w:t>進行管理に位置づける</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給付費の計画乖離率は第7期からの8年度すべてで負であり、計画が実績を上回ってきました。この状況で施策の達成を前提にさらに見込量を下げると、保険料が不足する側に誤ります。対計画比の偏りの補正（第5章）を先に行い、施策反映はその上に載せる順序としました。</w:t>
      </w:r>
    </w:p>
    <w:p>
      <w:pPr>
        <w:keepNext/>
        <w:spacing w:before="320" w:after="120"/>
      </w:pPr>
      <w:r>
        <w:rPr>
          <w:rFonts w:ascii="游ゴシック" w:hAnsi="游ゴシック" w:eastAsia="游ゴシック"/>
          <w:b/>
          <w:color w:val="1F3864"/>
          <w:sz w:val="26"/>
        </w:rPr>
        <w:t>第8章　供給実現性と需給差</w:t>
      </w:r>
    </w:p>
    <w:p>
      <w:pPr>
        <w:keepNext/>
        <w:spacing w:before="180" w:after="60"/>
      </w:pPr>
      <w:r>
        <w:rPr>
          <w:rFonts w:ascii="游ゴシック" w:hAnsi="游ゴシック" w:eastAsia="游ゴシック"/>
          <w:b/>
          <w:sz w:val="22"/>
        </w:rPr>
        <w:t>1　需要量と供給可能量を分けて示す</w:t>
      </w:r>
    </w:p>
    <w:p>
      <w:r>
        <w:rPr>
          <w:rFonts w:ascii="游ゴシック" w:hAnsi="游ゴシック" w:eastAsia="游ゴシック"/>
          <w:b w:val="0"/>
          <w:sz w:val="21"/>
        </w:rPr>
        <w:t>見込量を供給の制約で下方修正すると、需要が見えなくなります。需要量と供給可能量を別に示し、その差を需給差として掲げます。</w:t>
      </w:r>
    </w:p>
    <w:p>
      <w:pPr>
        <w:ind w:left="227"/>
      </w:pPr>
      <w:r>
        <w:rPr>
          <w:rFonts w:ascii="游ゴシック" w:hAnsi="游ゴシック" w:eastAsia="游ゴシック"/>
          <w:b w:val="0"/>
          <w:sz w:val="18"/>
        </w:rPr>
        <w:t>※ ただし保険料の算定基礎となる見込量は、実際に給付が生じる量でなければなりません。需要量をそのまま算定基礎とすると保険料を過大に見積もります。</w:t>
      </w:r>
    </w:p>
    <w:p>
      <w:pPr>
        <w:keepNext/>
        <w:spacing w:before="180" w:after="60"/>
      </w:pPr>
      <w:r>
        <w:rPr>
          <w:rFonts w:ascii="游ゴシック" w:hAnsi="游ゴシック" w:eastAsia="游ゴシック"/>
          <w:b/>
          <w:sz w:val="22"/>
        </w:rPr>
        <w:t>2　区域内に事業所がないサービスの扱い</w:t>
      </w:r>
    </w:p>
    <w:p>
      <w:r>
        <w:rPr>
          <w:rFonts w:ascii="游ゴシック" w:hAnsi="游ゴシック" w:eastAsia="游ゴシック"/>
          <w:b w:val="0"/>
          <w:sz w:val="21"/>
        </w:rPr>
        <w:t>区域内に事業所がないサービスでも、被保険者が区域外の事業所を利用すれば保険給付は保険者に計上されます。事業所数が0であることと給付実績が0であることは別です。事業所数だけを見て見込量を0と置くと、既に生じている給付を落とします。</w:t>
      </w:r>
    </w:p>
    <w:p>
      <w:pPr>
        <w:ind w:left="340" w:hanging="340"/>
      </w:pPr>
      <w:r>
        <w:rPr>
          <w:rFonts w:ascii="游ゴシック" w:hAnsi="游ゴシック" w:eastAsia="游ゴシック"/>
          <w:b w:val="0"/>
          <w:sz w:val="21"/>
        </w:rPr>
        <w:t>・事業所数と給付実績を必ず突き合わせる。</w:t>
      </w:r>
    </w:p>
    <w:p>
      <w:pPr>
        <w:ind w:left="340" w:hanging="340"/>
      </w:pPr>
      <w:r>
        <w:rPr>
          <w:rFonts w:ascii="游ゴシック" w:hAnsi="游ゴシック" w:eastAsia="游ゴシック"/>
          <w:b w:val="0"/>
          <w:sz w:val="21"/>
        </w:rPr>
        <w:t>・区域内に事業所がなく給付実績があるサービスは、区域外事業所の利用として見込量に残す。</w:t>
      </w:r>
    </w:p>
    <w:p>
      <w:pPr>
        <w:ind w:left="340" w:hanging="340"/>
      </w:pPr>
      <w:r>
        <w:rPr>
          <w:rFonts w:ascii="游ゴシック" w:hAnsi="游ゴシック" w:eastAsia="游ゴシック"/>
          <w:b w:val="0"/>
          <w:sz w:val="21"/>
        </w:rPr>
        <w:t>・地域密着型サービスは、他市町村の指定事業所の利用に保険者の同意を要するため、同意の有無を確かめる。</w:t>
      </w:r>
    </w:p>
    <w:p>
      <w:pPr>
        <w:keepNext/>
        <w:spacing w:before="180" w:after="60"/>
      </w:pPr>
      <w:r>
        <w:rPr>
          <w:rFonts w:ascii="游ゴシック" w:hAnsi="游ゴシック" w:eastAsia="游ゴシック"/>
          <w:b/>
          <w:sz w:val="22"/>
        </w:rPr>
        <w:t>3　定員との突合</w:t>
      </w:r>
    </w:p>
    <w:p>
      <w:r>
        <w:rPr>
          <w:rFonts w:ascii="游ゴシック" w:hAnsi="游ゴシック" w:eastAsia="游ゴシック"/>
          <w:b w:val="0"/>
          <w:sz w:val="21"/>
        </w:rPr>
        <w:t>施設・居住系のサービスは、見込量が区域内の定員を超えていないかを点検します。超えている場合は、整備の予定を織り込むか、区域外の利用を見込むかを明示します。</w:t>
      </w:r>
    </w:p>
    <w:p>
      <w:pPr>
        <w:ind w:left="340" w:hanging="340"/>
      </w:pPr>
      <w:r>
        <w:rPr>
          <w:rFonts w:ascii="游ゴシック" w:hAnsi="游ゴシック" w:eastAsia="游ゴシック"/>
          <w:b w:val="0"/>
          <w:sz w:val="21"/>
        </w:rPr>
        <w:t>・定員は都道府県の指定事業所一覧・各施設の名簿による。計画作成支援ツールの実績値と取り違えない。</w:t>
      </w:r>
    </w:p>
    <w:p>
      <w:pPr>
        <w:ind w:left="340" w:hanging="340"/>
      </w:pPr>
      <w:r>
        <w:rPr>
          <w:rFonts w:ascii="游ゴシック" w:hAnsi="游ゴシック" w:eastAsia="游ゴシック"/>
          <w:b w:val="0"/>
          <w:sz w:val="21"/>
        </w:rPr>
        <w:t>・入所率が低い場合は、定員が上限として働いていない。定員でクリップしても見込量は変わらない。</w:t>
      </w:r>
    </w:p>
    <w:p>
      <w:pPr>
        <w:keepNext/>
        <w:spacing w:before="320" w:after="120"/>
      </w:pPr>
      <w:r>
        <w:rPr>
          <w:rFonts w:ascii="游ゴシック" w:hAnsi="游ゴシック" w:eastAsia="游ゴシック"/>
          <w:b/>
          <w:color w:val="1F3864"/>
          <w:sz w:val="26"/>
        </w:rPr>
        <w:t>第9章　自己点検の設計</w:t>
      </w:r>
    </w:p>
    <w:p>
      <w:pPr>
        <w:keepNext/>
        <w:spacing w:before="180" w:after="60"/>
      </w:pPr>
      <w:r>
        <w:rPr>
          <w:rFonts w:ascii="游ゴシック" w:hAnsi="游ゴシック" w:eastAsia="游ゴシック"/>
          <w:b/>
          <w:sz w:val="22"/>
        </w:rPr>
        <w:t>1　点検を算定と同時に組み立てる</w:t>
      </w:r>
    </w:p>
    <w:p>
      <w:r>
        <w:rPr>
          <w:rFonts w:ascii="游ゴシック" w:hAnsi="游ゴシック" w:eastAsia="游ゴシック"/>
          <w:b w:val="0"/>
          <w:sz w:val="21"/>
        </w:rPr>
        <w:t>算定の結果を後から確かめるのではなく、算定を行うプログラムの中に点検を組み込み、1件でも不適合があれば異常終了する形にします。資料を作り直すたびに点検が走るため、データの更新や修正で整合が崩れたことに気づけます。</w:t>
      </w:r>
    </w:p>
    <w:p>
      <w:pPr>
        <w:keepNext/>
        <w:spacing w:before="180" w:after="60"/>
      </w:pPr>
      <w:r>
        <w:rPr>
          <w:rFonts w:ascii="游ゴシック" w:hAnsi="游ゴシック" w:eastAsia="游ゴシック"/>
          <w:b/>
          <w:sz w:val="22"/>
        </w:rPr>
        <w:t>2　点検の型</w:t>
      </w:r>
    </w:p>
    <w:p>
      <w:pPr>
        <w:keepNext/>
        <w:spacing w:before="160" w:after="40"/>
      </w:pPr>
      <w:r>
        <w:rPr>
          <w:rFonts w:ascii="游ゴシック" w:hAnsi="游ゴシック" w:eastAsia="游ゴシック"/>
          <w:b/>
          <w:sz w:val="20"/>
        </w:rPr>
        <w:t>表10　自己点検の型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814"/>
            <w:shd w:val="clear" w:color="auto" w:fill="1F3864"/>
            <w:vAlign w:val="center"/>
          </w:tcPr>
          <w:p>
            <w:pPr>
              <w:spacing w:after="0"/>
              <w:jc w:val="center"/>
            </w:pPr>
            <w:r>
              <w:rPr>
                <w:rFonts w:ascii="游ゴシック" w:hAnsi="游ゴシック" w:eastAsia="游ゴシック"/>
                <w:b/>
                <w:color w:val="FFFFFF"/>
                <w:sz w:val="19"/>
              </w:rPr>
              <w:t>型</w:t>
            </w:r>
          </w:p>
        </w:tc>
        <w:tc>
          <w:tcPr>
            <w:tcW w:type="dxa" w:w="3515"/>
            <w:shd w:val="clear" w:color="auto" w:fill="1F3864"/>
            <w:vAlign w:val="center"/>
          </w:tcPr>
          <w:p>
            <w:pPr>
              <w:spacing w:after="0"/>
              <w:jc w:val="center"/>
            </w:pPr>
            <w:r>
              <w:rPr>
                <w:rFonts w:ascii="游ゴシック" w:hAnsi="游ゴシック" w:eastAsia="游ゴシック"/>
                <w:b/>
                <w:color w:val="FFFFFF"/>
                <w:sz w:val="19"/>
              </w:rPr>
              <w:t>内容</w:t>
            </w:r>
          </w:p>
        </w:tc>
        <w:tc>
          <w:tcPr>
            <w:tcW w:type="dxa" w:w="4422"/>
            <w:shd w:val="clear" w:color="auto" w:fill="1F3864"/>
            <w:vAlign w:val="center"/>
          </w:tcPr>
          <w:p>
            <w:pPr>
              <w:spacing w:after="0"/>
              <w:jc w:val="center"/>
            </w:pPr>
            <w:r>
              <w:rPr>
                <w:rFonts w:ascii="游ゴシック" w:hAnsi="游ゴシック" w:eastAsia="游ゴシック"/>
                <w:b/>
                <w:color w:val="FFFFFF"/>
                <w:sz w:val="19"/>
              </w:rPr>
              <w:t>例</w:t>
            </w:r>
          </w:p>
        </w:tc>
      </w:tr>
      <w:tr>
        <w:trPr>
          <w:cantSplit/>
        </w:trPr>
        <w:tc>
          <w:tcPr>
            <w:tcW w:type="dxa" w:w="1814"/>
            <w:vAlign w:val="center"/>
          </w:tcPr>
          <w:p>
            <w:pPr>
              <w:spacing w:after="0"/>
            </w:pPr>
            <w:r>
              <w:rPr>
                <w:rFonts w:ascii="游ゴシック" w:hAnsi="游ゴシック" w:eastAsia="游ゴシック"/>
                <w:b w:val="0"/>
                <w:sz w:val="19"/>
              </w:rPr>
              <w:t>内的整合</w:t>
            </w:r>
          </w:p>
        </w:tc>
        <w:tc>
          <w:tcPr>
            <w:tcW w:type="dxa" w:w="3515"/>
            <w:vAlign w:val="center"/>
          </w:tcPr>
          <w:p>
            <w:pPr>
              <w:spacing w:after="0"/>
            </w:pPr>
            <w:r>
              <w:rPr>
                <w:rFonts w:ascii="游ゴシック" w:hAnsi="游ゴシック" w:eastAsia="游ゴシック"/>
                <w:b w:val="0"/>
                <w:sz w:val="19"/>
              </w:rPr>
              <w:t>同じ資料の中で成り立つべき等式</w:t>
            </w:r>
          </w:p>
        </w:tc>
        <w:tc>
          <w:tcPr>
            <w:tcW w:type="dxa" w:w="4422"/>
            <w:vAlign w:val="center"/>
          </w:tcPr>
          <w:p>
            <w:pPr>
              <w:spacing w:after="0"/>
            </w:pPr>
            <w:r>
              <w:rPr>
                <w:rFonts w:ascii="游ゴシック" w:hAnsi="游ゴシック" w:eastAsia="游ゴシック"/>
                <w:b w:val="0"/>
                <w:sz w:val="19"/>
              </w:rPr>
              <w:t>数量×単価＝金額、要介護度別の合計＝総数</w:t>
            </w:r>
          </w:p>
        </w:tc>
      </w:tr>
      <w:tr>
        <w:trPr>
          <w:cantSplit/>
        </w:trPr>
        <w:tc>
          <w:tcPr>
            <w:tcW w:type="dxa" w:w="1814"/>
            <w:shd w:val="clear" w:color="auto" w:fill="F2F5FA"/>
            <w:vAlign w:val="center"/>
          </w:tcPr>
          <w:p>
            <w:pPr>
              <w:spacing w:after="0"/>
            </w:pPr>
            <w:r>
              <w:rPr>
                <w:rFonts w:ascii="游ゴシック" w:hAnsi="游ゴシック" w:eastAsia="游ゴシック"/>
                <w:b w:val="0"/>
                <w:sz w:val="19"/>
              </w:rPr>
              <w:t>外部との一致</w:t>
            </w:r>
          </w:p>
        </w:tc>
        <w:tc>
          <w:tcPr>
            <w:tcW w:type="dxa" w:w="3515"/>
            <w:shd w:val="clear" w:color="auto" w:fill="F2F5FA"/>
            <w:vAlign w:val="center"/>
          </w:tcPr>
          <w:p>
            <w:pPr>
              <w:spacing w:after="0"/>
            </w:pPr>
            <w:r>
              <w:rPr>
                <w:rFonts w:ascii="游ゴシック" w:hAnsi="游ゴシック" w:eastAsia="游ゴシック"/>
                <w:b w:val="0"/>
                <w:sz w:val="19"/>
              </w:rPr>
              <w:t>別の資料と一致すべき値</w:t>
            </w:r>
          </w:p>
        </w:tc>
        <w:tc>
          <w:tcPr>
            <w:tcW w:type="dxa" w:w="4422"/>
            <w:shd w:val="clear" w:color="auto" w:fill="F2F5FA"/>
            <w:vAlign w:val="center"/>
          </w:tcPr>
          <w:p>
            <w:pPr>
              <w:spacing w:after="0"/>
            </w:pPr>
            <w:r>
              <w:rPr>
                <w:rFonts w:ascii="游ゴシック" w:hAnsi="游ゴシック" w:eastAsia="游ゴシック"/>
                <w:b w:val="0"/>
                <w:sz w:val="19"/>
              </w:rPr>
              <w:t>サービス別の給付費の合計＝年報の給付費</w:t>
            </w:r>
          </w:p>
        </w:tc>
      </w:tr>
      <w:tr>
        <w:trPr>
          <w:cantSplit/>
        </w:trPr>
        <w:tc>
          <w:tcPr>
            <w:tcW w:type="dxa" w:w="1814"/>
            <w:vAlign w:val="center"/>
          </w:tcPr>
          <w:p>
            <w:pPr>
              <w:spacing w:after="0"/>
            </w:pPr>
            <w:r>
              <w:rPr>
                <w:rFonts w:ascii="游ゴシック" w:hAnsi="游ゴシック" w:eastAsia="游ゴシック"/>
                <w:b w:val="0"/>
                <w:sz w:val="19"/>
              </w:rPr>
              <w:t>先行成果品との接続</w:t>
            </w:r>
          </w:p>
        </w:tc>
        <w:tc>
          <w:tcPr>
            <w:tcW w:type="dxa" w:w="3515"/>
            <w:vAlign w:val="center"/>
          </w:tcPr>
          <w:p>
            <w:pPr>
              <w:spacing w:after="0"/>
            </w:pPr>
            <w:r>
              <w:rPr>
                <w:rFonts w:ascii="游ゴシック" w:hAnsi="游ゴシック" w:eastAsia="游ゴシック"/>
                <w:b w:val="0"/>
                <w:sz w:val="19"/>
              </w:rPr>
              <w:t>前段の算定の結果と一致すべき値</w:t>
            </w:r>
          </w:p>
        </w:tc>
        <w:tc>
          <w:tcPr>
            <w:tcW w:type="dxa" w:w="4422"/>
            <w:vAlign w:val="center"/>
          </w:tcPr>
          <w:p>
            <w:pPr>
              <w:spacing w:after="0"/>
            </w:pPr>
            <w:r>
              <w:rPr>
                <w:rFonts w:ascii="游ゴシック" w:hAnsi="游ゴシック" w:eastAsia="游ゴシック"/>
                <w:b w:val="0"/>
                <w:sz w:val="19"/>
              </w:rPr>
              <w:t>補正なしの場合の月額＝先行の採用パターンの月額</w:t>
            </w:r>
          </w:p>
        </w:tc>
      </w:tr>
      <w:tr>
        <w:trPr>
          <w:cantSplit/>
        </w:trPr>
        <w:tc>
          <w:tcPr>
            <w:tcW w:type="dxa" w:w="1814"/>
            <w:shd w:val="clear" w:color="auto" w:fill="F2F5FA"/>
            <w:vAlign w:val="center"/>
          </w:tcPr>
          <w:p>
            <w:pPr>
              <w:spacing w:after="0"/>
            </w:pPr>
            <w:r>
              <w:rPr>
                <w:rFonts w:ascii="游ゴシック" w:hAnsi="游ゴシック" w:eastAsia="游ゴシック"/>
                <w:b w:val="0"/>
                <w:sz w:val="19"/>
              </w:rPr>
              <w:t>再現</w:t>
            </w:r>
          </w:p>
        </w:tc>
        <w:tc>
          <w:tcPr>
            <w:tcW w:type="dxa" w:w="3515"/>
            <w:shd w:val="clear" w:color="auto" w:fill="F2F5FA"/>
            <w:vAlign w:val="center"/>
          </w:tcPr>
          <w:p>
            <w:pPr>
              <w:spacing w:after="0"/>
            </w:pPr>
            <w:r>
              <w:rPr>
                <w:rFonts w:ascii="游ゴシック" w:hAnsi="游ゴシック" w:eastAsia="游ゴシック"/>
                <w:b w:val="0"/>
                <w:sz w:val="19"/>
              </w:rPr>
              <w:t>公表されている過去の値を式で再現できるか</w:t>
            </w:r>
          </w:p>
        </w:tc>
        <w:tc>
          <w:tcPr>
            <w:tcW w:type="dxa" w:w="4422"/>
            <w:shd w:val="clear" w:color="auto" w:fill="F2F5FA"/>
            <w:vAlign w:val="center"/>
          </w:tcPr>
          <w:p>
            <w:pPr>
              <w:spacing w:after="0"/>
            </w:pPr>
            <w:r>
              <w:rPr>
                <w:rFonts w:ascii="游ゴシック" w:hAnsi="游ゴシック" w:eastAsia="游ゴシック"/>
                <w:b w:val="0"/>
                <w:sz w:val="19"/>
              </w:rPr>
              <w:t>前期計画の保険料の月額を同じ式で再現する</w:t>
            </w:r>
          </w:p>
        </w:tc>
      </w:tr>
      <w:tr>
        <w:trPr>
          <w:cantSplit/>
        </w:trPr>
        <w:tc>
          <w:tcPr>
            <w:tcW w:type="dxa" w:w="1814"/>
            <w:vAlign w:val="center"/>
          </w:tcPr>
          <w:p>
            <w:pPr>
              <w:spacing w:after="0"/>
            </w:pPr>
            <w:r>
              <w:rPr>
                <w:rFonts w:ascii="游ゴシック" w:hAnsi="游ゴシック" w:eastAsia="游ゴシック"/>
                <w:b w:val="0"/>
                <w:sz w:val="19"/>
              </w:rPr>
              <w:t>境界</w:t>
            </w:r>
          </w:p>
        </w:tc>
        <w:tc>
          <w:tcPr>
            <w:tcW w:type="dxa" w:w="3515"/>
            <w:vAlign w:val="center"/>
          </w:tcPr>
          <w:p>
            <w:pPr>
              <w:spacing w:after="0"/>
            </w:pPr>
            <w:r>
              <w:rPr>
                <w:rFonts w:ascii="游ゴシック" w:hAnsi="游ゴシック" w:eastAsia="游ゴシック"/>
                <w:b w:val="0"/>
                <w:sz w:val="19"/>
              </w:rPr>
              <w:t>取り得ない値になっていないか</w:t>
            </w:r>
          </w:p>
        </w:tc>
        <w:tc>
          <w:tcPr>
            <w:tcW w:type="dxa" w:w="4422"/>
            <w:vAlign w:val="center"/>
          </w:tcPr>
          <w:p>
            <w:pPr>
              <w:spacing w:after="0"/>
            </w:pPr>
            <w:r>
              <w:rPr>
                <w:rFonts w:ascii="游ゴシック" w:hAnsi="游ゴシック" w:eastAsia="游ゴシック"/>
                <w:b w:val="0"/>
                <w:sz w:val="19"/>
              </w:rPr>
              <w:t>負の値、定員超過、月数が12を超える</w:t>
            </w:r>
          </w:p>
        </w:tc>
      </w:tr>
      <w:tr>
        <w:trPr>
          <w:cantSplit/>
        </w:trPr>
        <w:tc>
          <w:tcPr>
            <w:tcW w:type="dxa" w:w="1814"/>
            <w:shd w:val="clear" w:color="auto" w:fill="F2F5FA"/>
            <w:vAlign w:val="center"/>
          </w:tcPr>
          <w:p>
            <w:pPr>
              <w:spacing w:after="0"/>
            </w:pPr>
            <w:r>
              <w:rPr>
                <w:rFonts w:ascii="游ゴシック" w:hAnsi="游ゴシック" w:eastAsia="游ゴシック"/>
                <w:b w:val="0"/>
                <w:sz w:val="19"/>
              </w:rPr>
              <w:t>方針の遵守</w:t>
            </w:r>
          </w:p>
        </w:tc>
        <w:tc>
          <w:tcPr>
            <w:tcW w:type="dxa" w:w="3515"/>
            <w:shd w:val="clear" w:color="auto" w:fill="F2F5FA"/>
            <w:vAlign w:val="center"/>
          </w:tcPr>
          <w:p>
            <w:pPr>
              <w:spacing w:after="0"/>
            </w:pPr>
            <w:r>
              <w:rPr>
                <w:rFonts w:ascii="游ゴシック" w:hAnsi="游ゴシック" w:eastAsia="游ゴシック"/>
                <w:b w:val="0"/>
                <w:sz w:val="19"/>
              </w:rPr>
              <w:t>禁止した表現や扱いが混入していないか</w:t>
            </w:r>
          </w:p>
        </w:tc>
        <w:tc>
          <w:tcPr>
            <w:tcW w:type="dxa" w:w="4422"/>
            <w:shd w:val="clear" w:color="auto" w:fill="F2F5FA"/>
            <w:vAlign w:val="center"/>
          </w:tcPr>
          <w:p>
            <w:pPr>
              <w:spacing w:after="0"/>
            </w:pPr>
            <w:r>
              <w:rPr>
                <w:rFonts w:ascii="游ゴシック" w:hAnsi="游ゴシック" w:eastAsia="游ゴシック"/>
                <w:b w:val="0"/>
                <w:sz w:val="19"/>
              </w:rPr>
              <w:t>年度途中の年度を基準年度に用いていないか</w:t>
            </w:r>
          </w:p>
        </w:tc>
      </w:tr>
    </w:tbl>
    <w:p>
      <w:pPr>
        <w:keepNext/>
        <w:spacing w:before="180" w:after="60"/>
      </w:pPr>
      <w:r>
        <w:rPr>
          <w:rFonts w:ascii="游ゴシック" w:hAnsi="游ゴシック" w:eastAsia="游ゴシック"/>
          <w:b/>
          <w:sz w:val="22"/>
        </w:rPr>
        <w:t>3　変異試験で点検の効きを確かめる</w:t>
      </w:r>
    </w:p>
    <w:p>
      <w:r>
        <w:rPr>
          <w:rFonts w:ascii="游ゴシック" w:hAnsi="游ゴシック" w:eastAsia="游ゴシック"/>
          <w:b w:val="0"/>
          <w:sz w:val="21"/>
        </w:rPr>
        <w:t>点検を書いても、それが実際に誤りを捕まえるとは限りません。わざと誤りを入れて異常終了することを確かめます。捕まらない誤りがあれば、点検を足します。</w:t>
      </w:r>
    </w:p>
    <w:p>
      <w:pPr>
        <w:ind w:left="340" w:hanging="340"/>
      </w:pPr>
      <w:r>
        <w:rPr>
          <w:rFonts w:ascii="游ゴシック" w:hAnsi="游ゴシック" w:eastAsia="游ゴシック"/>
          <w:b w:val="0"/>
          <w:sz w:val="21"/>
        </w:rPr>
        <w:t>・基準年度を年度途中の年度に差し替える。</w:t>
      </w:r>
    </w:p>
    <w:p>
      <w:pPr>
        <w:ind w:left="340" w:hanging="340"/>
      </w:pPr>
      <w:r>
        <w:rPr>
          <w:rFonts w:ascii="游ゴシック" w:hAnsi="游ゴシック" w:eastAsia="游ゴシック"/>
          <w:b w:val="0"/>
          <w:sz w:val="21"/>
        </w:rPr>
        <w:t>・伸び率を別のシナリオにすり替える。</w:t>
      </w:r>
    </w:p>
    <w:p>
      <w:pPr>
        <w:ind w:left="340" w:hanging="340"/>
      </w:pPr>
      <w:r>
        <w:rPr>
          <w:rFonts w:ascii="游ゴシック" w:hAnsi="游ゴシック" w:eastAsia="游ゴシック"/>
          <w:b w:val="0"/>
          <w:sz w:val="21"/>
        </w:rPr>
        <w:t>・単価をわずかにずらす。</w:t>
      </w:r>
    </w:p>
    <w:p>
      <w:pPr>
        <w:ind w:left="340" w:hanging="340"/>
      </w:pPr>
      <w:r>
        <w:rPr>
          <w:rFonts w:ascii="游ゴシック" w:hAnsi="游ゴシック" w:eastAsia="游ゴシック"/>
          <w:b w:val="0"/>
          <w:sz w:val="21"/>
        </w:rPr>
        <w:t>・外部資料との突合の値をずらす。</w:t>
      </w:r>
    </w:p>
    <w:p>
      <w:pPr>
        <w:ind w:left="340" w:hanging="340"/>
      </w:pPr>
      <w:r>
        <w:rPr>
          <w:rFonts w:ascii="游ゴシック" w:hAnsi="游ゴシック" w:eastAsia="游ゴシック"/>
          <w:b w:val="0"/>
          <w:sz w:val="21"/>
        </w:rPr>
        <w:t>・禁止した表現を混ぜる。</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本業務では3つの成果品で変異試験を行い、5件・6件・5件の変異をいずれも検出することを確かめました。</w:t>
      </w:r>
    </w:p>
    <w:p>
      <w:pPr>
        <w:keepNext/>
        <w:spacing w:before="320" w:after="120"/>
      </w:pPr>
      <w:r>
        <w:rPr>
          <w:rFonts w:ascii="游ゴシック" w:hAnsi="游ゴシック" w:eastAsia="游ゴシック"/>
          <w:b/>
          <w:color w:val="1F3864"/>
          <w:sz w:val="26"/>
        </w:rPr>
        <w:t>第10章　趨勢に現れない要因と報酬改定</w:t>
      </w:r>
    </w:p>
    <w:p>
      <w:pPr>
        <w:keepNext/>
        <w:spacing w:before="180" w:after="60"/>
      </w:pPr>
      <w:r>
        <w:rPr>
          <w:rFonts w:ascii="游ゴシック" w:hAnsi="游ゴシック" w:eastAsia="游ゴシック"/>
          <w:b/>
          <w:sz w:val="22"/>
        </w:rPr>
        <w:t>1　趨勢を延ばす方法が落とすもの</w:t>
      </w:r>
    </w:p>
    <w:p>
      <w:r>
        <w:rPr>
          <w:rFonts w:ascii="游ゴシック" w:hAnsi="游ゴシック" w:eastAsia="游ゴシック"/>
          <w:b w:val="0"/>
          <w:sz w:val="21"/>
        </w:rPr>
        <w:t>見込量の算定は、実績の趨勢を延ばすものです。したがって、過去の実績に現れていないものは反映されません。国の基本指針や都道府県の計画が求める施策の多くは、これから進めるものであるため実績に現れていません。</w:t>
      </w:r>
    </w:p>
    <w:p>
      <w:r>
        <w:rPr>
          <w:rFonts w:ascii="游ゴシック" w:hAnsi="游ゴシック" w:eastAsia="游ゴシック"/>
          <w:b w:val="0"/>
          <w:sz w:val="21"/>
        </w:rPr>
        <w:t>落ちるものを洗い出し、①数値で測れるもの、②向きだけが言えるもの、③測れないものに分けます。②と③を無理に数値化すると、根拠のない値が計画に入ります。分けたうえで、②と③は本文の記述として扱い、①だけを見込量に反映するかどうかの判断にかけます。</w:t>
      </w:r>
    </w:p>
    <w:p>
      <w:pPr>
        <w:keepNext/>
        <w:spacing w:before="160" w:after="40"/>
      </w:pPr>
      <w:r>
        <w:rPr>
          <w:rFonts w:ascii="游ゴシック" w:hAnsi="游ゴシック" w:eastAsia="游ゴシック"/>
          <w:b/>
          <w:sz w:val="20"/>
        </w:rPr>
        <w:t>表11　趨勢に現れない要因の分け方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3742"/>
            <w:shd w:val="clear" w:color="auto" w:fill="1F3864"/>
            <w:vAlign w:val="center"/>
          </w:tcPr>
          <w:p>
            <w:pPr>
              <w:spacing w:after="0"/>
              <w:jc w:val="center"/>
            </w:pPr>
            <w:r>
              <w:rPr>
                <w:rFonts w:ascii="游ゴシック" w:hAnsi="游ゴシック" w:eastAsia="游ゴシック"/>
                <w:b/>
                <w:color w:val="FFFFFF"/>
                <w:sz w:val="19"/>
              </w:rPr>
              <w:t>扱い</w:t>
            </w:r>
          </w:p>
        </w:tc>
        <w:tc>
          <w:tcPr>
            <w:tcW w:type="dxa" w:w="4082"/>
            <w:shd w:val="clear" w:color="auto" w:fill="1F3864"/>
            <w:vAlign w:val="center"/>
          </w:tcPr>
          <w:p>
            <w:pPr>
              <w:spacing w:after="0"/>
              <w:jc w:val="center"/>
            </w:pPr>
            <w:r>
              <w:rPr>
                <w:rFonts w:ascii="游ゴシック" w:hAnsi="游ゴシック" w:eastAsia="游ゴシック"/>
                <w:b/>
                <w:color w:val="FFFFFF"/>
                <w:sz w:val="19"/>
              </w:rPr>
              <w:t>例</w:t>
            </w:r>
          </w:p>
        </w:tc>
      </w:tr>
      <w:tr>
        <w:trPr>
          <w:cantSplit/>
        </w:trPr>
        <w:tc>
          <w:tcPr>
            <w:tcW w:type="dxa" w:w="1928"/>
            <w:vAlign w:val="center"/>
          </w:tcPr>
          <w:p>
            <w:pPr>
              <w:spacing w:after="0"/>
            </w:pPr>
            <w:r>
              <w:rPr>
                <w:rFonts w:ascii="游ゴシック" w:hAnsi="游ゴシック" w:eastAsia="游ゴシック"/>
                <w:b w:val="0"/>
                <w:sz w:val="19"/>
              </w:rPr>
              <w:t>① 測れるもの</w:t>
            </w:r>
          </w:p>
        </w:tc>
        <w:tc>
          <w:tcPr>
            <w:tcW w:type="dxa" w:w="3742"/>
            <w:vAlign w:val="center"/>
          </w:tcPr>
          <w:p>
            <w:pPr>
              <w:spacing w:after="0"/>
            </w:pPr>
            <w:r>
              <w:rPr>
                <w:rFonts w:ascii="游ゴシック" w:hAnsi="游ゴシック" w:eastAsia="游ゴシック"/>
                <w:b w:val="0"/>
                <w:sz w:val="19"/>
              </w:rPr>
              <w:t>月額への効きを算定し、反映するかを保険者の判断にかける</w:t>
            </w:r>
          </w:p>
        </w:tc>
        <w:tc>
          <w:tcPr>
            <w:tcW w:type="dxa" w:w="4082"/>
            <w:vAlign w:val="center"/>
          </w:tcPr>
          <w:p>
            <w:pPr>
              <w:spacing w:after="0"/>
            </w:pPr>
            <w:r>
              <w:rPr>
                <w:rFonts w:ascii="游ゴシック" w:hAnsi="游ゴシック" w:eastAsia="游ゴシック"/>
                <w:b w:val="0"/>
                <w:sz w:val="19"/>
              </w:rPr>
              <w:t>報酬改定率、単価の趨勢、給付適正化の抑制、整備が決まっている事業所の定員</w:t>
            </w:r>
          </w:p>
        </w:tc>
      </w:tr>
      <w:tr>
        <w:trPr>
          <w:cantSplit/>
        </w:trPr>
        <w:tc>
          <w:tcPr>
            <w:tcW w:type="dxa" w:w="1928"/>
            <w:shd w:val="clear" w:color="auto" w:fill="F2F5FA"/>
            <w:vAlign w:val="center"/>
          </w:tcPr>
          <w:p>
            <w:pPr>
              <w:spacing w:after="0"/>
            </w:pPr>
            <w:r>
              <w:rPr>
                <w:rFonts w:ascii="游ゴシック" w:hAnsi="游ゴシック" w:eastAsia="游ゴシック"/>
                <w:b w:val="0"/>
                <w:sz w:val="19"/>
              </w:rPr>
              <w:t>② 向きだけが言えるもの</w:t>
            </w:r>
          </w:p>
        </w:tc>
        <w:tc>
          <w:tcPr>
            <w:tcW w:type="dxa" w:w="3742"/>
            <w:shd w:val="clear" w:color="auto" w:fill="F2F5FA"/>
            <w:vAlign w:val="center"/>
          </w:tcPr>
          <w:p>
            <w:pPr>
              <w:spacing w:after="0"/>
            </w:pPr>
            <w:r>
              <w:rPr>
                <w:rFonts w:ascii="游ゴシック" w:hAnsi="游ゴシック" w:eastAsia="游ゴシック"/>
                <w:b w:val="0"/>
                <w:sz w:val="19"/>
              </w:rPr>
              <w:t>増える向きか減る向きかを本文に記述する。数値は置かない</w:t>
            </w:r>
          </w:p>
        </w:tc>
        <w:tc>
          <w:tcPr>
            <w:tcW w:type="dxa" w:w="4082"/>
            <w:shd w:val="clear" w:color="auto" w:fill="F2F5FA"/>
            <w:vAlign w:val="center"/>
          </w:tcPr>
          <w:p>
            <w:pPr>
              <w:spacing w:after="0"/>
            </w:pPr>
            <w:r>
              <w:rPr>
                <w:rFonts w:ascii="游ゴシック" w:hAnsi="游ゴシック" w:eastAsia="游ゴシック"/>
                <w:b w:val="0"/>
                <w:sz w:val="19"/>
              </w:rPr>
              <w:t>認知症施策、住まいの整備、医療介護連携、人材の確保</w:t>
            </w:r>
          </w:p>
        </w:tc>
      </w:tr>
      <w:tr>
        <w:trPr>
          <w:cantSplit/>
        </w:trPr>
        <w:tc>
          <w:tcPr>
            <w:tcW w:type="dxa" w:w="1928"/>
            <w:vAlign w:val="center"/>
          </w:tcPr>
          <w:p>
            <w:pPr>
              <w:spacing w:after="0"/>
            </w:pPr>
            <w:r>
              <w:rPr>
                <w:rFonts w:ascii="游ゴシック" w:hAnsi="游ゴシック" w:eastAsia="游ゴシック"/>
                <w:b w:val="0"/>
                <w:sz w:val="19"/>
              </w:rPr>
              <w:t>③ 測れないもの</w:t>
            </w:r>
          </w:p>
        </w:tc>
        <w:tc>
          <w:tcPr>
            <w:tcW w:type="dxa" w:w="3742"/>
            <w:vAlign w:val="center"/>
          </w:tcPr>
          <w:p>
            <w:pPr>
              <w:spacing w:after="0"/>
            </w:pPr>
            <w:r>
              <w:rPr>
                <w:rFonts w:ascii="游ゴシック" w:hAnsi="游ゴシック" w:eastAsia="游ゴシック"/>
                <w:b w:val="0"/>
                <w:sz w:val="19"/>
              </w:rPr>
              <w:t>確認事項として整理し、資料が示された時点で再照合する</w:t>
            </w:r>
          </w:p>
        </w:tc>
        <w:tc>
          <w:tcPr>
            <w:tcW w:type="dxa" w:w="4082"/>
            <w:vAlign w:val="center"/>
          </w:tcPr>
          <w:p>
            <w:pPr>
              <w:spacing w:after="0"/>
            </w:pPr>
            <w:r>
              <w:rPr>
                <w:rFonts w:ascii="游ゴシック" w:hAnsi="游ゴシック" w:eastAsia="游ゴシック"/>
                <w:b w:val="0"/>
                <w:sz w:val="19"/>
              </w:rPr>
              <w:t>都道府県の支援計画が未策定、政令・省令が未告示</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要因を12件抽出し、測れるもの7件・向きのみ3件・測れないもの2件に分けました。認知症施策では、認知症高齢者自立度Ⅱ以上の割合が低下する一方で実数は年率＋2.17％で増えており、認知症対応型共同生活介護の実績は年率▲4.96％で減っています。趨勢を延ばすと施策の方向と逆になるため、②として扱いました。</w:t>
      </w:r>
    </w:p>
    <w:p>
      <w:pPr>
        <w:keepNext/>
        <w:spacing w:before="180" w:after="60"/>
      </w:pPr>
      <w:r>
        <w:rPr>
          <w:rFonts w:ascii="游ゴシック" w:hAnsi="游ゴシック" w:eastAsia="游ゴシック"/>
          <w:b/>
          <w:sz w:val="22"/>
        </w:rPr>
        <w:t>2　単価の趨勢を測る</w:t>
      </w:r>
    </w:p>
    <w:p>
      <w:r>
        <w:rPr>
          <w:rFonts w:ascii="游ゴシック" w:hAnsi="游ゴシック" w:eastAsia="游ゴシック"/>
          <w:b w:val="0"/>
          <w:sz w:val="21"/>
        </w:rPr>
        <w:t>見込量の算定では、基準年度の1人あたり給付費（単価）を固定することが多くあります。しかし単価は、利用者の構成の変化、加算の算定、要介護度の重度化により、報酬改定がない年でも伸びています。固定することは、この伸びを落とすことになります。</w:t>
      </w:r>
    </w:p>
    <w:p>
      <w:r>
        <w:rPr>
          <w:rFonts w:ascii="游ゴシック" w:hAnsi="游ゴシック" w:eastAsia="游ゴシック"/>
          <w:b w:val="0"/>
          <w:sz w:val="21"/>
        </w:rPr>
        <w:t>単価の伸びを測るときは、利用者の構成の変化と価格の変化を分けます。前年の利用者構成を固定した連鎖ラスパイレス指数を用います。サービスsの前年の利用者数をq(s, t−1)、単価をp(s, t)として、指数は Σq(s, t−1)×p(s, t) ÷ Σq(s, t−1)×p(s, t−1) です。これを各年について求め、掛け合わせます。</w:t>
      </w:r>
    </w:p>
    <w:p>
      <w:r>
        <w:rPr>
          <w:rFonts w:ascii="游ゴシック" w:hAnsi="游ゴシック" w:eastAsia="游ゴシック"/>
          <w:b w:val="0"/>
          <w:sz w:val="21"/>
        </w:rPr>
        <w:t>求めた伸びを、報酬改定のあった年となかった年に分けて比べます。差が見られない場合、そのデータでは改定による分と改定以外の分を分けられません。このとき、改定率が告示されていなくても、実績の趨勢を置くという選択肢が成り立ちます。</w:t>
      </w:r>
    </w:p>
    <w:p>
      <w:pPr>
        <w:keepNext/>
        <w:spacing w:before="160" w:after="40"/>
      </w:pPr>
      <w:r>
        <w:rPr>
          <w:rFonts w:ascii="游ゴシック" w:hAnsi="游ゴシック" w:eastAsia="游ゴシック"/>
          <w:b/>
          <w:sz w:val="20"/>
        </w:rPr>
        <w:t>表12　単価の趨勢の測り方と読み方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手順</w:t>
            </w:r>
          </w:p>
        </w:tc>
        <w:tc>
          <w:tcPr>
            <w:tcW w:type="dxa" w:w="4535"/>
            <w:shd w:val="clear" w:color="auto" w:fill="1F3864"/>
            <w:vAlign w:val="center"/>
          </w:tcPr>
          <w:p>
            <w:pPr>
              <w:spacing w:after="0"/>
              <w:jc w:val="center"/>
            </w:pPr>
            <w:r>
              <w:rPr>
                <w:rFonts w:ascii="游ゴシック" w:hAnsi="游ゴシック" w:eastAsia="游ゴシック"/>
                <w:b/>
                <w:color w:val="FFFFFF"/>
                <w:sz w:val="19"/>
              </w:rPr>
              <w:t>行うこと</w:t>
            </w:r>
          </w:p>
        </w:tc>
        <w:tc>
          <w:tcPr>
            <w:tcW w:type="dxa" w:w="4422"/>
            <w:shd w:val="clear" w:color="auto" w:fill="1F3864"/>
            <w:vAlign w:val="center"/>
          </w:tcPr>
          <w:p>
            <w:pPr>
              <w:spacing w:after="0"/>
              <w:jc w:val="center"/>
            </w:pPr>
            <w:r>
              <w:rPr>
                <w:rFonts w:ascii="游ゴシック" w:hAnsi="游ゴシック" w:eastAsia="游ゴシック"/>
                <w:b/>
                <w:color w:val="FFFFFF"/>
                <w:sz w:val="19"/>
              </w:rPr>
              <w:t>読み方</w:t>
            </w:r>
          </w:p>
        </w:tc>
      </w:tr>
      <w:tr>
        <w:trPr>
          <w:cantSplit/>
        </w:trPr>
        <w:tc>
          <w:tcPr>
            <w:tcW w:type="dxa" w:w="794"/>
            <w:vAlign w:val="center"/>
          </w:tcPr>
          <w:p>
            <w:pPr>
              <w:spacing w:after="0"/>
            </w:pPr>
            <w:r>
              <w:rPr>
                <w:rFonts w:ascii="游ゴシック" w:hAnsi="游ゴシック" w:eastAsia="游ゴシック"/>
                <w:b w:val="0"/>
                <w:sz w:val="19"/>
              </w:rPr>
              <w:t>1</w:t>
            </w:r>
          </w:p>
        </w:tc>
        <w:tc>
          <w:tcPr>
            <w:tcW w:type="dxa" w:w="4535"/>
            <w:vAlign w:val="center"/>
          </w:tcPr>
          <w:p>
            <w:pPr>
              <w:spacing w:after="0"/>
            </w:pPr>
            <w:r>
              <w:rPr>
                <w:rFonts w:ascii="游ゴシック" w:hAnsi="游ゴシック" w:eastAsia="游ゴシック"/>
                <w:b w:val="0"/>
                <w:sz w:val="19"/>
              </w:rPr>
              <w:t>サービス別の利用者数と1人あたり給付費を年度別にそろえる</w:t>
            </w:r>
          </w:p>
        </w:tc>
        <w:tc>
          <w:tcPr>
            <w:tcW w:type="dxa" w:w="4422"/>
            <w:vAlign w:val="center"/>
          </w:tcPr>
          <w:p>
            <w:pPr>
              <w:spacing w:after="0"/>
            </w:pPr>
            <w:r>
              <w:rPr>
                <w:rFonts w:ascii="游ゴシック" w:hAnsi="游ゴシック" w:eastAsia="游ゴシック"/>
                <w:b w:val="0"/>
                <w:sz w:val="19"/>
              </w:rPr>
              <w:t>両方に実績のある種別だけを対象とする</w:t>
            </w:r>
          </w:p>
        </w:tc>
      </w:tr>
      <w:tr>
        <w:trPr>
          <w:cantSplit/>
        </w:trPr>
        <w:tc>
          <w:tcPr>
            <w:tcW w:type="dxa" w:w="794"/>
            <w:shd w:val="clear" w:color="auto" w:fill="F2F5FA"/>
            <w:vAlign w:val="center"/>
          </w:tcPr>
          <w:p>
            <w:pPr>
              <w:spacing w:after="0"/>
            </w:pPr>
            <w:r>
              <w:rPr>
                <w:rFonts w:ascii="游ゴシック" w:hAnsi="游ゴシック" w:eastAsia="游ゴシック"/>
                <w:b w:val="0"/>
                <w:sz w:val="19"/>
              </w:rPr>
              <w:t>2</w:t>
            </w:r>
          </w:p>
        </w:tc>
        <w:tc>
          <w:tcPr>
            <w:tcW w:type="dxa" w:w="4535"/>
            <w:shd w:val="clear" w:color="auto" w:fill="F2F5FA"/>
            <w:vAlign w:val="center"/>
          </w:tcPr>
          <w:p>
            <w:pPr>
              <w:spacing w:after="0"/>
            </w:pPr>
            <w:r>
              <w:rPr>
                <w:rFonts w:ascii="游ゴシック" w:hAnsi="游ゴシック" w:eastAsia="游ゴシック"/>
                <w:b w:val="0"/>
                <w:sz w:val="19"/>
              </w:rPr>
              <w:t>前年の利用者構成を固定した指数を各年について求める</w:t>
            </w:r>
          </w:p>
        </w:tc>
        <w:tc>
          <w:tcPr>
            <w:tcW w:type="dxa" w:w="4422"/>
            <w:shd w:val="clear" w:color="auto" w:fill="F2F5FA"/>
            <w:vAlign w:val="center"/>
          </w:tcPr>
          <w:p>
            <w:pPr>
              <w:spacing w:after="0"/>
            </w:pPr>
            <w:r>
              <w:rPr>
                <w:rFonts w:ascii="游ゴシック" w:hAnsi="游ゴシック" w:eastAsia="游ゴシック"/>
                <w:b w:val="0"/>
                <w:sz w:val="19"/>
              </w:rPr>
              <w:t>構成の変化を除いた価格の動きになる</w:t>
            </w:r>
          </w:p>
        </w:tc>
      </w:tr>
      <w:tr>
        <w:trPr>
          <w:cantSplit/>
        </w:trPr>
        <w:tc>
          <w:tcPr>
            <w:tcW w:type="dxa" w:w="794"/>
            <w:vAlign w:val="center"/>
          </w:tcPr>
          <w:p>
            <w:pPr>
              <w:spacing w:after="0"/>
            </w:pPr>
            <w:r>
              <w:rPr>
                <w:rFonts w:ascii="游ゴシック" w:hAnsi="游ゴシック" w:eastAsia="游ゴシック"/>
                <w:b w:val="0"/>
                <w:sz w:val="19"/>
              </w:rPr>
              <w:t>3</w:t>
            </w:r>
          </w:p>
        </w:tc>
        <w:tc>
          <w:tcPr>
            <w:tcW w:type="dxa" w:w="4535"/>
            <w:vAlign w:val="center"/>
          </w:tcPr>
          <w:p>
            <w:pPr>
              <w:spacing w:after="0"/>
            </w:pPr>
            <w:r>
              <w:rPr>
                <w:rFonts w:ascii="游ゴシック" w:hAnsi="游ゴシック" w:eastAsia="游ゴシック"/>
                <w:b w:val="0"/>
                <w:sz w:val="19"/>
              </w:rPr>
              <w:t>改定のあった年となかった年に分けて平均を比べる</w:t>
            </w:r>
          </w:p>
        </w:tc>
        <w:tc>
          <w:tcPr>
            <w:tcW w:type="dxa" w:w="4422"/>
            <w:vAlign w:val="center"/>
          </w:tcPr>
          <w:p>
            <w:pPr>
              <w:spacing w:after="0"/>
            </w:pPr>
            <w:r>
              <w:rPr>
                <w:rFonts w:ascii="游ゴシック" w:hAnsi="游ゴシック" w:eastAsia="游ゴシック"/>
                <w:b w:val="0"/>
                <w:sz w:val="19"/>
              </w:rPr>
              <w:t>差が見られなければ、改定の有無で単価を場合分けできない</w:t>
            </w:r>
          </w:p>
        </w:tc>
      </w:tr>
      <w:tr>
        <w:trPr>
          <w:cantSplit/>
        </w:trPr>
        <w:tc>
          <w:tcPr>
            <w:tcW w:type="dxa" w:w="794"/>
            <w:shd w:val="clear" w:color="auto" w:fill="F2F5FA"/>
            <w:vAlign w:val="center"/>
          </w:tcPr>
          <w:p>
            <w:pPr>
              <w:spacing w:after="0"/>
            </w:pPr>
            <w:r>
              <w:rPr>
                <w:rFonts w:ascii="游ゴシック" w:hAnsi="游ゴシック" w:eastAsia="游ゴシック"/>
                <w:b w:val="0"/>
                <w:sz w:val="19"/>
              </w:rPr>
              <w:t>4</w:t>
            </w:r>
          </w:p>
        </w:tc>
        <w:tc>
          <w:tcPr>
            <w:tcW w:type="dxa" w:w="4535"/>
            <w:shd w:val="clear" w:color="auto" w:fill="F2F5FA"/>
            <w:vAlign w:val="center"/>
          </w:tcPr>
          <w:p>
            <w:pPr>
              <w:spacing w:after="0"/>
            </w:pPr>
            <w:r>
              <w:rPr>
                <w:rFonts w:ascii="游ゴシック" w:hAnsi="游ゴシック" w:eastAsia="游ゴシック"/>
                <w:b w:val="0"/>
                <w:sz w:val="19"/>
              </w:rPr>
              <w:t>1人1月あたり利用日数・回数の伸びを別に測る</w:t>
            </w:r>
          </w:p>
        </w:tc>
        <w:tc>
          <w:tcPr>
            <w:tcW w:type="dxa" w:w="4422"/>
            <w:shd w:val="clear" w:color="auto" w:fill="F2F5FA"/>
            <w:vAlign w:val="center"/>
          </w:tcPr>
          <w:p>
            <w:pPr>
              <w:spacing w:after="0"/>
            </w:pPr>
            <w:r>
              <w:rPr>
                <w:rFonts w:ascii="游ゴシック" w:hAnsi="游ゴシック" w:eastAsia="游ゴシック"/>
                <w:b w:val="0"/>
                <w:sz w:val="19"/>
              </w:rPr>
              <w:t>単価の伸びのうち、量の増によらない分が残る</w:t>
            </w:r>
          </w:p>
        </w:tc>
      </w:tr>
      <w:tr>
        <w:trPr>
          <w:cantSplit/>
        </w:trPr>
        <w:tc>
          <w:tcPr>
            <w:tcW w:type="dxa" w:w="794"/>
            <w:vAlign w:val="center"/>
          </w:tcPr>
          <w:p>
            <w:pPr>
              <w:spacing w:after="0"/>
            </w:pPr>
            <w:r>
              <w:rPr>
                <w:rFonts w:ascii="游ゴシック" w:hAnsi="游ゴシック" w:eastAsia="游ゴシック"/>
                <w:b w:val="0"/>
                <w:sz w:val="19"/>
              </w:rPr>
              <w:t>5</w:t>
            </w:r>
          </w:p>
        </w:tc>
        <w:tc>
          <w:tcPr>
            <w:tcW w:type="dxa" w:w="4535"/>
            <w:vAlign w:val="center"/>
          </w:tcPr>
          <w:p>
            <w:pPr>
              <w:spacing w:after="0"/>
            </w:pPr>
            <w:r>
              <w:rPr>
                <w:rFonts w:ascii="游ゴシック" w:hAnsi="游ゴシック" w:eastAsia="游ゴシック"/>
                <w:b w:val="0"/>
                <w:sz w:val="19"/>
              </w:rPr>
              <w:t>単価を固定した場合と趨勢を置いた場合の月額の差を示す</w:t>
            </w:r>
          </w:p>
        </w:tc>
        <w:tc>
          <w:tcPr>
            <w:tcW w:type="dxa" w:w="4422"/>
            <w:vAlign w:val="center"/>
          </w:tcPr>
          <w:p>
            <w:pPr>
              <w:spacing w:after="0"/>
            </w:pPr>
            <w:r>
              <w:rPr>
                <w:rFonts w:ascii="游ゴシック" w:hAnsi="游ゴシック" w:eastAsia="游ゴシック"/>
                <w:b w:val="0"/>
                <w:sz w:val="19"/>
              </w:rPr>
              <w:t>固定することの意味を金額で示す</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平成30年度から令和7年度までの7年間で＋12.93％（年率＋1.75％）でした。改定のあった年は平均＋1.42％、なかった年は平均＋2.20％で差が見られません。1人1月あたり利用日数・回数の伸びは年率＋0.25％（中央値）にとどまるため、残りは加算の算定と要介護度の重度化によるものとみられます。単価を基準年度で固定することは、この趨勢を落とすことになります。月額への効きは、給付費1％当たりの月額に、趨勢を織り込んだ場合の給付費の増加率を乗じて求めます（基準年度から各年度までの年数で複利に効きます）。</w:t>
      </w:r>
    </w:p>
    <w:p>
      <w:pPr>
        <w:keepNext/>
        <w:spacing w:before="180" w:after="60"/>
      </w:pPr>
      <w:r>
        <w:rPr>
          <w:rFonts w:ascii="游ゴシック" w:hAnsi="游ゴシック" w:eastAsia="游ゴシック"/>
          <w:b/>
          <w:sz w:val="22"/>
        </w:rPr>
        <w:t>3　報酬改定が計画期間の初年度に当たる場合</w:t>
      </w:r>
    </w:p>
    <w:p>
      <w:r>
        <w:rPr>
          <w:rFonts w:ascii="游ゴシック" w:hAnsi="游ゴシック" w:eastAsia="游ゴシック"/>
          <w:b w:val="0"/>
          <w:sz w:val="21"/>
        </w:rPr>
        <w:t>介護報酬の改定は3年ごとに行われ、計画期間の初年度に当たります。改定率は計画の策定作業の途中では告示されていません。改定率を0と置くことは、改定がないと置くことではなく、「示されていないため置かない」ことである点を計画に明記します。</w:t>
      </w:r>
    </w:p>
    <w:p>
      <w:r>
        <w:rPr>
          <w:rFonts w:ascii="游ゴシック" w:hAnsi="游ゴシック" w:eastAsia="游ゴシック"/>
          <w:b w:val="0"/>
          <w:sz w:val="21"/>
        </w:rPr>
        <w:t>備えとして、改定率1％あたりの月額を先に算定しておきます。告示された時点で乗じるだけで済みます。</w:t>
      </w:r>
    </w:p>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改定率1％あたりの月額は＋61円です。給付費が1％増えると月額が61円上がることによります。</w:t>
      </w:r>
    </w:p>
    <w:p>
      <w:pPr>
        <w:ind w:left="227"/>
      </w:pPr>
      <w:r>
        <w:rPr>
          <w:rFonts w:ascii="游ゴシック" w:hAnsi="游ゴシック" w:eastAsia="游ゴシック"/>
          <w:b w:val="0"/>
          <w:sz w:val="18"/>
        </w:rPr>
        <w:t>※ 報酬改定率の見通しについて、民間の情報サイトや業界紙を出典に用いることは勧めません。告示・通知・審議会資料などの原典に限ります。</w:t>
      </w:r>
    </w:p>
    <w:p>
      <w:pPr>
        <w:keepNext/>
        <w:spacing w:before="180" w:after="60"/>
      </w:pPr>
      <w:r>
        <w:rPr>
          <w:rFonts w:ascii="游ゴシック" w:hAnsi="游ゴシック" w:eastAsia="游ゴシック"/>
          <w:b/>
          <w:sz w:val="22"/>
        </w:rPr>
        <w:t>4　給付適正化との整合</w:t>
      </w:r>
    </w:p>
    <w:p>
      <w:r>
        <w:rPr>
          <w:rFonts w:ascii="游ゴシック" w:hAnsi="游ゴシック" w:eastAsia="游ゴシック"/>
          <w:b w:val="0"/>
          <w:sz w:val="21"/>
        </w:rPr>
        <w:t>給付適正化の取組は給付費を抑える向きに働き、伸びの補正は対象サービスを増やす向きに働くことがあります。両者を同時に置くと、同じサービスを二重に扱うことになります。対象サービスが総給付費に占める割合を先に測り、効きの大きさを確かめたうえで整理します。</w:t>
      </w:r>
    </w:p>
    <w:p>
      <w:pPr>
        <w:keepNext/>
        <w:spacing w:before="160" w:after="40"/>
      </w:pPr>
      <w:r>
        <w:rPr>
          <w:rFonts w:ascii="游ゴシック" w:hAnsi="游ゴシック" w:eastAsia="游ゴシック"/>
          <w:b/>
          <w:sz w:val="20"/>
        </w:rPr>
        <w:t>表13　給付適正化と見込量の整理</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9"/>
              </w:rPr>
              <w:t>確認すること</w:t>
            </w:r>
          </w:p>
        </w:tc>
        <w:tc>
          <w:tcPr>
            <w:tcW w:type="dxa" w:w="3628"/>
            <w:shd w:val="clear" w:color="auto" w:fill="1F3864"/>
            <w:vAlign w:val="center"/>
          </w:tcPr>
          <w:p>
            <w:pPr>
              <w:spacing w:after="0"/>
              <w:jc w:val="center"/>
            </w:pPr>
            <w:r>
              <w:rPr>
                <w:rFonts w:ascii="游ゴシック" w:hAnsi="游ゴシック" w:eastAsia="游ゴシック"/>
                <w:b/>
                <w:color w:val="FFFFFF"/>
                <w:sz w:val="19"/>
              </w:rPr>
              <w:t>測り方</w:t>
            </w:r>
          </w:p>
        </w:tc>
        <w:tc>
          <w:tcPr>
            <w:tcW w:type="dxa" w:w="3515"/>
            <w:shd w:val="clear" w:color="auto" w:fill="1F3864"/>
            <w:vAlign w:val="center"/>
          </w:tcPr>
          <w:p>
            <w:pPr>
              <w:spacing w:after="0"/>
              <w:jc w:val="center"/>
            </w:pPr>
            <w:r>
              <w:rPr>
                <w:rFonts w:ascii="游ゴシック" w:hAnsi="游ゴシック" w:eastAsia="游ゴシック"/>
                <w:b/>
                <w:color w:val="FFFFFF"/>
                <w:sz w:val="19"/>
              </w:rPr>
              <w:t>判断</w:t>
            </w:r>
          </w:p>
        </w:tc>
      </w:tr>
      <w:tr>
        <w:trPr>
          <w:cantSplit/>
        </w:trPr>
        <w:tc>
          <w:tcPr>
            <w:tcW w:type="dxa" w:w="2608"/>
            <w:vAlign w:val="center"/>
          </w:tcPr>
          <w:p>
            <w:pPr>
              <w:spacing w:after="0"/>
            </w:pPr>
            <w:r>
              <w:rPr>
                <w:rFonts w:ascii="游ゴシック" w:hAnsi="游ゴシック" w:eastAsia="游ゴシック"/>
                <w:b w:val="0"/>
                <w:sz w:val="19"/>
              </w:rPr>
              <w:t>対象サービスが総給付費に占める割合</w:t>
            </w:r>
          </w:p>
        </w:tc>
        <w:tc>
          <w:tcPr>
            <w:tcW w:type="dxa" w:w="3628"/>
            <w:vAlign w:val="center"/>
          </w:tcPr>
          <w:p>
            <w:pPr>
              <w:spacing w:after="0"/>
            </w:pPr>
            <w:r>
              <w:rPr>
                <w:rFonts w:ascii="游ゴシック" w:hAnsi="游ゴシック" w:eastAsia="游ゴシック"/>
                <w:b w:val="0"/>
                <w:sz w:val="19"/>
              </w:rPr>
              <w:t>適正化の対象4事業に対応するサービスの給付費の合計÷総給付費</w:t>
            </w:r>
          </w:p>
        </w:tc>
        <w:tc>
          <w:tcPr>
            <w:tcW w:type="dxa" w:w="3515"/>
            <w:vAlign w:val="center"/>
          </w:tcPr>
          <w:p>
            <w:pPr>
              <w:spacing w:after="0"/>
            </w:pPr>
            <w:r>
              <w:rPr>
                <w:rFonts w:ascii="游ゴシック" w:hAnsi="游ゴシック" w:eastAsia="游ゴシック"/>
                <w:b w:val="0"/>
                <w:sz w:val="19"/>
              </w:rPr>
              <w:t>割合が小さければ、抑制率を大きく置いても月額は動かない</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伸びの補正が対象サービスをどちらへ動かすか</w:t>
            </w:r>
          </w:p>
        </w:tc>
        <w:tc>
          <w:tcPr>
            <w:tcW w:type="dxa" w:w="3628"/>
            <w:shd w:val="clear" w:color="auto" w:fill="F2F5FA"/>
            <w:vAlign w:val="center"/>
          </w:tcPr>
          <w:p>
            <w:pPr>
              <w:spacing w:after="0"/>
            </w:pPr>
            <w:r>
              <w:rPr>
                <w:rFonts w:ascii="游ゴシック" w:hAnsi="游ゴシック" w:eastAsia="游ゴシック"/>
                <w:b w:val="0"/>
                <w:sz w:val="19"/>
              </w:rPr>
              <w:t>補正後の伸びと一律の伸びの差をサービス別に見る</w:t>
            </w:r>
          </w:p>
        </w:tc>
        <w:tc>
          <w:tcPr>
            <w:tcW w:type="dxa" w:w="3515"/>
            <w:shd w:val="clear" w:color="auto" w:fill="F2F5FA"/>
            <w:vAlign w:val="center"/>
          </w:tcPr>
          <w:p>
            <w:pPr>
              <w:spacing w:after="0"/>
            </w:pPr>
            <w:r>
              <w:rPr>
                <w:rFonts w:ascii="游ゴシック" w:hAnsi="游ゴシック" w:eastAsia="游ゴシック"/>
                <w:b w:val="0"/>
                <w:sz w:val="19"/>
              </w:rPr>
              <w:t>増やす向きに働くものがあれば、適正化と逆になる</w:t>
            </w:r>
          </w:p>
        </w:tc>
      </w:tr>
      <w:tr>
        <w:trPr>
          <w:cantSplit/>
        </w:trPr>
        <w:tc>
          <w:tcPr>
            <w:tcW w:type="dxa" w:w="2608"/>
            <w:vAlign w:val="center"/>
          </w:tcPr>
          <w:p>
            <w:pPr>
              <w:spacing w:after="0"/>
            </w:pPr>
            <w:r>
              <w:rPr>
                <w:rFonts w:ascii="游ゴシック" w:hAnsi="游ゴシック" w:eastAsia="游ゴシック"/>
                <w:b w:val="0"/>
                <w:sz w:val="19"/>
              </w:rPr>
              <w:t>見込量に織り込むか、施策として別に置くか</w:t>
            </w:r>
          </w:p>
        </w:tc>
        <w:tc>
          <w:tcPr>
            <w:tcW w:type="dxa" w:w="3628"/>
            <w:vAlign w:val="center"/>
          </w:tcPr>
          <w:p>
            <w:pPr>
              <w:spacing w:after="0"/>
            </w:pPr>
            <w:r>
              <w:rPr>
                <w:rFonts w:ascii="游ゴシック" w:hAnsi="游ゴシック" w:eastAsia="游ゴシック"/>
                <w:b w:val="0"/>
                <w:sz w:val="19"/>
              </w:rPr>
              <w:t>織り込むと施策の達成を前提に給付費を下げることになる</w:t>
            </w:r>
          </w:p>
        </w:tc>
        <w:tc>
          <w:tcPr>
            <w:tcW w:type="dxa" w:w="3515"/>
            <w:vAlign w:val="center"/>
          </w:tcPr>
          <w:p>
            <w:pPr>
              <w:spacing w:after="0"/>
            </w:pPr>
            <w:r>
              <w:rPr>
                <w:rFonts w:ascii="游ゴシック" w:hAnsi="游ゴシック" w:eastAsia="游ゴシック"/>
                <w:b w:val="0"/>
                <w:sz w:val="19"/>
              </w:rPr>
              <w:t>自然体推計とし、適正化は施策として別に置くのが基本</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適正化の対象サービスは総給付費の7.70％でした。10％抑制できたとしても月額は▲47円にとどまります。一方、伸びの補正は対象4件のうち3件を増やす向きに働きます。見込量は自然体推計とし、適正化は施策として別に置く整理としました。</w:t>
      </w:r>
    </w:p>
    <w:p>
      <w:r>
        <w:br w:type="page"/>
      </w:r>
    </w:p>
    <w:p>
      <w:pPr>
        <w:keepNext/>
        <w:spacing w:before="320" w:after="120"/>
      </w:pPr>
      <w:r>
        <w:rPr>
          <w:rFonts w:ascii="游ゴシック" w:hAnsi="游ゴシック" w:eastAsia="游ゴシック"/>
          <w:b/>
          <w:color w:val="1F3864"/>
          <w:sz w:val="26"/>
        </w:rPr>
        <w:t>第11章　記載事項の網羅点検</w:t>
      </w:r>
    </w:p>
    <w:p>
      <w:pPr>
        <w:keepNext/>
        <w:spacing w:before="180" w:after="60"/>
      </w:pPr>
      <w:r>
        <w:rPr>
          <w:rFonts w:ascii="游ゴシック" w:hAnsi="游ゴシック" w:eastAsia="游ゴシック"/>
          <w:b/>
          <w:sz w:val="22"/>
        </w:rPr>
        <w:t>1　見込量の算定だけでは記載事項を満たさない</w:t>
      </w:r>
    </w:p>
    <w:p>
      <w:r>
        <w:rPr>
          <w:rFonts w:ascii="游ゴシック" w:hAnsi="游ゴシック" w:eastAsia="游ゴシック"/>
          <w:b w:val="0"/>
          <w:sz w:val="21"/>
        </w:rPr>
        <w:t>サービス種類ごとの量の見込みを算定しても、計画に定めるべき事項がそろうわけではありません。算定の作業に入る前と、算定を終えた後の2回、記載事項に対する漏れを点検します。</w:t>
      </w:r>
    </w:p>
    <w:p>
      <w:r>
        <w:rPr>
          <w:rFonts w:ascii="游ゴシック" w:hAnsi="游ゴシック" w:eastAsia="游ゴシック"/>
          <w:b w:val="0"/>
          <w:sz w:val="21"/>
        </w:rPr>
        <w:t>点検の軸は3つです。①介護保険法第117条第2項（基本的記載事項）及び第3項（任意記載事項）、②直近の法改正により追加・変更された記載事項、③国の基本指針が記載の充実を求める事項です。①は条文に、②は改正法の条文と施行期日に、③は基本指針の告示又は審議会資料に当たります。</w:t>
      </w:r>
    </w:p>
    <w:p>
      <w:pPr>
        <w:keepNext/>
        <w:spacing w:before="160" w:after="40"/>
      </w:pPr>
      <w:r>
        <w:rPr>
          <w:rFonts w:ascii="游ゴシック" w:hAnsi="游ゴシック" w:eastAsia="游ゴシック"/>
          <w:b/>
          <w:sz w:val="20"/>
        </w:rPr>
        <w:t>表14　記載事項の点検の軸</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9"/>
              </w:rPr>
              <w:t>軸</w:t>
            </w:r>
          </w:p>
        </w:tc>
        <w:tc>
          <w:tcPr>
            <w:tcW w:type="dxa" w:w="3969"/>
            <w:shd w:val="clear" w:color="auto" w:fill="1F3864"/>
            <w:vAlign w:val="center"/>
          </w:tcPr>
          <w:p>
            <w:pPr>
              <w:spacing w:after="0"/>
              <w:jc w:val="center"/>
            </w:pPr>
            <w:r>
              <w:rPr>
                <w:rFonts w:ascii="游ゴシック" w:hAnsi="游ゴシック" w:eastAsia="游ゴシック"/>
                <w:b/>
                <w:color w:val="FFFFFF"/>
                <w:sz w:val="19"/>
              </w:rPr>
              <w:t>見るもの</w:t>
            </w:r>
          </w:p>
        </w:tc>
        <w:tc>
          <w:tcPr>
            <w:tcW w:type="dxa" w:w="3742"/>
            <w:shd w:val="clear" w:color="auto" w:fill="1F3864"/>
            <w:vAlign w:val="center"/>
          </w:tcPr>
          <w:p>
            <w:pPr>
              <w:spacing w:after="0"/>
              <w:jc w:val="center"/>
            </w:pPr>
            <w:r>
              <w:rPr>
                <w:rFonts w:ascii="游ゴシック" w:hAnsi="游ゴシック" w:eastAsia="游ゴシック"/>
                <w:b/>
                <w:color w:val="FFFFFF"/>
                <w:sz w:val="19"/>
              </w:rPr>
              <w:t>落ちやすいもの</w:t>
            </w:r>
          </w:p>
        </w:tc>
      </w:tr>
      <w:tr>
        <w:trPr>
          <w:cantSplit/>
        </w:trPr>
        <w:tc>
          <w:tcPr>
            <w:tcW w:type="dxa" w:w="2041"/>
            <w:vAlign w:val="center"/>
          </w:tcPr>
          <w:p>
            <w:pPr>
              <w:spacing w:after="0"/>
            </w:pPr>
            <w:r>
              <w:rPr>
                <w:rFonts w:ascii="游ゴシック" w:hAnsi="游ゴシック" w:eastAsia="游ゴシック"/>
                <w:b w:val="0"/>
                <w:sz w:val="19"/>
              </w:rPr>
              <w:t>① 法の記載事項</w:t>
            </w:r>
          </w:p>
        </w:tc>
        <w:tc>
          <w:tcPr>
            <w:tcW w:type="dxa" w:w="3969"/>
            <w:vAlign w:val="center"/>
          </w:tcPr>
          <w:p>
            <w:pPr>
              <w:spacing w:after="0"/>
            </w:pPr>
            <w:r>
              <w:rPr>
                <w:rFonts w:ascii="游ゴシック" w:hAnsi="游ゴシック" w:eastAsia="游ゴシック"/>
                <w:b w:val="0"/>
                <w:sz w:val="19"/>
              </w:rPr>
              <w:t>第117条第2項各号（見込量、地域支援事業の量、取り組むべき施策、その目標）と第3項各号</w:t>
            </w:r>
          </w:p>
        </w:tc>
        <w:tc>
          <w:tcPr>
            <w:tcW w:type="dxa" w:w="3742"/>
            <w:vAlign w:val="center"/>
          </w:tcPr>
          <w:p>
            <w:pPr>
              <w:spacing w:after="0"/>
            </w:pPr>
            <w:r>
              <w:rPr>
                <w:rFonts w:ascii="游ゴシック" w:hAnsi="游ゴシック" w:eastAsia="游ゴシック"/>
                <w:b w:val="0"/>
                <w:sz w:val="19"/>
              </w:rPr>
              <w:t>地域支援事業の「量」の見込み。費用の額だけを置いて量を置き忘れる</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② 法改正による追加</w:t>
            </w:r>
          </w:p>
        </w:tc>
        <w:tc>
          <w:tcPr>
            <w:tcW w:type="dxa" w:w="3969"/>
            <w:shd w:val="clear" w:color="auto" w:fill="F2F5FA"/>
            <w:vAlign w:val="center"/>
          </w:tcPr>
          <w:p>
            <w:pPr>
              <w:spacing w:after="0"/>
            </w:pPr>
            <w:r>
              <w:rPr>
                <w:rFonts w:ascii="游ゴシック" w:hAnsi="游ゴシック" w:eastAsia="游ゴシック"/>
                <w:b w:val="0"/>
                <w:sz w:val="19"/>
              </w:rPr>
              <w:t>施行期日が計画期間の初日に当たる改正</w:t>
            </w:r>
          </w:p>
        </w:tc>
        <w:tc>
          <w:tcPr>
            <w:tcW w:type="dxa" w:w="3742"/>
            <w:shd w:val="clear" w:color="auto" w:fill="F2F5FA"/>
            <w:vAlign w:val="center"/>
          </w:tcPr>
          <w:p>
            <w:pPr>
              <w:spacing w:after="0"/>
            </w:pPr>
            <w:r>
              <w:rPr>
                <w:rFonts w:ascii="游ゴシック" w:hAnsi="游ゴシック" w:eastAsia="游ゴシック"/>
                <w:b w:val="0"/>
                <w:sz w:val="19"/>
              </w:rPr>
              <w:t>新設されるサービス区分。中長期推計の必須化</w:t>
            </w:r>
          </w:p>
        </w:tc>
      </w:tr>
      <w:tr>
        <w:trPr>
          <w:cantSplit/>
        </w:trPr>
        <w:tc>
          <w:tcPr>
            <w:tcW w:type="dxa" w:w="2041"/>
            <w:vAlign w:val="center"/>
          </w:tcPr>
          <w:p>
            <w:pPr>
              <w:spacing w:after="0"/>
            </w:pPr>
            <w:r>
              <w:rPr>
                <w:rFonts w:ascii="游ゴシック" w:hAnsi="游ゴシック" w:eastAsia="游ゴシック"/>
                <w:b w:val="0"/>
                <w:sz w:val="19"/>
              </w:rPr>
              <w:t>③ 基本指針の記載充実事項</w:t>
            </w:r>
          </w:p>
        </w:tc>
        <w:tc>
          <w:tcPr>
            <w:tcW w:type="dxa" w:w="3969"/>
            <w:vAlign w:val="center"/>
          </w:tcPr>
          <w:p>
            <w:pPr>
              <w:spacing w:after="0"/>
            </w:pPr>
            <w:r>
              <w:rPr>
                <w:rFonts w:ascii="游ゴシック" w:hAnsi="游ゴシック" w:eastAsia="游ゴシック"/>
                <w:b w:val="0"/>
                <w:sz w:val="19"/>
              </w:rPr>
              <w:t>中長期推計、時間軸・地域軸、医療介護連携、高齢者向け住まい、人材確保・生産性向上</w:t>
            </w:r>
          </w:p>
        </w:tc>
        <w:tc>
          <w:tcPr>
            <w:tcW w:type="dxa" w:w="3742"/>
            <w:vAlign w:val="center"/>
          </w:tcPr>
          <w:p>
            <w:pPr>
              <w:spacing w:after="0"/>
            </w:pPr>
            <w:r>
              <w:rPr>
                <w:rFonts w:ascii="游ゴシック" w:hAnsi="游ゴシック" w:eastAsia="游ゴシック"/>
                <w:b w:val="0"/>
                <w:sz w:val="19"/>
              </w:rPr>
              <w:t>需要のみを推計し、供給の制約を置かない</w:t>
            </w:r>
          </w:p>
        </w:tc>
      </w:tr>
    </w:tbl>
    <w:p>
      <w:pPr>
        <w:keepNext/>
        <w:spacing w:before="180" w:after="60"/>
      </w:pPr>
      <w:r>
        <w:rPr>
          <w:rFonts w:ascii="游ゴシック" w:hAnsi="游ゴシック" w:eastAsia="游ゴシック"/>
          <w:b/>
          <w:sz w:val="22"/>
        </w:rPr>
        <w:t>2　点検の様式</w:t>
      </w:r>
    </w:p>
    <w:p>
      <w:r>
        <w:rPr>
          <w:rFonts w:ascii="游ゴシック" w:hAnsi="游ゴシック" w:eastAsia="游ゴシック"/>
          <w:b w:val="0"/>
          <w:sz w:val="21"/>
        </w:rPr>
        <w:t>記載事項ごとに、算定における取扱いと判定（対応・一部対応・未対応）を並べます。未対応と判定したものには、必ず是正の方針を書きます。方針が書けないものは、確認事項として保険者の判断にかけます。</w:t>
      </w:r>
    </w:p>
    <w:p>
      <w:r>
        <w:rPr>
          <w:rFonts w:ascii="游ゴシック" w:hAnsi="游ゴシック" w:eastAsia="游ゴシック"/>
          <w:b w:val="0"/>
          <w:sz w:val="21"/>
        </w:rPr>
        <w:t>判定は、計画本文に記載があるかどうかではなく、算定に反映されているかどうかで行います。本文に方針だけを書いて算定に反映していない状態は「一部対応」です。</w:t>
      </w:r>
    </w:p>
    <w:p>
      <w:pPr>
        <w:keepNext/>
        <w:spacing w:before="160" w:after="40"/>
      </w:pPr>
      <w:r>
        <w:rPr>
          <w:rFonts w:ascii="游ゴシック" w:hAnsi="游ゴシック" w:eastAsia="游ゴシック"/>
          <w:b/>
          <w:sz w:val="20"/>
        </w:rPr>
        <w:t>表15　記載事項の網羅点検の様式</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spacing w:after="0"/>
              <w:jc w:val="center"/>
            </w:pPr>
            <w:r>
              <w:rPr>
                <w:rFonts w:ascii="游ゴシック" w:hAnsi="游ゴシック" w:eastAsia="游ゴシック"/>
                <w:b/>
                <w:color w:val="FFFFFF"/>
                <w:sz w:val="19"/>
              </w:rPr>
              <w:t>列</w:t>
            </w:r>
          </w:p>
        </w:tc>
        <w:tc>
          <w:tcPr>
            <w:tcW w:type="dxa" w:w="3628"/>
            <w:shd w:val="clear" w:color="auto" w:fill="1F3864"/>
            <w:vAlign w:val="center"/>
          </w:tcPr>
          <w:p>
            <w:pPr>
              <w:spacing w:after="0"/>
              <w:jc w:val="center"/>
            </w:pPr>
            <w:r>
              <w:rPr>
                <w:rFonts w:ascii="游ゴシック" w:hAnsi="游ゴシック" w:eastAsia="游ゴシック"/>
                <w:b/>
                <w:color w:val="FFFFFF"/>
                <w:sz w:val="19"/>
              </w:rPr>
              <w:t>書くこと</w:t>
            </w:r>
          </w:p>
        </w:tc>
        <w:tc>
          <w:tcPr>
            <w:tcW w:type="dxa" w:w="4422"/>
            <w:shd w:val="clear" w:color="auto" w:fill="1F3864"/>
            <w:vAlign w:val="center"/>
          </w:tcPr>
          <w:p>
            <w:pPr>
              <w:spacing w:after="0"/>
              <w:jc w:val="center"/>
            </w:pPr>
            <w:r>
              <w:rPr>
                <w:rFonts w:ascii="游ゴシック" w:hAnsi="游ゴシック" w:eastAsia="游ゴシック"/>
                <w:b/>
                <w:color w:val="FFFFFF"/>
                <w:sz w:val="19"/>
              </w:rPr>
              <w:t>留意点</w:t>
            </w:r>
          </w:p>
        </w:tc>
      </w:tr>
      <w:tr>
        <w:trPr>
          <w:cantSplit/>
        </w:trPr>
        <w:tc>
          <w:tcPr>
            <w:tcW w:type="dxa" w:w="1701"/>
            <w:vAlign w:val="center"/>
          </w:tcPr>
          <w:p>
            <w:pPr>
              <w:spacing w:after="0"/>
            </w:pPr>
            <w:r>
              <w:rPr>
                <w:rFonts w:ascii="游ゴシック" w:hAnsi="游ゴシック" w:eastAsia="游ゴシック"/>
                <w:b w:val="0"/>
                <w:sz w:val="19"/>
              </w:rPr>
              <w:t>区分</w:t>
            </w:r>
          </w:p>
        </w:tc>
        <w:tc>
          <w:tcPr>
            <w:tcW w:type="dxa" w:w="3628"/>
            <w:vAlign w:val="center"/>
          </w:tcPr>
          <w:p>
            <w:pPr>
              <w:spacing w:after="0"/>
            </w:pPr>
            <w:r>
              <w:rPr>
                <w:rFonts w:ascii="游ゴシック" w:hAnsi="游ゴシック" w:eastAsia="游ゴシック"/>
                <w:b w:val="0"/>
                <w:sz w:val="19"/>
              </w:rPr>
              <w:t>法・改正法・基本指針の別</w:t>
            </w:r>
          </w:p>
        </w:tc>
        <w:tc>
          <w:tcPr>
            <w:tcW w:type="dxa" w:w="4422"/>
            <w:vAlign w:val="center"/>
          </w:tcPr>
          <w:p>
            <w:pPr>
              <w:spacing w:after="0"/>
            </w:pPr>
            <w:r>
              <w:rPr>
                <w:rFonts w:ascii="游ゴシック" w:hAnsi="游ゴシック" w:eastAsia="游ゴシック"/>
                <w:b w:val="0"/>
                <w:sz w:val="19"/>
              </w:rPr>
              <w:t>根拠に当たれないものは推測で書かない</w:t>
            </w:r>
          </w:p>
        </w:tc>
      </w:tr>
      <w:tr>
        <w:trPr>
          <w:cantSplit/>
        </w:trPr>
        <w:tc>
          <w:tcPr>
            <w:tcW w:type="dxa" w:w="1701"/>
            <w:shd w:val="clear" w:color="auto" w:fill="F2F5FA"/>
            <w:vAlign w:val="center"/>
          </w:tcPr>
          <w:p>
            <w:pPr>
              <w:spacing w:after="0"/>
            </w:pPr>
            <w:r>
              <w:rPr>
                <w:rFonts w:ascii="游ゴシック" w:hAnsi="游ゴシック" w:eastAsia="游ゴシック"/>
                <w:b w:val="0"/>
                <w:sz w:val="19"/>
              </w:rPr>
              <w:t>根拠</w:t>
            </w:r>
          </w:p>
        </w:tc>
        <w:tc>
          <w:tcPr>
            <w:tcW w:type="dxa" w:w="3628"/>
            <w:shd w:val="clear" w:color="auto" w:fill="F2F5FA"/>
            <w:vAlign w:val="center"/>
          </w:tcPr>
          <w:p>
            <w:pPr>
              <w:spacing w:after="0"/>
            </w:pPr>
            <w:r>
              <w:rPr>
                <w:rFonts w:ascii="游ゴシック" w:hAnsi="游ゴシック" w:eastAsia="游ゴシック"/>
                <w:b w:val="0"/>
                <w:sz w:val="19"/>
              </w:rPr>
              <w:t>条項号又は指針の該当箇所</w:t>
            </w:r>
          </w:p>
        </w:tc>
        <w:tc>
          <w:tcPr>
            <w:tcW w:type="dxa" w:w="4422"/>
            <w:shd w:val="clear" w:color="auto" w:fill="F2F5FA"/>
            <w:vAlign w:val="center"/>
          </w:tcPr>
          <w:p>
            <w:pPr>
              <w:spacing w:after="0"/>
            </w:pPr>
            <w:r>
              <w:rPr>
                <w:rFonts w:ascii="游ゴシック" w:hAnsi="游ゴシック" w:eastAsia="游ゴシック"/>
                <w:b w:val="0"/>
                <w:sz w:val="19"/>
              </w:rPr>
              <w:t>条文で確認できないものはその旨を記す</w:t>
            </w:r>
          </w:p>
        </w:tc>
      </w:tr>
      <w:tr>
        <w:trPr>
          <w:cantSplit/>
        </w:trPr>
        <w:tc>
          <w:tcPr>
            <w:tcW w:type="dxa" w:w="1701"/>
            <w:vAlign w:val="center"/>
          </w:tcPr>
          <w:p>
            <w:pPr>
              <w:spacing w:after="0"/>
            </w:pPr>
            <w:r>
              <w:rPr>
                <w:rFonts w:ascii="游ゴシック" w:hAnsi="游ゴシック" w:eastAsia="游ゴシック"/>
                <w:b w:val="0"/>
                <w:sz w:val="19"/>
              </w:rPr>
              <w:t>記載事項</w:t>
            </w:r>
          </w:p>
        </w:tc>
        <w:tc>
          <w:tcPr>
            <w:tcW w:type="dxa" w:w="3628"/>
            <w:vAlign w:val="center"/>
          </w:tcPr>
          <w:p>
            <w:pPr>
              <w:spacing w:after="0"/>
            </w:pPr>
            <w:r>
              <w:rPr>
                <w:rFonts w:ascii="游ゴシック" w:hAnsi="游ゴシック" w:eastAsia="游ゴシック"/>
                <w:b w:val="0"/>
                <w:sz w:val="19"/>
              </w:rPr>
              <w:t>定めるべき事項</w:t>
            </w:r>
          </w:p>
        </w:tc>
        <w:tc>
          <w:tcPr>
            <w:tcW w:type="dxa" w:w="4422"/>
            <w:vAlign w:val="center"/>
          </w:tcPr>
          <w:p>
            <w:pPr>
              <w:spacing w:after="0"/>
            </w:pPr>
            <w:r>
              <w:rPr>
                <w:rFonts w:ascii="游ゴシック" w:hAnsi="游ゴシック" w:eastAsia="游ゴシック"/>
                <w:b w:val="0"/>
                <w:sz w:val="19"/>
              </w:rPr>
              <w:t>条文の文言をそのまま用いる</w:t>
            </w:r>
          </w:p>
        </w:tc>
      </w:tr>
      <w:tr>
        <w:trPr>
          <w:cantSplit/>
        </w:trPr>
        <w:tc>
          <w:tcPr>
            <w:tcW w:type="dxa" w:w="1701"/>
            <w:shd w:val="clear" w:color="auto" w:fill="F2F5FA"/>
            <w:vAlign w:val="center"/>
          </w:tcPr>
          <w:p>
            <w:pPr>
              <w:spacing w:after="0"/>
            </w:pPr>
            <w:r>
              <w:rPr>
                <w:rFonts w:ascii="游ゴシック" w:hAnsi="游ゴシック" w:eastAsia="游ゴシック"/>
                <w:b w:val="0"/>
                <w:sz w:val="19"/>
              </w:rPr>
              <w:t>算定における取扱い</w:t>
            </w:r>
          </w:p>
        </w:tc>
        <w:tc>
          <w:tcPr>
            <w:tcW w:type="dxa" w:w="3628"/>
            <w:shd w:val="clear" w:color="auto" w:fill="F2F5FA"/>
            <w:vAlign w:val="center"/>
          </w:tcPr>
          <w:p>
            <w:pPr>
              <w:spacing w:after="0"/>
            </w:pPr>
            <w:r>
              <w:rPr>
                <w:rFonts w:ascii="游ゴシック" w:hAnsi="游ゴシック" w:eastAsia="游ゴシック"/>
                <w:b w:val="0"/>
                <w:sz w:val="19"/>
              </w:rPr>
              <w:t>どのシート・どの式で扱っているか</w:t>
            </w:r>
          </w:p>
        </w:tc>
        <w:tc>
          <w:tcPr>
            <w:tcW w:type="dxa" w:w="4422"/>
            <w:shd w:val="clear" w:color="auto" w:fill="F2F5FA"/>
            <w:vAlign w:val="center"/>
          </w:tcPr>
          <w:p>
            <w:pPr>
              <w:spacing w:after="0"/>
            </w:pPr>
            <w:r>
              <w:rPr>
                <w:rFonts w:ascii="游ゴシック" w:hAnsi="游ゴシック" w:eastAsia="游ゴシック"/>
                <w:b w:val="0"/>
                <w:sz w:val="19"/>
              </w:rPr>
              <w:t>扱っていない場合はその旨と理由</w:t>
            </w:r>
          </w:p>
        </w:tc>
      </w:tr>
      <w:tr>
        <w:trPr>
          <w:cantSplit/>
        </w:trPr>
        <w:tc>
          <w:tcPr>
            <w:tcW w:type="dxa" w:w="1701"/>
            <w:vAlign w:val="center"/>
          </w:tcPr>
          <w:p>
            <w:pPr>
              <w:spacing w:after="0"/>
            </w:pPr>
            <w:r>
              <w:rPr>
                <w:rFonts w:ascii="游ゴシック" w:hAnsi="游ゴシック" w:eastAsia="游ゴシック"/>
                <w:b w:val="0"/>
                <w:sz w:val="19"/>
              </w:rPr>
              <w:t>判定</w:t>
            </w:r>
          </w:p>
        </w:tc>
        <w:tc>
          <w:tcPr>
            <w:tcW w:type="dxa" w:w="3628"/>
            <w:vAlign w:val="center"/>
          </w:tcPr>
          <w:p>
            <w:pPr>
              <w:spacing w:after="0"/>
            </w:pPr>
            <w:r>
              <w:rPr>
                <w:rFonts w:ascii="游ゴシック" w:hAnsi="游ゴシック" w:eastAsia="游ゴシック"/>
                <w:b w:val="0"/>
                <w:sz w:val="19"/>
              </w:rPr>
              <w:t>対応・一部対応・未対応</w:t>
            </w:r>
          </w:p>
        </w:tc>
        <w:tc>
          <w:tcPr>
            <w:tcW w:type="dxa" w:w="4422"/>
            <w:vAlign w:val="center"/>
          </w:tcPr>
          <w:p>
            <w:pPr>
              <w:spacing w:after="0"/>
            </w:pPr>
            <w:r>
              <w:rPr>
                <w:rFonts w:ascii="游ゴシック" w:hAnsi="游ゴシック" w:eastAsia="游ゴシック"/>
                <w:b w:val="0"/>
                <w:sz w:val="19"/>
              </w:rPr>
              <w:t>本文の記載の有無ではなく算定への反映で見る</w:t>
            </w:r>
          </w:p>
        </w:tc>
      </w:tr>
      <w:tr>
        <w:trPr>
          <w:cantSplit/>
        </w:trPr>
        <w:tc>
          <w:tcPr>
            <w:tcW w:type="dxa" w:w="1701"/>
            <w:shd w:val="clear" w:color="auto" w:fill="F2F5FA"/>
            <w:vAlign w:val="center"/>
          </w:tcPr>
          <w:p>
            <w:pPr>
              <w:spacing w:after="0"/>
            </w:pPr>
            <w:r>
              <w:rPr>
                <w:rFonts w:ascii="游ゴシック" w:hAnsi="游ゴシック" w:eastAsia="游ゴシック"/>
                <w:b w:val="0"/>
                <w:sz w:val="19"/>
              </w:rPr>
              <w:t>確認事項</w:t>
            </w:r>
          </w:p>
        </w:tc>
        <w:tc>
          <w:tcPr>
            <w:tcW w:type="dxa" w:w="3628"/>
            <w:shd w:val="clear" w:color="auto" w:fill="F2F5FA"/>
            <w:vAlign w:val="center"/>
          </w:tcPr>
          <w:p>
            <w:pPr>
              <w:spacing w:after="0"/>
            </w:pPr>
            <w:r>
              <w:rPr>
                <w:rFonts w:ascii="游ゴシック" w:hAnsi="游ゴシック" w:eastAsia="游ゴシック"/>
                <w:b w:val="0"/>
                <w:sz w:val="19"/>
              </w:rPr>
              <w:t>未対応・一部対応のものに付す番号</w:t>
            </w:r>
          </w:p>
        </w:tc>
        <w:tc>
          <w:tcPr>
            <w:tcW w:type="dxa" w:w="4422"/>
            <w:shd w:val="clear" w:color="auto" w:fill="F2F5FA"/>
            <w:vAlign w:val="center"/>
          </w:tcPr>
          <w:p>
            <w:pPr>
              <w:spacing w:after="0"/>
            </w:pPr>
            <w:r>
              <w:rPr>
                <w:rFonts w:ascii="游ゴシック" w:hAnsi="游ゴシック" w:eastAsia="游ゴシック"/>
                <w:b w:val="0"/>
                <w:sz w:val="19"/>
              </w:rPr>
              <w:t>本文には注記せず、確認事項の一覧で管理する</w:t>
            </w:r>
          </w:p>
        </w:tc>
      </w:tr>
    </w:tbl>
    <w:p>
      <w:pPr>
        <w:spacing w:before="80"/>
        <w:ind w:left="227"/>
      </w:pPr>
      <w:r>
        <w:rPr>
          <w:rFonts w:ascii="游ゴシック" w:hAnsi="游ゴシック" w:eastAsia="游ゴシック"/>
          <w:b/>
          <w:color w:val="1F3864"/>
          <w:sz w:val="19"/>
        </w:rPr>
        <w:t>【適用例：大雪地区広域連合】</w:t>
      </w:r>
    </w:p>
    <w:p>
      <w:pPr>
        <w:ind w:left="227"/>
      </w:pPr>
      <w:r>
        <w:rPr>
          <w:rFonts w:ascii="游ゴシック" w:hAnsi="游ゴシック" w:eastAsia="游ゴシック"/>
          <w:b w:val="0"/>
          <w:sz w:val="19"/>
        </w:rPr>
        <w:t>26事項を点検し、対応5件・一部対応12件・未対応9件となりました。未対応のうち大きいものは、①中長期推計が認定者数にとどまり見込量・給付費・保険料に及んでいないこと、②地域支援事業が費用の額のみで量の見込みがないこと、③計画期間の初日に新設される区分を見込量に立てていないこと、④供給の制約（人材）を反映していないことの4件です。</w:t>
      </w:r>
    </w:p>
    <w:p>
      <w:pPr>
        <w:keepNext/>
        <w:spacing w:before="180" w:after="60"/>
      </w:pPr>
      <w:r>
        <w:rPr>
          <w:rFonts w:ascii="游ゴシック" w:hAnsi="游ゴシック" w:eastAsia="游ゴシック"/>
          <w:b/>
          <w:sz w:val="22"/>
        </w:rPr>
        <w:t>3　いつ行うか</w:t>
      </w:r>
    </w:p>
    <w:p>
      <w:pPr>
        <w:ind w:left="340" w:hanging="340"/>
      </w:pPr>
      <w:r>
        <w:rPr>
          <w:rFonts w:ascii="游ゴシック" w:hAnsi="游ゴシック" w:eastAsia="游ゴシック"/>
          <w:b w:val="0"/>
          <w:sz w:val="21"/>
        </w:rPr>
        <w:t>・算定に入る前：記載事項を並べ、必要なデータをそろえる段階で漏れを見つけます。後から見つけると、資料の照会が間に合いません。</w:t>
      </w:r>
    </w:p>
    <w:p>
      <w:pPr>
        <w:ind w:left="340" w:hanging="340"/>
      </w:pPr>
      <w:r>
        <w:rPr>
          <w:rFonts w:ascii="游ゴシック" w:hAnsi="游ゴシック" w:eastAsia="游ゴシック"/>
          <w:b w:val="0"/>
          <w:sz w:val="21"/>
        </w:rPr>
        <w:t>・算定を終えた後：算定に反映されたかどうかで判定し直します。本文に書いただけのものが残ります。</w:t>
      </w:r>
    </w:p>
    <w:p>
      <w:pPr>
        <w:ind w:left="340" w:hanging="340"/>
      </w:pPr>
      <w:r>
        <w:rPr>
          <w:rFonts w:ascii="游ゴシック" w:hAnsi="游ゴシック" w:eastAsia="游ゴシック"/>
          <w:b w:val="0"/>
          <w:sz w:val="21"/>
        </w:rPr>
        <w:t>・基本指針が告示された後：案の段階で整理したものを再照合します。</w:t>
      </w:r>
    </w:p>
    <w:p>
      <w:r>
        <w:br w:type="page"/>
      </w:r>
    </w:p>
    <w:p>
      <w:pPr>
        <w:keepNext/>
        <w:spacing w:before="320" w:after="120"/>
      </w:pPr>
      <w:r>
        <w:rPr>
          <w:rFonts w:ascii="游ゴシック" w:hAnsi="游ゴシック" w:eastAsia="游ゴシック"/>
          <w:b/>
          <w:color w:val="1F3864"/>
          <w:sz w:val="26"/>
        </w:rPr>
        <w:t>第12章　陥りやすい誤り</w:t>
      </w:r>
    </w:p>
    <w:p>
      <w:pPr>
        <w:keepNext/>
        <w:spacing w:before="160" w:after="40"/>
      </w:pPr>
      <w:r>
        <w:rPr>
          <w:rFonts w:ascii="游ゴシック" w:hAnsi="游ゴシック" w:eastAsia="游ゴシック"/>
          <w:b/>
          <w:sz w:val="20"/>
        </w:rPr>
        <w:t>表16　陥りやすい誤りと防ぎ方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誤り</w:t>
            </w:r>
          </w:p>
        </w:tc>
        <w:tc>
          <w:tcPr>
            <w:tcW w:type="dxa" w:w="3628"/>
            <w:shd w:val="clear" w:color="auto" w:fill="1F3864"/>
            <w:vAlign w:val="center"/>
          </w:tcPr>
          <w:p>
            <w:pPr>
              <w:spacing w:after="0"/>
              <w:jc w:val="center"/>
            </w:pPr>
            <w:r>
              <w:rPr>
                <w:rFonts w:ascii="游ゴシック" w:hAnsi="游ゴシック" w:eastAsia="游ゴシック"/>
                <w:b/>
                <w:color w:val="FFFFFF"/>
                <w:sz w:val="19"/>
              </w:rPr>
              <w:t>現れ方</w:t>
            </w:r>
          </w:p>
        </w:tc>
        <w:tc>
          <w:tcPr>
            <w:tcW w:type="dxa" w:w="3855"/>
            <w:shd w:val="clear" w:color="auto" w:fill="1F3864"/>
            <w:vAlign w:val="center"/>
          </w:tcPr>
          <w:p>
            <w:pPr>
              <w:spacing w:after="0"/>
              <w:jc w:val="center"/>
            </w:pPr>
            <w:r>
              <w:rPr>
                <w:rFonts w:ascii="游ゴシック" w:hAnsi="游ゴシック" w:eastAsia="游ゴシック"/>
                <w:b/>
                <w:color w:val="FFFFFF"/>
                <w:sz w:val="19"/>
              </w:rPr>
              <w:t>防ぎ方</w:t>
            </w:r>
          </w:p>
        </w:tc>
      </w:tr>
      <w:tr>
        <w:trPr>
          <w:cantSplit/>
        </w:trPr>
        <w:tc>
          <w:tcPr>
            <w:tcW w:type="dxa" w:w="2268"/>
            <w:vAlign w:val="center"/>
          </w:tcPr>
          <w:p>
            <w:pPr>
              <w:spacing w:after="0"/>
            </w:pPr>
            <w:r>
              <w:rPr>
                <w:rFonts w:ascii="游ゴシック" w:hAnsi="游ゴシック" w:eastAsia="游ゴシック"/>
                <w:b w:val="0"/>
                <w:sz w:val="19"/>
              </w:rPr>
              <w:t>定員と利用者数の取り違え</w:t>
            </w:r>
          </w:p>
        </w:tc>
        <w:tc>
          <w:tcPr>
            <w:tcW w:type="dxa" w:w="3628"/>
            <w:vAlign w:val="center"/>
          </w:tcPr>
          <w:p>
            <w:pPr>
              <w:spacing w:after="0"/>
            </w:pPr>
            <w:r>
              <w:rPr>
                <w:rFonts w:ascii="游ゴシック" w:hAnsi="游ゴシック" w:eastAsia="游ゴシック"/>
                <w:b w:val="0"/>
                <w:sz w:val="19"/>
              </w:rPr>
              <w:t>「月平均利用者数」を定員として掲げる。従業者数を定員として掲げる</w:t>
            </w:r>
          </w:p>
        </w:tc>
        <w:tc>
          <w:tcPr>
            <w:tcW w:type="dxa" w:w="3855"/>
            <w:vAlign w:val="center"/>
          </w:tcPr>
          <w:p>
            <w:pPr>
              <w:spacing w:after="0"/>
            </w:pPr>
            <w:r>
              <w:rPr>
                <w:rFonts w:ascii="游ゴシック" w:hAnsi="游ゴシック" w:eastAsia="游ゴシック"/>
                <w:b w:val="0"/>
                <w:sz w:val="19"/>
              </w:rPr>
              <w:t>列名ではなく資料の定義に当たる。定員は名簿から、利用者数は給付実績から取る</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年度途中の値を年度の値として扱う</w:t>
            </w:r>
          </w:p>
        </w:tc>
        <w:tc>
          <w:tcPr>
            <w:tcW w:type="dxa" w:w="3628"/>
            <w:shd w:val="clear" w:color="auto" w:fill="F2F5FA"/>
            <w:vAlign w:val="center"/>
          </w:tcPr>
          <w:p>
            <w:pPr>
              <w:spacing w:after="0"/>
            </w:pPr>
            <w:r>
              <w:rPr>
                <w:rFonts w:ascii="游ゴシック" w:hAnsi="游ゴシック" w:eastAsia="游ゴシック"/>
                <w:b w:val="0"/>
                <w:sz w:val="19"/>
              </w:rPr>
              <w:t>年度累計を12で除した値を月平均として扱う</w:t>
            </w:r>
          </w:p>
        </w:tc>
        <w:tc>
          <w:tcPr>
            <w:tcW w:type="dxa" w:w="3855"/>
            <w:shd w:val="clear" w:color="auto" w:fill="F2F5FA"/>
            <w:vAlign w:val="center"/>
          </w:tcPr>
          <w:p>
            <w:pPr>
              <w:spacing w:after="0"/>
            </w:pPr>
            <w:r>
              <w:rPr>
                <w:rFonts w:ascii="游ゴシック" w:hAnsi="游ゴシック" w:eastAsia="游ゴシック"/>
                <w:b w:val="0"/>
                <w:sz w:val="19"/>
              </w:rPr>
              <w:t>月数を実測する（第2章）</w:t>
            </w:r>
          </w:p>
        </w:tc>
      </w:tr>
      <w:tr>
        <w:trPr>
          <w:cantSplit/>
        </w:trPr>
        <w:tc>
          <w:tcPr>
            <w:tcW w:type="dxa" w:w="2268"/>
            <w:vAlign w:val="center"/>
          </w:tcPr>
          <w:p>
            <w:pPr>
              <w:spacing w:after="0"/>
            </w:pPr>
            <w:r>
              <w:rPr>
                <w:rFonts w:ascii="游ゴシック" w:hAnsi="游ゴシック" w:eastAsia="游ゴシック"/>
                <w:b w:val="0"/>
                <w:sz w:val="19"/>
              </w:rPr>
              <w:t>市町村合計と保険者単位の混在</w:t>
            </w:r>
          </w:p>
        </w:tc>
        <w:tc>
          <w:tcPr>
            <w:tcW w:type="dxa" w:w="3628"/>
            <w:vAlign w:val="center"/>
          </w:tcPr>
          <w:p>
            <w:pPr>
              <w:spacing w:after="0"/>
            </w:pPr>
            <w:r>
              <w:rPr>
                <w:rFonts w:ascii="游ゴシック" w:hAnsi="游ゴシック" w:eastAsia="游ゴシック"/>
                <w:b w:val="0"/>
                <w:sz w:val="19"/>
              </w:rPr>
              <w:t>分子と分母で出所が違う比を作る</w:t>
            </w:r>
          </w:p>
        </w:tc>
        <w:tc>
          <w:tcPr>
            <w:tcW w:type="dxa" w:w="3855"/>
            <w:vAlign w:val="center"/>
          </w:tcPr>
          <w:p>
            <w:pPr>
              <w:spacing w:after="0"/>
            </w:pPr>
            <w:r>
              <w:rPr>
                <w:rFonts w:ascii="游ゴシック" w:hAnsi="游ゴシック" w:eastAsia="游ゴシック"/>
                <w:b w:val="0"/>
                <w:sz w:val="19"/>
              </w:rPr>
              <w:t>比を作るときは分子と分母の出所をそろえる</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丸めた率から実数を作る</w:t>
            </w:r>
          </w:p>
        </w:tc>
        <w:tc>
          <w:tcPr>
            <w:tcW w:type="dxa" w:w="3628"/>
            <w:shd w:val="clear" w:color="auto" w:fill="F2F5FA"/>
            <w:vAlign w:val="center"/>
          </w:tcPr>
          <w:p>
            <w:pPr>
              <w:spacing w:after="0"/>
            </w:pPr>
            <w:r>
              <w:rPr>
                <w:rFonts w:ascii="游ゴシック" w:hAnsi="游ゴシック" w:eastAsia="游ゴシック"/>
                <w:b w:val="0"/>
                <w:sz w:val="19"/>
              </w:rPr>
              <w:t>小口のサービスが0になる</w:t>
            </w:r>
          </w:p>
        </w:tc>
        <w:tc>
          <w:tcPr>
            <w:tcW w:type="dxa" w:w="3855"/>
            <w:shd w:val="clear" w:color="auto" w:fill="F2F5FA"/>
            <w:vAlign w:val="center"/>
          </w:tcPr>
          <w:p>
            <w:pPr>
              <w:spacing w:after="0"/>
            </w:pPr>
            <w:r>
              <w:rPr>
                <w:rFonts w:ascii="游ゴシック" w:hAnsi="游ゴシック" w:eastAsia="游ゴシック"/>
                <w:b w:val="0"/>
                <w:sz w:val="19"/>
              </w:rPr>
              <w:t>刻みを計算し、測ろうとする効果と比べる（第3章）</w:t>
            </w:r>
          </w:p>
        </w:tc>
      </w:tr>
      <w:tr>
        <w:trPr>
          <w:cantSplit/>
        </w:trPr>
        <w:tc>
          <w:tcPr>
            <w:tcW w:type="dxa" w:w="2268"/>
            <w:vAlign w:val="center"/>
          </w:tcPr>
          <w:p>
            <w:pPr>
              <w:spacing w:after="0"/>
            </w:pPr>
            <w:r>
              <w:rPr>
                <w:rFonts w:ascii="游ゴシック" w:hAnsi="游ゴシック" w:eastAsia="游ゴシック"/>
                <w:b w:val="0"/>
                <w:sz w:val="19"/>
              </w:rPr>
              <w:t>内訳の二重計上</w:t>
            </w:r>
          </w:p>
        </w:tc>
        <w:tc>
          <w:tcPr>
            <w:tcW w:type="dxa" w:w="3628"/>
            <w:vAlign w:val="center"/>
          </w:tcPr>
          <w:p>
            <w:pPr>
              <w:spacing w:after="0"/>
            </w:pPr>
            <w:r>
              <w:rPr>
                <w:rFonts w:ascii="游ゴシック" w:hAnsi="游ゴシック" w:eastAsia="游ゴシック"/>
                <w:b w:val="0"/>
                <w:sz w:val="19"/>
              </w:rPr>
              <w:t>職種別の内訳を足して合計と別の値を作る</w:t>
            </w:r>
          </w:p>
        </w:tc>
        <w:tc>
          <w:tcPr>
            <w:tcW w:type="dxa" w:w="3855"/>
            <w:vAlign w:val="center"/>
          </w:tcPr>
          <w:p>
            <w:pPr>
              <w:spacing w:after="0"/>
            </w:pPr>
            <w:r>
              <w:rPr>
                <w:rFonts w:ascii="游ゴシック" w:hAnsi="游ゴシック" w:eastAsia="游ゴシック"/>
                <w:b w:val="0"/>
                <w:sz w:val="19"/>
              </w:rPr>
              <w:t>合計が公表されている場合は合計を用いる</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事業所数0を利用0と読む</w:t>
            </w:r>
          </w:p>
        </w:tc>
        <w:tc>
          <w:tcPr>
            <w:tcW w:type="dxa" w:w="3628"/>
            <w:shd w:val="clear" w:color="auto" w:fill="F2F5FA"/>
            <w:vAlign w:val="center"/>
          </w:tcPr>
          <w:p>
            <w:pPr>
              <w:spacing w:after="0"/>
            </w:pPr>
            <w:r>
              <w:rPr>
                <w:rFonts w:ascii="游ゴシック" w:hAnsi="游ゴシック" w:eastAsia="游ゴシック"/>
                <w:b w:val="0"/>
                <w:sz w:val="19"/>
              </w:rPr>
              <w:t>区域外事業所による給付を落とす</w:t>
            </w:r>
          </w:p>
        </w:tc>
        <w:tc>
          <w:tcPr>
            <w:tcW w:type="dxa" w:w="3855"/>
            <w:shd w:val="clear" w:color="auto" w:fill="F2F5FA"/>
            <w:vAlign w:val="center"/>
          </w:tcPr>
          <w:p>
            <w:pPr>
              <w:spacing w:after="0"/>
            </w:pPr>
            <w:r>
              <w:rPr>
                <w:rFonts w:ascii="游ゴシック" w:hAnsi="游ゴシック" w:eastAsia="游ゴシック"/>
                <w:b w:val="0"/>
                <w:sz w:val="19"/>
              </w:rPr>
              <w:t>事業所数と給付実績を突き合わせる（第8章）</w:t>
            </w:r>
          </w:p>
        </w:tc>
      </w:tr>
      <w:tr>
        <w:trPr>
          <w:cantSplit/>
        </w:trPr>
        <w:tc>
          <w:tcPr>
            <w:tcW w:type="dxa" w:w="2268"/>
            <w:vAlign w:val="center"/>
          </w:tcPr>
          <w:p>
            <w:pPr>
              <w:spacing w:after="0"/>
            </w:pPr>
            <w:r>
              <w:rPr>
                <w:rFonts w:ascii="游ゴシック" w:hAnsi="游ゴシック" w:eastAsia="游ゴシック"/>
                <w:b w:val="0"/>
                <w:sz w:val="19"/>
              </w:rPr>
              <w:t>件数を書き入れて済ませる</w:t>
            </w:r>
          </w:p>
        </w:tc>
        <w:tc>
          <w:tcPr>
            <w:tcW w:type="dxa" w:w="3628"/>
            <w:vAlign w:val="center"/>
          </w:tcPr>
          <w:p>
            <w:pPr>
              <w:spacing w:after="0"/>
            </w:pPr>
            <w:r>
              <w:rPr>
                <w:rFonts w:ascii="游ゴシック" w:hAnsi="游ゴシック" w:eastAsia="游ゴシック"/>
                <w:b w:val="0"/>
                <w:sz w:val="19"/>
              </w:rPr>
              <w:t>資料を更新すると本文の件数とずれる</w:t>
            </w:r>
          </w:p>
        </w:tc>
        <w:tc>
          <w:tcPr>
            <w:tcW w:type="dxa" w:w="3855"/>
            <w:vAlign w:val="center"/>
          </w:tcPr>
          <w:p>
            <w:pPr>
              <w:spacing w:after="0"/>
            </w:pPr>
            <w:r>
              <w:rPr>
                <w:rFonts w:ascii="游ゴシック" w:hAnsi="游ゴシック" w:eastAsia="游ゴシック"/>
                <w:b w:val="0"/>
                <w:sz w:val="19"/>
              </w:rPr>
              <w:t>成果品そのものを数える</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趨勢をそのまま延長する</w:t>
            </w:r>
          </w:p>
        </w:tc>
        <w:tc>
          <w:tcPr>
            <w:tcW w:type="dxa" w:w="3628"/>
            <w:shd w:val="clear" w:color="auto" w:fill="F2F5FA"/>
            <w:vAlign w:val="center"/>
          </w:tcPr>
          <w:p>
            <w:pPr>
              <w:spacing w:after="0"/>
            </w:pPr>
            <w:r>
              <w:rPr>
                <w:rFonts w:ascii="游ゴシック" w:hAnsi="游ゴシック" w:eastAsia="游ゴシック"/>
                <w:b w:val="0"/>
                <w:sz w:val="19"/>
              </w:rPr>
              <w:t>伸びが極端なサービスで見込量が発散する</w:t>
            </w:r>
          </w:p>
        </w:tc>
        <w:tc>
          <w:tcPr>
            <w:tcW w:type="dxa" w:w="3855"/>
            <w:shd w:val="clear" w:color="auto" w:fill="F2F5FA"/>
            <w:vAlign w:val="center"/>
          </w:tcPr>
          <w:p>
            <w:pPr>
              <w:spacing w:after="0"/>
            </w:pPr>
            <w:r>
              <w:rPr>
                <w:rFonts w:ascii="游ゴシック" w:hAnsi="游ゴシック" w:eastAsia="游ゴシック"/>
                <w:b w:val="0"/>
                <w:sz w:val="19"/>
              </w:rPr>
              <w:t>割合と上限で抑え、バックテストで選ぶ（第5章）</w:t>
            </w:r>
          </w:p>
        </w:tc>
      </w:tr>
      <w:tr>
        <w:trPr>
          <w:cantSplit/>
        </w:trPr>
        <w:tc>
          <w:tcPr>
            <w:tcW w:type="dxa" w:w="2268"/>
            <w:vAlign w:val="center"/>
          </w:tcPr>
          <w:p>
            <w:pPr>
              <w:spacing w:after="0"/>
            </w:pPr>
            <w:r>
              <w:rPr>
                <w:rFonts w:ascii="游ゴシック" w:hAnsi="游ゴシック" w:eastAsia="游ゴシック"/>
                <w:b w:val="0"/>
                <w:sz w:val="19"/>
              </w:rPr>
              <w:t>定員の縮小を将来へ延長する</w:t>
            </w:r>
          </w:p>
        </w:tc>
        <w:tc>
          <w:tcPr>
            <w:tcW w:type="dxa" w:w="3628"/>
            <w:vAlign w:val="center"/>
          </w:tcPr>
          <w:p>
            <w:pPr>
              <w:spacing w:after="0"/>
            </w:pPr>
            <w:r>
              <w:rPr>
                <w:rFonts w:ascii="游ゴシック" w:hAnsi="游ゴシック" w:eastAsia="游ゴシック"/>
                <w:b w:val="0"/>
                <w:sz w:val="19"/>
              </w:rPr>
              <w:t>施設の実績の減少をそのまま伸ばし、定員がさらに減る前提になる</w:t>
            </w:r>
          </w:p>
        </w:tc>
        <w:tc>
          <w:tcPr>
            <w:tcW w:type="dxa" w:w="3855"/>
            <w:vAlign w:val="center"/>
          </w:tcPr>
          <w:p>
            <w:pPr>
              <w:spacing w:after="0"/>
            </w:pPr>
            <w:r>
              <w:rPr>
                <w:rFonts w:ascii="游ゴシック" w:hAnsi="游ゴシック" w:eastAsia="游ゴシック"/>
                <w:b w:val="0"/>
                <w:sz w:val="19"/>
              </w:rPr>
              <w:t>実績の減少に定員の縮小が含まれるかを確かめる</w:t>
            </w:r>
          </w:p>
        </w:tc>
      </w:tr>
    </w:tbl>
    <w:p>
      <w:r>
        <w:br w:type="page"/>
      </w:r>
    </w:p>
    <w:p>
      <w:pPr>
        <w:keepNext/>
        <w:spacing w:before="320" w:after="120"/>
      </w:pPr>
      <w:r>
        <w:rPr>
          <w:rFonts w:ascii="游ゴシック" w:hAnsi="游ゴシック" w:eastAsia="游ゴシック"/>
          <w:b/>
          <w:color w:val="1F3864"/>
          <w:sz w:val="26"/>
        </w:rPr>
        <w:t>資料1　算定の手順（チェックリスト）</w:t>
      </w:r>
    </w:p>
    <w:p>
      <w:pPr>
        <w:keepNext/>
        <w:spacing w:before="160" w:after="40"/>
      </w:pPr>
      <w:r>
        <w:rPr>
          <w:rFonts w:ascii="游ゴシック" w:hAnsi="游ゴシック" w:eastAsia="游ゴシック"/>
          <w:b/>
          <w:sz w:val="20"/>
        </w:rPr>
        <w:t>表17　算定の手順</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587"/>
            <w:shd w:val="clear" w:color="auto" w:fill="1F3864"/>
            <w:vAlign w:val="center"/>
          </w:tcPr>
          <w:p>
            <w:pPr>
              <w:spacing w:after="0"/>
              <w:jc w:val="center"/>
            </w:pPr>
            <w:r>
              <w:rPr>
                <w:rFonts w:ascii="游ゴシック" w:hAnsi="游ゴシック" w:eastAsia="游ゴシック"/>
                <w:b/>
                <w:color w:val="FFFFFF"/>
                <w:sz w:val="19"/>
              </w:rPr>
              <w:t>段階</w:t>
            </w:r>
          </w:p>
        </w:tc>
        <w:tc>
          <w:tcPr>
            <w:tcW w:type="dxa" w:w="3402"/>
            <w:shd w:val="clear" w:color="auto" w:fill="1F3864"/>
            <w:vAlign w:val="center"/>
          </w:tcPr>
          <w:p>
            <w:pPr>
              <w:spacing w:after="0"/>
              <w:jc w:val="center"/>
            </w:pPr>
            <w:r>
              <w:rPr>
                <w:rFonts w:ascii="游ゴシック" w:hAnsi="游ゴシック" w:eastAsia="游ゴシック"/>
                <w:b/>
                <w:color w:val="FFFFFF"/>
                <w:sz w:val="19"/>
              </w:rPr>
              <w:t>行うこと</w:t>
            </w:r>
          </w:p>
        </w:tc>
        <w:tc>
          <w:tcPr>
            <w:tcW w:type="dxa" w:w="4762"/>
            <w:shd w:val="clear" w:color="auto" w:fill="1F3864"/>
            <w:vAlign w:val="center"/>
          </w:tcPr>
          <w:p>
            <w:pPr>
              <w:spacing w:after="0"/>
              <w:jc w:val="center"/>
            </w:pPr>
            <w:r>
              <w:rPr>
                <w:rFonts w:ascii="游ゴシック" w:hAnsi="游ゴシック" w:eastAsia="游ゴシック"/>
                <w:b/>
                <w:color w:val="FFFFFF"/>
                <w:sz w:val="19"/>
              </w:rPr>
              <w:t>確認</w:t>
            </w:r>
          </w:p>
        </w:tc>
      </w:tr>
      <w:tr>
        <w:trPr>
          <w:cantSplit/>
        </w:trPr>
        <w:tc>
          <w:tcPr>
            <w:tcW w:type="dxa" w:w="1587"/>
            <w:vAlign w:val="center"/>
          </w:tcPr>
          <w:p>
            <w:pPr>
              <w:spacing w:after="0"/>
            </w:pPr>
            <w:r>
              <w:rPr>
                <w:rFonts w:ascii="游ゴシック" w:hAnsi="游ゴシック" w:eastAsia="游ゴシック"/>
                <w:b w:val="0"/>
                <w:sz w:val="19"/>
              </w:rPr>
              <w:t>1 資料の点検</w:t>
            </w:r>
          </w:p>
        </w:tc>
        <w:tc>
          <w:tcPr>
            <w:tcW w:type="dxa" w:w="3402"/>
            <w:vAlign w:val="center"/>
          </w:tcPr>
          <w:p>
            <w:pPr>
              <w:spacing w:after="0"/>
            </w:pPr>
            <w:r>
              <w:rPr>
                <w:rFonts w:ascii="游ゴシック" w:hAnsi="游ゴシック" w:eastAsia="游ゴシック"/>
                <w:b w:val="0"/>
                <w:sz w:val="19"/>
              </w:rPr>
              <w:t>前提とする資料をそろえる</w:t>
            </w:r>
          </w:p>
        </w:tc>
        <w:tc>
          <w:tcPr>
            <w:tcW w:type="dxa" w:w="4762"/>
            <w:vAlign w:val="center"/>
          </w:tcPr>
          <w:p>
            <w:pPr>
              <w:spacing w:after="0"/>
            </w:pPr>
            <w:r>
              <w:rPr>
                <w:rFonts w:ascii="游ゴシック" w:hAnsi="游ゴシック" w:eastAsia="游ゴシック"/>
                <w:b w:val="0"/>
                <w:sz w:val="19"/>
              </w:rPr>
              <w:t>総括表・年報・月報・計画作成支援ツール・定員の名簿</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2 月数の実測</w:t>
            </w:r>
          </w:p>
        </w:tc>
        <w:tc>
          <w:tcPr>
            <w:tcW w:type="dxa" w:w="3402"/>
            <w:shd w:val="clear" w:color="auto" w:fill="F2F5FA"/>
            <w:vAlign w:val="center"/>
          </w:tcPr>
          <w:p>
            <w:pPr>
              <w:spacing w:after="0"/>
            </w:pPr>
            <w:r>
              <w:rPr>
                <w:rFonts w:ascii="游ゴシック" w:hAnsi="游ゴシック" w:eastAsia="游ゴシック"/>
                <w:b w:val="0"/>
                <w:sz w:val="19"/>
              </w:rPr>
              <w:t>各出所の年度が何か月分かを実測する</w:t>
            </w:r>
          </w:p>
        </w:tc>
        <w:tc>
          <w:tcPr>
            <w:tcW w:type="dxa" w:w="4762"/>
            <w:shd w:val="clear" w:color="auto" w:fill="F2F5FA"/>
            <w:vAlign w:val="center"/>
          </w:tcPr>
          <w:p>
            <w:pPr>
              <w:spacing w:after="0"/>
            </w:pPr>
            <w:r>
              <w:rPr>
                <w:rFonts w:ascii="游ゴシック" w:hAnsi="游ゴシック" w:eastAsia="游ゴシック"/>
                <w:b w:val="0"/>
                <w:sz w:val="19"/>
              </w:rPr>
              <w:t>月報の収録月／延べ被保険者数／給付費の比の3つで突き合わせたか</w:t>
            </w:r>
          </w:p>
        </w:tc>
      </w:tr>
      <w:tr>
        <w:trPr>
          <w:cantSplit/>
        </w:trPr>
        <w:tc>
          <w:tcPr>
            <w:tcW w:type="dxa" w:w="1587"/>
            <w:vAlign w:val="center"/>
          </w:tcPr>
          <w:p>
            <w:pPr>
              <w:spacing w:after="0"/>
            </w:pPr>
            <w:r>
              <w:rPr>
                <w:rFonts w:ascii="游ゴシック" w:hAnsi="游ゴシック" w:eastAsia="游ゴシック"/>
                <w:b w:val="0"/>
                <w:sz w:val="19"/>
              </w:rPr>
              <w:t>3 基準年度の決定</w:t>
            </w:r>
          </w:p>
        </w:tc>
        <w:tc>
          <w:tcPr>
            <w:tcW w:type="dxa" w:w="3402"/>
            <w:vAlign w:val="center"/>
          </w:tcPr>
          <w:p>
            <w:pPr>
              <w:spacing w:after="0"/>
            </w:pPr>
            <w:r>
              <w:rPr>
                <w:rFonts w:ascii="游ゴシック" w:hAnsi="游ゴシック" w:eastAsia="游ゴシック"/>
                <w:b w:val="0"/>
                <w:sz w:val="19"/>
              </w:rPr>
              <w:t>完結した最新年度を基準年度とする</w:t>
            </w:r>
          </w:p>
        </w:tc>
        <w:tc>
          <w:tcPr>
            <w:tcW w:type="dxa" w:w="4762"/>
            <w:vAlign w:val="center"/>
          </w:tcPr>
          <w:p>
            <w:pPr>
              <w:spacing w:after="0"/>
            </w:pPr>
            <w:r>
              <w:rPr>
                <w:rFonts w:ascii="游ゴシック" w:hAnsi="游ゴシック" w:eastAsia="游ゴシック"/>
                <w:b w:val="0"/>
                <w:sz w:val="19"/>
              </w:rPr>
              <w:t>計上の定義が変わった年度がないか</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4 内的整合の点検</w:t>
            </w:r>
          </w:p>
        </w:tc>
        <w:tc>
          <w:tcPr>
            <w:tcW w:type="dxa" w:w="3402"/>
            <w:shd w:val="clear" w:color="auto" w:fill="F2F5FA"/>
            <w:vAlign w:val="center"/>
          </w:tcPr>
          <w:p>
            <w:pPr>
              <w:spacing w:after="0"/>
            </w:pPr>
            <w:r>
              <w:rPr>
                <w:rFonts w:ascii="游ゴシック" w:hAnsi="游ゴシック" w:eastAsia="游ゴシック"/>
                <w:b w:val="0"/>
                <w:sz w:val="19"/>
              </w:rPr>
              <w:t>数量×単価＝金額、合計＝年報</w:t>
            </w:r>
          </w:p>
        </w:tc>
        <w:tc>
          <w:tcPr>
            <w:tcW w:type="dxa" w:w="4762"/>
            <w:shd w:val="clear" w:color="auto" w:fill="F2F5FA"/>
            <w:vAlign w:val="center"/>
          </w:tcPr>
          <w:p>
            <w:pPr>
              <w:spacing w:after="0"/>
            </w:pPr>
            <w:r>
              <w:rPr>
                <w:rFonts w:ascii="游ゴシック" w:hAnsi="游ゴシック" w:eastAsia="游ゴシック"/>
                <w:b w:val="0"/>
                <w:sz w:val="19"/>
              </w:rPr>
              <w:t>円単位で一致するか</w:t>
            </w:r>
          </w:p>
        </w:tc>
      </w:tr>
      <w:tr>
        <w:trPr>
          <w:cantSplit/>
        </w:trPr>
        <w:tc>
          <w:tcPr>
            <w:tcW w:type="dxa" w:w="1587"/>
            <w:vAlign w:val="center"/>
          </w:tcPr>
          <w:p>
            <w:pPr>
              <w:spacing w:after="0"/>
            </w:pPr>
            <w:r>
              <w:rPr>
                <w:rFonts w:ascii="游ゴシック" w:hAnsi="游ゴシック" w:eastAsia="游ゴシック"/>
                <w:b w:val="0"/>
                <w:sz w:val="19"/>
              </w:rPr>
              <w:t>5 出所の決定</w:t>
            </w:r>
          </w:p>
        </w:tc>
        <w:tc>
          <w:tcPr>
            <w:tcW w:type="dxa" w:w="3402"/>
            <w:vAlign w:val="center"/>
          </w:tcPr>
          <w:p>
            <w:pPr>
              <w:spacing w:after="0"/>
            </w:pPr>
            <w:r>
              <w:rPr>
                <w:rFonts w:ascii="游ゴシック" w:hAnsi="游ゴシック" w:eastAsia="游ゴシック"/>
                <w:b w:val="0"/>
                <w:sz w:val="19"/>
              </w:rPr>
              <w:t>保険者単位を算定の基礎とする</w:t>
            </w:r>
          </w:p>
        </w:tc>
        <w:tc>
          <w:tcPr>
            <w:tcW w:type="dxa" w:w="4762"/>
            <w:vAlign w:val="center"/>
          </w:tcPr>
          <w:p>
            <w:pPr>
              <w:spacing w:after="0"/>
            </w:pPr>
            <w:r>
              <w:rPr>
                <w:rFonts w:ascii="游ゴシック" w:hAnsi="游ゴシック" w:eastAsia="游ゴシック"/>
                <w:b w:val="0"/>
                <w:sz w:val="19"/>
              </w:rPr>
              <w:t>市町村合計との差を測り、理由を記録したか</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6 パターンの列挙</w:t>
            </w:r>
          </w:p>
        </w:tc>
        <w:tc>
          <w:tcPr>
            <w:tcW w:type="dxa" w:w="3402"/>
            <w:shd w:val="clear" w:color="auto" w:fill="F2F5FA"/>
            <w:vAlign w:val="center"/>
          </w:tcPr>
          <w:p>
            <w:pPr>
              <w:spacing w:after="0"/>
            </w:pPr>
            <w:r>
              <w:rPr>
                <w:rFonts w:ascii="游ゴシック" w:hAnsi="游ゴシック" w:eastAsia="游ゴシック"/>
                <w:b w:val="0"/>
                <w:sz w:val="19"/>
              </w:rPr>
              <w:t>基準年度・出所・伸びの組合せを並べる</w:t>
            </w:r>
          </w:p>
        </w:tc>
        <w:tc>
          <w:tcPr>
            <w:tcW w:type="dxa" w:w="4762"/>
            <w:shd w:val="clear" w:color="auto" w:fill="F2F5FA"/>
            <w:vAlign w:val="center"/>
          </w:tcPr>
          <w:p>
            <w:pPr>
              <w:spacing w:after="0"/>
            </w:pPr>
            <w:r>
              <w:rPr>
                <w:rFonts w:ascii="游ゴシック" w:hAnsi="游ゴシック" w:eastAsia="游ゴシック"/>
                <w:b w:val="0"/>
                <w:sz w:val="19"/>
              </w:rPr>
              <w:t>保険料の月額まで通したか</w:t>
            </w:r>
          </w:p>
        </w:tc>
      </w:tr>
      <w:tr>
        <w:trPr>
          <w:cantSplit/>
        </w:trPr>
        <w:tc>
          <w:tcPr>
            <w:tcW w:type="dxa" w:w="1587"/>
            <w:vAlign w:val="center"/>
          </w:tcPr>
          <w:p>
            <w:pPr>
              <w:spacing w:after="0"/>
            </w:pPr>
            <w:r>
              <w:rPr>
                <w:rFonts w:ascii="游ゴシック" w:hAnsi="游ゴシック" w:eastAsia="游ゴシック"/>
                <w:b w:val="0"/>
                <w:sz w:val="19"/>
              </w:rPr>
              <w:t>7 伸びの置き方</w:t>
            </w:r>
          </w:p>
        </w:tc>
        <w:tc>
          <w:tcPr>
            <w:tcW w:type="dxa" w:w="3402"/>
            <w:vAlign w:val="center"/>
          </w:tcPr>
          <w:p>
            <w:pPr>
              <w:spacing w:after="0"/>
            </w:pPr>
            <w:r>
              <w:rPr>
                <w:rFonts w:ascii="游ゴシック" w:hAnsi="游ゴシック" w:eastAsia="游ゴシック"/>
                <w:b w:val="0"/>
                <w:sz w:val="19"/>
              </w:rPr>
              <w:t>対計画比の偏りを補正するかを決める</w:t>
            </w:r>
          </w:p>
        </w:tc>
        <w:tc>
          <w:tcPr>
            <w:tcW w:type="dxa" w:w="4762"/>
            <w:vAlign w:val="center"/>
          </w:tcPr>
          <w:p>
            <w:pPr>
              <w:spacing w:after="0"/>
            </w:pPr>
            <w:r>
              <w:rPr>
                <w:rFonts w:ascii="游ゴシック" w:hAnsi="游ゴシック" w:eastAsia="游ゴシック"/>
                <w:b w:val="0"/>
                <w:sz w:val="19"/>
              </w:rPr>
              <w:t>バックテストで一律と比べたか</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8 季節性</w:t>
            </w:r>
          </w:p>
        </w:tc>
        <w:tc>
          <w:tcPr>
            <w:tcW w:type="dxa" w:w="3402"/>
            <w:shd w:val="clear" w:color="auto" w:fill="F2F5FA"/>
            <w:vAlign w:val="center"/>
          </w:tcPr>
          <w:p>
            <w:pPr>
              <w:spacing w:after="0"/>
            </w:pPr>
            <w:r>
              <w:rPr>
                <w:rFonts w:ascii="游ゴシック" w:hAnsi="游ゴシック" w:eastAsia="游ゴシック"/>
                <w:b w:val="0"/>
                <w:sz w:val="19"/>
              </w:rPr>
              <w:t>基準年度が完結年度なら補正しない</w:t>
            </w:r>
          </w:p>
        </w:tc>
        <w:tc>
          <w:tcPr>
            <w:tcW w:type="dxa" w:w="4762"/>
            <w:shd w:val="clear" w:color="auto" w:fill="F2F5FA"/>
            <w:vAlign w:val="center"/>
          </w:tcPr>
          <w:p>
            <w:pPr>
              <w:spacing w:after="0"/>
            </w:pPr>
            <w:r>
              <w:rPr>
                <w:rFonts w:ascii="游ゴシック" w:hAnsi="游ゴシック" w:eastAsia="游ゴシック"/>
                <w:b w:val="0"/>
                <w:sz w:val="19"/>
              </w:rPr>
              <w:t>年度途中の年度を用いる場合のみ検討</w:t>
            </w:r>
          </w:p>
        </w:tc>
      </w:tr>
      <w:tr>
        <w:trPr>
          <w:cantSplit/>
        </w:trPr>
        <w:tc>
          <w:tcPr>
            <w:tcW w:type="dxa" w:w="1587"/>
            <w:vAlign w:val="center"/>
          </w:tcPr>
          <w:p>
            <w:pPr>
              <w:spacing w:after="0"/>
            </w:pPr>
            <w:r>
              <w:rPr>
                <w:rFonts w:ascii="游ゴシック" w:hAnsi="游ゴシック" w:eastAsia="游ゴシック"/>
                <w:b w:val="0"/>
                <w:sz w:val="19"/>
              </w:rPr>
              <w:t>9 供給実現性</w:t>
            </w:r>
          </w:p>
        </w:tc>
        <w:tc>
          <w:tcPr>
            <w:tcW w:type="dxa" w:w="3402"/>
            <w:vAlign w:val="center"/>
          </w:tcPr>
          <w:p>
            <w:pPr>
              <w:spacing w:after="0"/>
            </w:pPr>
            <w:r>
              <w:rPr>
                <w:rFonts w:ascii="游ゴシック" w:hAnsi="游ゴシック" w:eastAsia="游ゴシック"/>
                <w:b w:val="0"/>
                <w:sz w:val="19"/>
              </w:rPr>
              <w:t>需要量と供給可能量を分けて示す</w:t>
            </w:r>
          </w:p>
        </w:tc>
        <w:tc>
          <w:tcPr>
            <w:tcW w:type="dxa" w:w="4762"/>
            <w:vAlign w:val="center"/>
          </w:tcPr>
          <w:p>
            <w:pPr>
              <w:spacing w:after="0"/>
            </w:pPr>
            <w:r>
              <w:rPr>
                <w:rFonts w:ascii="游ゴシック" w:hAnsi="游ゴシック" w:eastAsia="游ゴシック"/>
                <w:b w:val="0"/>
                <w:sz w:val="19"/>
              </w:rPr>
              <w:t>定員との突合、区域外利用の確認</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10 施策反映</w:t>
            </w:r>
          </w:p>
        </w:tc>
        <w:tc>
          <w:tcPr>
            <w:tcW w:type="dxa" w:w="3402"/>
            <w:shd w:val="clear" w:color="auto" w:fill="F2F5FA"/>
            <w:vAlign w:val="center"/>
          </w:tcPr>
          <w:p>
            <w:pPr>
              <w:spacing w:after="0"/>
            </w:pPr>
            <w:r>
              <w:rPr>
                <w:rFonts w:ascii="游ゴシック" w:hAnsi="游ゴシック" w:eastAsia="游ゴシック"/>
                <w:b w:val="0"/>
                <w:sz w:val="19"/>
              </w:rPr>
              <w:t>算定式に変数があるものだけを反映する</w:t>
            </w:r>
          </w:p>
        </w:tc>
        <w:tc>
          <w:tcPr>
            <w:tcW w:type="dxa" w:w="4762"/>
            <w:shd w:val="clear" w:color="auto" w:fill="F2F5FA"/>
            <w:vAlign w:val="center"/>
          </w:tcPr>
          <w:p>
            <w:pPr>
              <w:spacing w:after="0"/>
            </w:pPr>
            <w:r>
              <w:rPr>
                <w:rFonts w:ascii="游ゴシック" w:hAnsi="游ゴシック" w:eastAsia="游ゴシック"/>
                <w:b w:val="0"/>
                <w:sz w:val="19"/>
              </w:rPr>
              <w:t>歯止めを設けたか</w:t>
            </w:r>
          </w:p>
        </w:tc>
      </w:tr>
      <w:tr>
        <w:trPr>
          <w:cantSplit/>
        </w:trPr>
        <w:tc>
          <w:tcPr>
            <w:tcW w:type="dxa" w:w="1587"/>
            <w:vAlign w:val="center"/>
          </w:tcPr>
          <w:p>
            <w:pPr>
              <w:spacing w:after="0"/>
            </w:pPr>
            <w:r>
              <w:rPr>
                <w:rFonts w:ascii="游ゴシック" w:hAnsi="游ゴシック" w:eastAsia="游ゴシック"/>
                <w:b w:val="0"/>
                <w:sz w:val="19"/>
              </w:rPr>
              <w:t>11 趨勢外の要因</w:t>
            </w:r>
          </w:p>
        </w:tc>
        <w:tc>
          <w:tcPr>
            <w:tcW w:type="dxa" w:w="3402"/>
            <w:vAlign w:val="center"/>
          </w:tcPr>
          <w:p>
            <w:pPr>
              <w:spacing w:after="0"/>
            </w:pPr>
            <w:r>
              <w:rPr>
                <w:rFonts w:ascii="游ゴシック" w:hAnsi="游ゴシック" w:eastAsia="游ゴシック"/>
                <w:b w:val="0"/>
                <w:sz w:val="19"/>
              </w:rPr>
              <w:t>測れるもの・向きのみ・測れないものに分ける</w:t>
            </w:r>
          </w:p>
        </w:tc>
        <w:tc>
          <w:tcPr>
            <w:tcW w:type="dxa" w:w="4762"/>
            <w:vAlign w:val="center"/>
          </w:tcPr>
          <w:p>
            <w:pPr>
              <w:spacing w:after="0"/>
            </w:pPr>
            <w:r>
              <w:rPr>
                <w:rFonts w:ascii="游ゴシック" w:hAnsi="游ゴシック" w:eastAsia="游ゴシック"/>
                <w:b w:val="0"/>
                <w:sz w:val="19"/>
              </w:rPr>
              <w:t>単価の趨勢と改定率1％あたりの月額を算定したか</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12 記載事項の点検</w:t>
            </w:r>
          </w:p>
        </w:tc>
        <w:tc>
          <w:tcPr>
            <w:tcW w:type="dxa" w:w="3402"/>
            <w:shd w:val="clear" w:color="auto" w:fill="F2F5FA"/>
            <w:vAlign w:val="center"/>
          </w:tcPr>
          <w:p>
            <w:pPr>
              <w:spacing w:after="0"/>
            </w:pPr>
            <w:r>
              <w:rPr>
                <w:rFonts w:ascii="游ゴシック" w:hAnsi="游ゴシック" w:eastAsia="游ゴシック"/>
                <w:b w:val="0"/>
                <w:sz w:val="19"/>
              </w:rPr>
              <w:t>法・改正法・基本指針の記載事項と突き合わせる</w:t>
            </w:r>
          </w:p>
        </w:tc>
        <w:tc>
          <w:tcPr>
            <w:tcW w:type="dxa" w:w="4762"/>
            <w:shd w:val="clear" w:color="auto" w:fill="F2F5FA"/>
            <w:vAlign w:val="center"/>
          </w:tcPr>
          <w:p>
            <w:pPr>
              <w:spacing w:after="0"/>
            </w:pPr>
            <w:r>
              <w:rPr>
                <w:rFonts w:ascii="游ゴシック" w:hAnsi="游ゴシック" w:eastAsia="游ゴシック"/>
                <w:b w:val="0"/>
                <w:sz w:val="19"/>
              </w:rPr>
              <w:t>未対応のものに是正の方針を書いたか</w:t>
            </w:r>
          </w:p>
        </w:tc>
      </w:tr>
      <w:tr>
        <w:trPr>
          <w:cantSplit/>
        </w:trPr>
        <w:tc>
          <w:tcPr>
            <w:tcW w:type="dxa" w:w="1587"/>
            <w:vAlign w:val="center"/>
          </w:tcPr>
          <w:p>
            <w:pPr>
              <w:spacing w:after="0"/>
            </w:pPr>
            <w:r>
              <w:rPr>
                <w:rFonts w:ascii="游ゴシック" w:hAnsi="游ゴシック" w:eastAsia="游ゴシック"/>
                <w:b w:val="0"/>
                <w:sz w:val="19"/>
              </w:rPr>
              <w:t>13 自己点検</w:t>
            </w:r>
          </w:p>
        </w:tc>
        <w:tc>
          <w:tcPr>
            <w:tcW w:type="dxa" w:w="3402"/>
            <w:vAlign w:val="center"/>
          </w:tcPr>
          <w:p>
            <w:pPr>
              <w:spacing w:after="0"/>
            </w:pPr>
            <w:r>
              <w:rPr>
                <w:rFonts w:ascii="游ゴシック" w:hAnsi="游ゴシック" w:eastAsia="游ゴシック"/>
                <w:b w:val="0"/>
                <w:sz w:val="19"/>
              </w:rPr>
              <w:t>点検を算定に組み込み、変異試験で効きを確かめる</w:t>
            </w:r>
          </w:p>
        </w:tc>
        <w:tc>
          <w:tcPr>
            <w:tcW w:type="dxa" w:w="4762"/>
            <w:vAlign w:val="center"/>
          </w:tcPr>
          <w:p>
            <w:pPr>
              <w:spacing w:after="0"/>
            </w:pPr>
            <w:r>
              <w:rPr>
                <w:rFonts w:ascii="游ゴシック" w:hAnsi="游ゴシック" w:eastAsia="游ゴシック"/>
                <w:b w:val="0"/>
                <w:sz w:val="19"/>
              </w:rPr>
              <w:t>1件でも不適合なら異常終了する形か</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14 確認事項の整理</w:t>
            </w:r>
          </w:p>
        </w:tc>
        <w:tc>
          <w:tcPr>
            <w:tcW w:type="dxa" w:w="3402"/>
            <w:shd w:val="clear" w:color="auto" w:fill="F2F5FA"/>
            <w:vAlign w:val="center"/>
          </w:tcPr>
          <w:p>
            <w:pPr>
              <w:spacing w:after="0"/>
            </w:pPr>
            <w:r>
              <w:rPr>
                <w:rFonts w:ascii="游ゴシック" w:hAnsi="游ゴシック" w:eastAsia="游ゴシック"/>
                <w:b w:val="0"/>
                <w:sz w:val="19"/>
              </w:rPr>
              <w:t>確定していない事項を一覧にする</w:t>
            </w:r>
          </w:p>
        </w:tc>
        <w:tc>
          <w:tcPr>
            <w:tcW w:type="dxa" w:w="4762"/>
            <w:shd w:val="clear" w:color="auto" w:fill="F2F5FA"/>
            <w:vAlign w:val="center"/>
          </w:tcPr>
          <w:p>
            <w:pPr>
              <w:spacing w:after="0"/>
            </w:pPr>
            <w:r>
              <w:rPr>
                <w:rFonts w:ascii="游ゴシック" w:hAnsi="游ゴシック" w:eastAsia="游ゴシック"/>
                <w:b w:val="0"/>
                <w:sz w:val="19"/>
              </w:rPr>
              <w:t>本文に確認事項の注記を書かず、別の表で管理する</w:t>
            </w:r>
          </w:p>
        </w:tc>
      </w:tr>
    </w:tbl>
    <w:p>
      <w:pPr>
        <w:keepNext/>
        <w:spacing w:before="320" w:after="120"/>
      </w:pPr>
      <w:r>
        <w:rPr>
          <w:rFonts w:ascii="游ゴシック" w:hAnsi="游ゴシック" w:eastAsia="游ゴシック"/>
          <w:b/>
          <w:color w:val="1F3864"/>
          <w:sz w:val="26"/>
        </w:rPr>
        <w:t>資料2　自己点検の項目例</w:t>
      </w:r>
    </w:p>
    <w:p>
      <w:pPr>
        <w:keepNext/>
        <w:spacing w:before="160" w:after="40"/>
      </w:pPr>
      <w:r>
        <w:rPr>
          <w:rFonts w:ascii="游ゴシック" w:hAnsi="游ゴシック" w:eastAsia="游ゴシック"/>
          <w:b/>
          <w:sz w:val="20"/>
        </w:rPr>
        <w:t>表18　自己点検の項目例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No</w:t>
            </w:r>
          </w:p>
        </w:tc>
        <w:tc>
          <w:tcPr>
            <w:tcW w:type="dxa" w:w="5896"/>
            <w:shd w:val="clear" w:color="auto" w:fill="1F3864"/>
            <w:vAlign w:val="center"/>
          </w:tcPr>
          <w:p>
            <w:pPr>
              <w:spacing w:after="0"/>
              <w:jc w:val="center"/>
            </w:pPr>
            <w:r>
              <w:rPr>
                <w:rFonts w:ascii="游ゴシック" w:hAnsi="游ゴシック" w:eastAsia="游ゴシック"/>
                <w:b/>
                <w:color w:val="FFFFFF"/>
                <w:sz w:val="19"/>
              </w:rPr>
              <w:t>点検の内容</w:t>
            </w:r>
          </w:p>
        </w:tc>
        <w:tc>
          <w:tcPr>
            <w:tcW w:type="dxa" w:w="1361"/>
            <w:shd w:val="clear" w:color="auto" w:fill="1F3864"/>
            <w:vAlign w:val="center"/>
          </w:tcPr>
          <w:p>
            <w:pPr>
              <w:spacing w:after="0"/>
              <w:jc w:val="center"/>
            </w:pPr>
            <w:r>
              <w:rPr>
                <w:rFonts w:ascii="游ゴシック" w:hAnsi="游ゴシック" w:eastAsia="游ゴシック"/>
                <w:b/>
                <w:color w:val="FFFFFF"/>
                <w:sz w:val="19"/>
              </w:rPr>
              <w:t>型</w:t>
            </w:r>
          </w:p>
        </w:tc>
      </w:tr>
      <w:tr>
        <w:trPr>
          <w:cantSplit/>
        </w:trPr>
        <w:tc>
          <w:tcPr>
            <w:tcW w:type="dxa" w:w="794"/>
            <w:vAlign w:val="center"/>
          </w:tcPr>
          <w:p>
            <w:pPr>
              <w:spacing w:after="0"/>
            </w:pPr>
            <w:r>
              <w:rPr>
                <w:rFonts w:ascii="游ゴシック" w:hAnsi="游ゴシック" w:eastAsia="游ゴシック"/>
                <w:b w:val="0"/>
                <w:sz w:val="19"/>
              </w:rPr>
              <w:t>1</w:t>
            </w:r>
          </w:p>
        </w:tc>
        <w:tc>
          <w:tcPr>
            <w:tcW w:type="dxa" w:w="5896"/>
            <w:vAlign w:val="center"/>
          </w:tcPr>
          <w:p>
            <w:pPr>
              <w:spacing w:after="0"/>
            </w:pPr>
            <w:r>
              <w:rPr>
                <w:rFonts w:ascii="游ゴシック" w:hAnsi="游ゴシック" w:eastAsia="游ゴシック"/>
                <w:b w:val="0"/>
                <w:sz w:val="19"/>
              </w:rPr>
              <w:t>サービス別の数量×単価＝給付費が全行で成立すること</w:t>
            </w:r>
          </w:p>
        </w:tc>
        <w:tc>
          <w:tcPr>
            <w:tcW w:type="dxa" w:w="1361"/>
            <w:vAlign w:val="center"/>
          </w:tcPr>
          <w:p>
            <w:pPr>
              <w:spacing w:after="0"/>
            </w:pPr>
            <w:r>
              <w:rPr>
                <w:rFonts w:ascii="游ゴシック" w:hAnsi="游ゴシック" w:eastAsia="游ゴシック"/>
                <w:b w:val="0"/>
                <w:sz w:val="19"/>
              </w:rPr>
              <w:t>内的整合</w:t>
            </w:r>
          </w:p>
        </w:tc>
      </w:tr>
      <w:tr>
        <w:trPr>
          <w:cantSplit/>
        </w:trPr>
        <w:tc>
          <w:tcPr>
            <w:tcW w:type="dxa" w:w="794"/>
            <w:shd w:val="clear" w:color="auto" w:fill="F2F5FA"/>
            <w:vAlign w:val="center"/>
          </w:tcPr>
          <w:p>
            <w:pPr>
              <w:spacing w:after="0"/>
            </w:pPr>
            <w:r>
              <w:rPr>
                <w:rFonts w:ascii="游ゴシック" w:hAnsi="游ゴシック" w:eastAsia="游ゴシック"/>
                <w:b w:val="0"/>
                <w:sz w:val="19"/>
              </w:rPr>
              <w:t>2</w:t>
            </w:r>
          </w:p>
        </w:tc>
        <w:tc>
          <w:tcPr>
            <w:tcW w:type="dxa" w:w="5896"/>
            <w:shd w:val="clear" w:color="auto" w:fill="F2F5FA"/>
            <w:vAlign w:val="center"/>
          </w:tcPr>
          <w:p>
            <w:pPr>
              <w:spacing w:after="0"/>
            </w:pPr>
            <w:r>
              <w:rPr>
                <w:rFonts w:ascii="游ゴシック" w:hAnsi="游ゴシック" w:eastAsia="游ゴシック"/>
                <w:b w:val="0"/>
                <w:sz w:val="19"/>
              </w:rPr>
              <w:t>サービス別の給付費の合計が年報の給付費と一致すること</w:t>
            </w:r>
          </w:p>
        </w:tc>
        <w:tc>
          <w:tcPr>
            <w:tcW w:type="dxa" w:w="1361"/>
            <w:shd w:val="clear" w:color="auto" w:fill="F2F5FA"/>
            <w:vAlign w:val="center"/>
          </w:tcPr>
          <w:p>
            <w:pPr>
              <w:spacing w:after="0"/>
            </w:pPr>
            <w:r>
              <w:rPr>
                <w:rFonts w:ascii="游ゴシック" w:hAnsi="游ゴシック" w:eastAsia="游ゴシック"/>
                <w:b w:val="0"/>
                <w:sz w:val="19"/>
              </w:rPr>
              <w:t>外部との一致</w:t>
            </w:r>
          </w:p>
        </w:tc>
      </w:tr>
      <w:tr>
        <w:trPr>
          <w:cantSplit/>
        </w:trPr>
        <w:tc>
          <w:tcPr>
            <w:tcW w:type="dxa" w:w="794"/>
            <w:vAlign w:val="center"/>
          </w:tcPr>
          <w:p>
            <w:pPr>
              <w:spacing w:after="0"/>
            </w:pPr>
            <w:r>
              <w:rPr>
                <w:rFonts w:ascii="游ゴシック" w:hAnsi="游ゴシック" w:eastAsia="游ゴシック"/>
                <w:b w:val="0"/>
                <w:sz w:val="19"/>
              </w:rPr>
              <w:t>3</w:t>
            </w:r>
          </w:p>
        </w:tc>
        <w:tc>
          <w:tcPr>
            <w:tcW w:type="dxa" w:w="5896"/>
            <w:vAlign w:val="center"/>
          </w:tcPr>
          <w:p>
            <w:pPr>
              <w:spacing w:after="0"/>
            </w:pPr>
            <w:r>
              <w:rPr>
                <w:rFonts w:ascii="游ゴシック" w:hAnsi="游ゴシック" w:eastAsia="游ゴシック"/>
                <w:b w:val="0"/>
                <w:sz w:val="19"/>
              </w:rPr>
              <w:t>基準年度の値から見込量を再構成すると基準年度の総額に戻ること</w:t>
            </w:r>
          </w:p>
        </w:tc>
        <w:tc>
          <w:tcPr>
            <w:tcW w:type="dxa" w:w="1361"/>
            <w:vAlign w:val="center"/>
          </w:tcPr>
          <w:p>
            <w:pPr>
              <w:spacing w:after="0"/>
            </w:pPr>
            <w:r>
              <w:rPr>
                <w:rFonts w:ascii="游ゴシック" w:hAnsi="游ゴシック" w:eastAsia="游ゴシック"/>
                <w:b w:val="0"/>
                <w:sz w:val="19"/>
              </w:rPr>
              <w:t>内的整合</w:t>
            </w:r>
          </w:p>
        </w:tc>
      </w:tr>
      <w:tr>
        <w:trPr>
          <w:cantSplit/>
        </w:trPr>
        <w:tc>
          <w:tcPr>
            <w:tcW w:type="dxa" w:w="794"/>
            <w:shd w:val="clear" w:color="auto" w:fill="F2F5FA"/>
            <w:vAlign w:val="center"/>
          </w:tcPr>
          <w:p>
            <w:pPr>
              <w:spacing w:after="0"/>
            </w:pPr>
            <w:r>
              <w:rPr>
                <w:rFonts w:ascii="游ゴシック" w:hAnsi="游ゴシック" w:eastAsia="游ゴシック"/>
                <w:b w:val="0"/>
                <w:sz w:val="19"/>
              </w:rPr>
              <w:t>4</w:t>
            </w:r>
          </w:p>
        </w:tc>
        <w:tc>
          <w:tcPr>
            <w:tcW w:type="dxa" w:w="5896"/>
            <w:shd w:val="clear" w:color="auto" w:fill="F2F5FA"/>
            <w:vAlign w:val="center"/>
          </w:tcPr>
          <w:p>
            <w:pPr>
              <w:spacing w:after="0"/>
            </w:pPr>
            <w:r>
              <w:rPr>
                <w:rFonts w:ascii="游ゴシック" w:hAnsi="游ゴシック" w:eastAsia="游ゴシック"/>
                <w:b w:val="0"/>
                <w:sz w:val="19"/>
              </w:rPr>
              <w:t>補正なしの場合の月額が先行の採用パターンと一致すること</w:t>
            </w:r>
          </w:p>
        </w:tc>
        <w:tc>
          <w:tcPr>
            <w:tcW w:type="dxa" w:w="1361"/>
            <w:shd w:val="clear" w:color="auto" w:fill="F2F5FA"/>
            <w:vAlign w:val="center"/>
          </w:tcPr>
          <w:p>
            <w:pPr>
              <w:spacing w:after="0"/>
            </w:pPr>
            <w:r>
              <w:rPr>
                <w:rFonts w:ascii="游ゴシック" w:hAnsi="游ゴシック" w:eastAsia="游ゴシック"/>
                <w:b w:val="0"/>
                <w:sz w:val="19"/>
              </w:rPr>
              <w:t>接続</w:t>
            </w:r>
          </w:p>
        </w:tc>
      </w:tr>
      <w:tr>
        <w:trPr>
          <w:cantSplit/>
        </w:trPr>
        <w:tc>
          <w:tcPr>
            <w:tcW w:type="dxa" w:w="794"/>
            <w:vAlign w:val="center"/>
          </w:tcPr>
          <w:p>
            <w:pPr>
              <w:spacing w:after="0"/>
            </w:pPr>
            <w:r>
              <w:rPr>
                <w:rFonts w:ascii="游ゴシック" w:hAnsi="游ゴシック" w:eastAsia="游ゴシック"/>
                <w:b w:val="0"/>
                <w:sz w:val="19"/>
              </w:rPr>
              <w:t>5</w:t>
            </w:r>
          </w:p>
        </w:tc>
        <w:tc>
          <w:tcPr>
            <w:tcW w:type="dxa" w:w="5896"/>
            <w:vAlign w:val="center"/>
          </w:tcPr>
          <w:p>
            <w:pPr>
              <w:spacing w:after="0"/>
            </w:pPr>
            <w:r>
              <w:rPr>
                <w:rFonts w:ascii="游ゴシック" w:hAnsi="游ゴシック" w:eastAsia="游ゴシック"/>
                <w:b w:val="0"/>
                <w:sz w:val="19"/>
              </w:rPr>
              <w:t>前期計画の月額を同じ式で再現できること</w:t>
            </w:r>
          </w:p>
        </w:tc>
        <w:tc>
          <w:tcPr>
            <w:tcW w:type="dxa" w:w="1361"/>
            <w:vAlign w:val="center"/>
          </w:tcPr>
          <w:p>
            <w:pPr>
              <w:spacing w:after="0"/>
            </w:pPr>
            <w:r>
              <w:rPr>
                <w:rFonts w:ascii="游ゴシック" w:hAnsi="游ゴシック" w:eastAsia="游ゴシック"/>
                <w:b w:val="0"/>
                <w:sz w:val="19"/>
              </w:rPr>
              <w:t>再現</w:t>
            </w:r>
          </w:p>
        </w:tc>
      </w:tr>
      <w:tr>
        <w:trPr>
          <w:cantSplit/>
        </w:trPr>
        <w:tc>
          <w:tcPr>
            <w:tcW w:type="dxa" w:w="794"/>
            <w:shd w:val="clear" w:color="auto" w:fill="F2F5FA"/>
            <w:vAlign w:val="center"/>
          </w:tcPr>
          <w:p>
            <w:pPr>
              <w:spacing w:after="0"/>
            </w:pPr>
            <w:r>
              <w:rPr>
                <w:rFonts w:ascii="游ゴシック" w:hAnsi="游ゴシック" w:eastAsia="游ゴシック"/>
                <w:b w:val="0"/>
                <w:sz w:val="19"/>
              </w:rPr>
              <w:t>6</w:t>
            </w:r>
          </w:p>
        </w:tc>
        <w:tc>
          <w:tcPr>
            <w:tcW w:type="dxa" w:w="5896"/>
            <w:shd w:val="clear" w:color="auto" w:fill="F2F5FA"/>
            <w:vAlign w:val="center"/>
          </w:tcPr>
          <w:p>
            <w:pPr>
              <w:spacing w:after="0"/>
            </w:pPr>
            <w:r>
              <w:rPr>
                <w:rFonts w:ascii="游ゴシック" w:hAnsi="游ゴシック" w:eastAsia="游ゴシック"/>
                <w:b w:val="0"/>
                <w:sz w:val="19"/>
              </w:rPr>
              <w:t>見込量の伸び率が置いたシナリオの伸び率と一致すること</w:t>
            </w:r>
          </w:p>
        </w:tc>
        <w:tc>
          <w:tcPr>
            <w:tcW w:type="dxa" w:w="1361"/>
            <w:shd w:val="clear" w:color="auto" w:fill="F2F5FA"/>
            <w:vAlign w:val="center"/>
          </w:tcPr>
          <w:p>
            <w:pPr>
              <w:spacing w:after="0"/>
            </w:pPr>
            <w:r>
              <w:rPr>
                <w:rFonts w:ascii="游ゴシック" w:hAnsi="游ゴシック" w:eastAsia="游ゴシック"/>
                <w:b w:val="0"/>
                <w:sz w:val="19"/>
              </w:rPr>
              <w:t>内的整合</w:t>
            </w:r>
          </w:p>
        </w:tc>
      </w:tr>
      <w:tr>
        <w:trPr>
          <w:cantSplit/>
        </w:trPr>
        <w:tc>
          <w:tcPr>
            <w:tcW w:type="dxa" w:w="794"/>
            <w:vAlign w:val="center"/>
          </w:tcPr>
          <w:p>
            <w:pPr>
              <w:spacing w:after="0"/>
            </w:pPr>
            <w:r>
              <w:rPr>
                <w:rFonts w:ascii="游ゴシック" w:hAnsi="游ゴシック" w:eastAsia="游ゴシック"/>
                <w:b w:val="0"/>
                <w:sz w:val="19"/>
              </w:rPr>
              <w:t>7</w:t>
            </w:r>
          </w:p>
        </w:tc>
        <w:tc>
          <w:tcPr>
            <w:tcW w:type="dxa" w:w="5896"/>
            <w:vAlign w:val="center"/>
          </w:tcPr>
          <w:p>
            <w:pPr>
              <w:spacing w:after="0"/>
            </w:pPr>
            <w:r>
              <w:rPr>
                <w:rFonts w:ascii="游ゴシック" w:hAnsi="游ゴシック" w:eastAsia="游ゴシック"/>
                <w:b w:val="0"/>
                <w:sz w:val="19"/>
              </w:rPr>
              <w:t>年度途中の年度を基準年度に用いたパターンが算定に含まれないこと</w:t>
            </w:r>
          </w:p>
        </w:tc>
        <w:tc>
          <w:tcPr>
            <w:tcW w:type="dxa" w:w="1361"/>
            <w:vAlign w:val="center"/>
          </w:tcPr>
          <w:p>
            <w:pPr>
              <w:spacing w:after="0"/>
            </w:pPr>
            <w:r>
              <w:rPr>
                <w:rFonts w:ascii="游ゴシック" w:hAnsi="游ゴシック" w:eastAsia="游ゴシック"/>
                <w:b w:val="0"/>
                <w:sz w:val="19"/>
              </w:rPr>
              <w:t>方針</w:t>
            </w:r>
          </w:p>
        </w:tc>
      </w:tr>
      <w:tr>
        <w:trPr>
          <w:cantSplit/>
        </w:trPr>
        <w:tc>
          <w:tcPr>
            <w:tcW w:type="dxa" w:w="794"/>
            <w:shd w:val="clear" w:color="auto" w:fill="F2F5FA"/>
            <w:vAlign w:val="center"/>
          </w:tcPr>
          <w:p>
            <w:pPr>
              <w:spacing w:after="0"/>
            </w:pPr>
            <w:r>
              <w:rPr>
                <w:rFonts w:ascii="游ゴシック" w:hAnsi="游ゴシック" w:eastAsia="游ゴシック"/>
                <w:b w:val="0"/>
                <w:sz w:val="19"/>
              </w:rPr>
              <w:t>8</w:t>
            </w:r>
          </w:p>
        </w:tc>
        <w:tc>
          <w:tcPr>
            <w:tcW w:type="dxa" w:w="5896"/>
            <w:shd w:val="clear" w:color="auto" w:fill="F2F5FA"/>
            <w:vAlign w:val="center"/>
          </w:tcPr>
          <w:p>
            <w:pPr>
              <w:spacing w:after="0"/>
            </w:pPr>
            <w:r>
              <w:rPr>
                <w:rFonts w:ascii="游ゴシック" w:hAnsi="游ゴシック" w:eastAsia="游ゴシック"/>
                <w:b w:val="0"/>
                <w:sz w:val="19"/>
              </w:rPr>
              <w:t>見込量及び単価に負の値がないこと</w:t>
            </w:r>
          </w:p>
        </w:tc>
        <w:tc>
          <w:tcPr>
            <w:tcW w:type="dxa" w:w="1361"/>
            <w:shd w:val="clear" w:color="auto" w:fill="F2F5FA"/>
            <w:vAlign w:val="center"/>
          </w:tcPr>
          <w:p>
            <w:pPr>
              <w:spacing w:after="0"/>
            </w:pPr>
            <w:r>
              <w:rPr>
                <w:rFonts w:ascii="游ゴシック" w:hAnsi="游ゴシック" w:eastAsia="游ゴシック"/>
                <w:b w:val="0"/>
                <w:sz w:val="19"/>
              </w:rPr>
              <w:t>境界</w:t>
            </w:r>
          </w:p>
        </w:tc>
      </w:tr>
      <w:tr>
        <w:trPr>
          <w:cantSplit/>
        </w:trPr>
        <w:tc>
          <w:tcPr>
            <w:tcW w:type="dxa" w:w="794"/>
            <w:vAlign w:val="center"/>
          </w:tcPr>
          <w:p>
            <w:pPr>
              <w:spacing w:after="0"/>
            </w:pPr>
            <w:r>
              <w:rPr>
                <w:rFonts w:ascii="游ゴシック" w:hAnsi="游ゴシック" w:eastAsia="游ゴシック"/>
                <w:b w:val="0"/>
                <w:sz w:val="19"/>
              </w:rPr>
              <w:t>9</w:t>
            </w:r>
          </w:p>
        </w:tc>
        <w:tc>
          <w:tcPr>
            <w:tcW w:type="dxa" w:w="5896"/>
            <w:vAlign w:val="center"/>
          </w:tcPr>
          <w:p>
            <w:pPr>
              <w:spacing w:after="0"/>
            </w:pPr>
            <w:r>
              <w:rPr>
                <w:rFonts w:ascii="游ゴシック" w:hAnsi="游ゴシック" w:eastAsia="游ゴシック"/>
                <w:b w:val="0"/>
                <w:sz w:val="19"/>
              </w:rPr>
              <w:t>実績のある種別に単価が収録されていること</w:t>
            </w:r>
          </w:p>
        </w:tc>
        <w:tc>
          <w:tcPr>
            <w:tcW w:type="dxa" w:w="1361"/>
            <w:vAlign w:val="center"/>
          </w:tcPr>
          <w:p>
            <w:pPr>
              <w:spacing w:after="0"/>
            </w:pPr>
            <w:r>
              <w:rPr>
                <w:rFonts w:ascii="游ゴシック" w:hAnsi="游ゴシック" w:eastAsia="游ゴシック"/>
                <w:b w:val="0"/>
                <w:sz w:val="19"/>
              </w:rPr>
              <w:t>境界</w:t>
            </w:r>
          </w:p>
        </w:tc>
      </w:tr>
      <w:tr>
        <w:trPr>
          <w:cantSplit/>
        </w:trPr>
        <w:tc>
          <w:tcPr>
            <w:tcW w:type="dxa" w:w="794"/>
            <w:shd w:val="clear" w:color="auto" w:fill="F2F5FA"/>
            <w:vAlign w:val="center"/>
          </w:tcPr>
          <w:p>
            <w:pPr>
              <w:spacing w:after="0"/>
            </w:pPr>
            <w:r>
              <w:rPr>
                <w:rFonts w:ascii="游ゴシック" w:hAnsi="游ゴシック" w:eastAsia="游ゴシック"/>
                <w:b w:val="0"/>
                <w:sz w:val="19"/>
              </w:rPr>
              <w:t>10</w:t>
            </w:r>
          </w:p>
        </w:tc>
        <w:tc>
          <w:tcPr>
            <w:tcW w:type="dxa" w:w="5896"/>
            <w:shd w:val="clear" w:color="auto" w:fill="F2F5FA"/>
            <w:vAlign w:val="center"/>
          </w:tcPr>
          <w:p>
            <w:pPr>
              <w:spacing w:after="0"/>
            </w:pPr>
            <w:r>
              <w:rPr>
                <w:rFonts w:ascii="游ゴシック" w:hAnsi="游ゴシック" w:eastAsia="游ゴシック"/>
                <w:b w:val="0"/>
                <w:sz w:val="19"/>
              </w:rPr>
              <w:t>資料間で件数・合計が一致すること</w:t>
            </w:r>
          </w:p>
        </w:tc>
        <w:tc>
          <w:tcPr>
            <w:tcW w:type="dxa" w:w="1361"/>
            <w:shd w:val="clear" w:color="auto" w:fill="F2F5FA"/>
            <w:vAlign w:val="center"/>
          </w:tcPr>
          <w:p>
            <w:pPr>
              <w:spacing w:after="0"/>
            </w:pPr>
            <w:r>
              <w:rPr>
                <w:rFonts w:ascii="游ゴシック" w:hAnsi="游ゴシック" w:eastAsia="游ゴシック"/>
                <w:b w:val="0"/>
                <w:sz w:val="19"/>
              </w:rPr>
              <w:t>接続</w:t>
            </w:r>
          </w:p>
        </w:tc>
      </w:tr>
      <w:tr>
        <w:trPr>
          <w:cantSplit/>
        </w:trPr>
        <w:tc>
          <w:tcPr>
            <w:tcW w:type="dxa" w:w="794"/>
            <w:vAlign w:val="center"/>
          </w:tcPr>
          <w:p>
            <w:pPr>
              <w:spacing w:after="0"/>
            </w:pPr>
            <w:r>
              <w:rPr>
                <w:rFonts w:ascii="游ゴシック" w:hAnsi="游ゴシック" w:eastAsia="游ゴシック"/>
                <w:b w:val="0"/>
                <w:sz w:val="19"/>
              </w:rPr>
              <w:t>11</w:t>
            </w:r>
          </w:p>
        </w:tc>
        <w:tc>
          <w:tcPr>
            <w:tcW w:type="dxa" w:w="5896"/>
            <w:vAlign w:val="center"/>
          </w:tcPr>
          <w:p>
            <w:pPr>
              <w:spacing w:after="0"/>
            </w:pPr>
            <w:r>
              <w:rPr>
                <w:rFonts w:ascii="游ゴシック" w:hAnsi="游ゴシック" w:eastAsia="游ゴシック"/>
                <w:b w:val="0"/>
                <w:sz w:val="19"/>
              </w:rPr>
              <w:t>市町村合計と保険者単位の差が想定した年度にのみ生じること</w:t>
            </w:r>
          </w:p>
        </w:tc>
        <w:tc>
          <w:tcPr>
            <w:tcW w:type="dxa" w:w="1361"/>
            <w:vAlign w:val="center"/>
          </w:tcPr>
          <w:p>
            <w:pPr>
              <w:spacing w:after="0"/>
            </w:pPr>
            <w:r>
              <w:rPr>
                <w:rFonts w:ascii="游ゴシック" w:hAnsi="游ゴシック" w:eastAsia="游ゴシック"/>
                <w:b w:val="0"/>
                <w:sz w:val="19"/>
              </w:rPr>
              <w:t>内的整合</w:t>
            </w:r>
          </w:p>
        </w:tc>
      </w:tr>
      <w:tr>
        <w:trPr>
          <w:cantSplit/>
        </w:trPr>
        <w:tc>
          <w:tcPr>
            <w:tcW w:type="dxa" w:w="794"/>
            <w:shd w:val="clear" w:color="auto" w:fill="F2F5FA"/>
            <w:vAlign w:val="center"/>
          </w:tcPr>
          <w:p>
            <w:pPr>
              <w:spacing w:after="0"/>
            </w:pPr>
            <w:r>
              <w:rPr>
                <w:rFonts w:ascii="游ゴシック" w:hAnsi="游ゴシック" w:eastAsia="游ゴシック"/>
                <w:b w:val="0"/>
                <w:sz w:val="19"/>
              </w:rPr>
              <w:t>12</w:t>
            </w:r>
          </w:p>
        </w:tc>
        <w:tc>
          <w:tcPr>
            <w:tcW w:type="dxa" w:w="5896"/>
            <w:shd w:val="clear" w:color="auto" w:fill="F2F5FA"/>
            <w:vAlign w:val="center"/>
          </w:tcPr>
          <w:p>
            <w:pPr>
              <w:spacing w:after="0"/>
            </w:pPr>
            <w:r>
              <w:rPr>
                <w:rFonts w:ascii="游ゴシック" w:hAnsi="游ゴシック" w:eastAsia="游ゴシック"/>
                <w:b w:val="0"/>
                <w:sz w:val="19"/>
              </w:rPr>
              <w:t>単価指数の積が各年の伸びの積と一致すること</w:t>
            </w:r>
          </w:p>
        </w:tc>
        <w:tc>
          <w:tcPr>
            <w:tcW w:type="dxa" w:w="1361"/>
            <w:shd w:val="clear" w:color="auto" w:fill="F2F5FA"/>
            <w:vAlign w:val="center"/>
          </w:tcPr>
          <w:p>
            <w:pPr>
              <w:spacing w:after="0"/>
            </w:pPr>
            <w:r>
              <w:rPr>
                <w:rFonts w:ascii="游ゴシック" w:hAnsi="游ゴシック" w:eastAsia="游ゴシック"/>
                <w:b w:val="0"/>
                <w:sz w:val="19"/>
              </w:rPr>
              <w:t>内的整合</w:t>
            </w:r>
          </w:p>
        </w:tc>
      </w:tr>
      <w:tr>
        <w:trPr>
          <w:cantSplit/>
        </w:trPr>
        <w:tc>
          <w:tcPr>
            <w:tcW w:type="dxa" w:w="794"/>
            <w:vAlign w:val="center"/>
          </w:tcPr>
          <w:p>
            <w:pPr>
              <w:spacing w:after="0"/>
            </w:pPr>
            <w:r>
              <w:rPr>
                <w:rFonts w:ascii="游ゴシック" w:hAnsi="游ゴシック" w:eastAsia="游ゴシック"/>
                <w:b w:val="0"/>
                <w:sz w:val="19"/>
              </w:rPr>
              <w:t>13</w:t>
            </w:r>
          </w:p>
        </w:tc>
        <w:tc>
          <w:tcPr>
            <w:tcW w:type="dxa" w:w="5896"/>
            <w:vAlign w:val="center"/>
          </w:tcPr>
          <w:p>
            <w:pPr>
              <w:spacing w:after="0"/>
            </w:pPr>
            <w:r>
              <w:rPr>
                <w:rFonts w:ascii="游ゴシック" w:hAnsi="游ゴシック" w:eastAsia="游ゴシック"/>
                <w:b w:val="0"/>
                <w:sz w:val="19"/>
              </w:rPr>
              <w:t>記載事項の判定が3区分のいずれかであり、未対応のすべてに是正の方針があること</w:t>
            </w:r>
          </w:p>
        </w:tc>
        <w:tc>
          <w:tcPr>
            <w:tcW w:type="dxa" w:w="1361"/>
            <w:vAlign w:val="center"/>
          </w:tcPr>
          <w:p>
            <w:pPr>
              <w:spacing w:after="0"/>
            </w:pPr>
            <w:r>
              <w:rPr>
                <w:rFonts w:ascii="游ゴシック" w:hAnsi="游ゴシック" w:eastAsia="游ゴシック"/>
                <w:b w:val="0"/>
                <w:sz w:val="19"/>
              </w:rPr>
              <w:t>網羅</w:t>
            </w:r>
          </w:p>
        </w:tc>
      </w:tr>
      <w:tr>
        <w:trPr>
          <w:cantSplit/>
        </w:trPr>
        <w:tc>
          <w:tcPr>
            <w:tcW w:type="dxa" w:w="794"/>
            <w:shd w:val="clear" w:color="auto" w:fill="F2F5FA"/>
            <w:vAlign w:val="center"/>
          </w:tcPr>
          <w:p>
            <w:pPr>
              <w:spacing w:after="0"/>
            </w:pPr>
            <w:r>
              <w:rPr>
                <w:rFonts w:ascii="游ゴシック" w:hAnsi="游ゴシック" w:eastAsia="游ゴシック"/>
                <w:b w:val="0"/>
                <w:sz w:val="19"/>
              </w:rPr>
              <w:t>14</w:t>
            </w:r>
          </w:p>
        </w:tc>
        <w:tc>
          <w:tcPr>
            <w:tcW w:type="dxa" w:w="5896"/>
            <w:shd w:val="clear" w:color="auto" w:fill="F2F5FA"/>
            <w:vAlign w:val="center"/>
          </w:tcPr>
          <w:p>
            <w:pPr>
              <w:spacing w:after="0"/>
            </w:pPr>
            <w:r>
              <w:rPr>
                <w:rFonts w:ascii="游ゴシック" w:hAnsi="游ゴシック" w:eastAsia="游ゴシック"/>
                <w:b w:val="0"/>
                <w:sz w:val="19"/>
              </w:rPr>
              <w:t>禁止した表現が混入していないこと</w:t>
            </w:r>
          </w:p>
        </w:tc>
        <w:tc>
          <w:tcPr>
            <w:tcW w:type="dxa" w:w="1361"/>
            <w:shd w:val="clear" w:color="auto" w:fill="F2F5FA"/>
            <w:vAlign w:val="center"/>
          </w:tcPr>
          <w:p>
            <w:pPr>
              <w:spacing w:after="0"/>
            </w:pPr>
            <w:r>
              <w:rPr>
                <w:rFonts w:ascii="游ゴシック" w:hAnsi="游ゴシック" w:eastAsia="游ゴシック"/>
                <w:b w:val="0"/>
                <w:sz w:val="19"/>
              </w:rPr>
              <w:t>方針</w:t>
            </w:r>
          </w:p>
        </w:tc>
      </w:tr>
    </w:tbl>
    <w:p>
      <w:pPr>
        <w:ind w:left="227"/>
      </w:pPr>
      <w:r>
        <w:rPr>
          <w:rFonts w:ascii="游ゴシック" w:hAnsi="游ゴシック" w:eastAsia="游ゴシック"/>
          <w:b w:val="0"/>
          <w:sz w:val="18"/>
        </w:rPr>
        <w:t>※ 点検の件数は資料の作り方によります。本業務では成果品ごとに10件から12件を組み込んでいます。</w:t>
      </w:r>
    </w:p>
    <w:p>
      <w:pPr>
        <w:keepNext/>
        <w:spacing w:before="320" w:after="120"/>
      </w:pPr>
      <w:r>
        <w:rPr>
          <w:rFonts w:ascii="游ゴシック" w:hAnsi="游ゴシック" w:eastAsia="游ゴシック"/>
          <w:b/>
          <w:color w:val="1F3864"/>
          <w:sz w:val="26"/>
        </w:rPr>
        <w:t>おわりに</w:t>
      </w:r>
    </w:p>
    <w:p>
      <w:r>
        <w:rPr>
          <w:rFonts w:ascii="游ゴシック" w:hAnsi="游ゴシック" w:eastAsia="游ゴシック"/>
          <w:b w:val="0"/>
          <w:sz w:val="21"/>
        </w:rPr>
        <w:t>本書は、大雪地区広域連合 第10期介護保険事業計画の策定において実際に用いた手順をまとめたものです。適用例として掲げた数値は同広域連合のものであり、他の保険者に当てはめるものではありません。</w:t>
      </w:r>
    </w:p>
    <w:p>
      <w:r>
        <w:rPr>
          <w:rFonts w:ascii="游ゴシック" w:hAnsi="游ゴシック" w:eastAsia="游ゴシック"/>
          <w:b w:val="0"/>
          <w:sz w:val="21"/>
        </w:rPr>
        <w:t>方法の中心は、値を精緻にすることではなく、どの選択がどれだけ効くかを先に測り、効かないものに労力を割かないことにあります。基準年度と出所を誤れば、以降の精緻な作業は意味を失います。逆に、その2つが定まっていれば、季節補正のような細かな調整は誤差の範囲に収まります。</w:t>
      </w:r>
    </w:p>
    <w:p>
      <w:r>
        <w:rPr>
          <w:rFonts w:ascii="游ゴシック" w:hAnsi="游ゴシック" w:eastAsia="游ゴシック"/>
          <w:b w:val="0"/>
          <w:sz w:val="21"/>
        </w:rPr>
      </w:r>
    </w:p>
    <w:p>
      <w:pPr>
        <w:jc w:val="right"/>
      </w:pPr>
      <w:r>
        <w:rPr>
          <w:rFonts w:ascii="游ゴシック" w:hAnsi="游ゴシック" w:eastAsia="游ゴシック"/>
          <w:b w:val="0"/>
          <w:color w:val="595959"/>
          <w:sz w:val="20"/>
        </w:rPr>
        <w:t>ビズアップ公共コンサルティング株式会社</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