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游ゴシック" w:hAnsi="游ゴシック" w:eastAsia="游ゴシック"/>
          <w:color w:val="595959"/>
          <w:sz w:val="20"/>
        </w:rPr>
        <w:t>大雪地区広域連合介護保険事業計画策定委員会　資料</w:t>
      </w:r>
    </w:p>
    <w:p>
      <w:pPr>
        <w:spacing w:before="800"/>
        <w:jc w:val="center"/>
      </w:pPr>
      <w:r>
        <w:rPr>
          <w:rFonts w:ascii="游ゴシック" w:hAnsi="游ゴシック" w:eastAsia="游ゴシック"/>
          <w:b/>
          <w:color w:val="1F3864"/>
          <w:sz w:val="40"/>
        </w:rPr>
        <w:t>大雪地区広域連合</w:t>
        <w:br/>
        <w:t>ケアプラン点検実施要領（案）</w:t>
      </w:r>
    </w:p>
    <w:p>
      <w:pPr>
        <w:spacing w:before="200"/>
        <w:jc w:val="center"/>
      </w:pPr>
      <w:r>
        <w:rPr>
          <w:rFonts w:ascii="游ゴシック" w:hAnsi="游ゴシック" w:eastAsia="游ゴシック"/>
          <w:sz w:val="22"/>
        </w:rPr>
        <w:t>介護保険法第115条の45第5項　介護給付等費用適正化事業</w:t>
      </w:r>
    </w:p>
    <w:p>
      <w:pPr>
        <w:spacing w:before="600"/>
        <w:jc w:val="center"/>
      </w:pPr>
      <w:r>
        <w:rPr>
          <w:rFonts w:ascii="游ゴシック" w:hAnsi="游ゴシック" w:eastAsia="游ゴシック"/>
          <w:sz w:val="22"/>
        </w:rPr>
        <w:t>令和8年9月</w:t>
      </w:r>
    </w:p>
    <w:p>
      <w:r>
        <w:br w:type="page"/>
      </w:r>
    </w:p>
    <w:p>
      <w:pPr>
        <w:keepNext/>
        <w:spacing w:before="280" w:after="120"/>
      </w:pPr>
      <w:r>
        <w:rPr>
          <w:rFonts w:ascii="游ゴシック" w:hAnsi="游ゴシック" w:eastAsia="游ゴシック"/>
          <w:b/>
          <w:color w:val="1F3864"/>
          <w:sz w:val="26"/>
        </w:rPr>
        <w:t>1　目的と根拠</w:t>
      </w:r>
    </w:p>
    <w:p>
      <w:r>
        <w:rPr>
          <w:rFonts w:ascii="游ゴシック" w:hAnsi="游ゴシック" w:eastAsia="游ゴシック"/>
          <w:b w:val="0"/>
          <w:sz w:val="21"/>
        </w:rPr>
        <w:t>この要領は、大雪地区広域連合（以下「広域連合」という。）が介護保険法第115条の45第5項に基づく介護給付等費用適正化事業として行うケアプランの点検について、対象の抽出方法、点検の視点、点検後の指導と改善の確認の手順を定めるものである。</w:t>
      </w:r>
    </w:p>
    <w:p>
      <w:r>
        <w:rPr>
          <w:rFonts w:ascii="游ゴシック" w:hAnsi="游ゴシック" w:eastAsia="游ゴシック"/>
          <w:b w:val="0"/>
          <w:sz w:val="21"/>
        </w:rPr>
        <w:t>ケアプランの点検は、「介護給付適正化計画」に関する指針（令和5年9月12日老介発0912第1号別紙。以下「適正化計画指針」という。）第二の(2)①に掲げる主要3事業のひとつである。主要3事業は、要介護認定の適正化、ケアプラン等の点検、縦覧点検・医療情報との突合の3つで構成される。</w:t>
      </w:r>
    </w:p>
    <w:p>
      <w:r>
        <w:rPr>
          <w:rFonts w:ascii="游ゴシック" w:hAnsi="游ゴシック" w:eastAsia="游ゴシック"/>
          <w:b w:val="0"/>
          <w:sz w:val="21"/>
        </w:rPr>
        <w:t>点検の目的は、事業所を指導することそのものではなく、利用者の自立支援に資する適切なケアマネジメントが行われる状態をつくることにある。広域連合と居宅介護支援事業所が同じ様式で計画を確認し、確認の視点を共有することを主眼とする。</w:t>
      </w:r>
    </w:p>
    <w:p>
      <w:pPr>
        <w:keepNext/>
        <w:spacing w:before="180" w:after="60"/>
      </w:pPr>
      <w:r>
        <w:rPr>
          <w:rFonts w:ascii="游ゴシック" w:hAnsi="游ゴシック" w:eastAsia="游ゴシック"/>
          <w:b/>
          <w:sz w:val="22"/>
        </w:rPr>
        <w:t>(1) 主要3事業の実施状況</w:t>
      </w:r>
    </w:p>
    <w:p>
      <w:r>
        <w:rPr>
          <w:rFonts w:ascii="游ゴシック" w:hAnsi="游ゴシック" w:eastAsia="游ゴシック"/>
          <w:b w:val="0"/>
          <w:sz w:val="21"/>
        </w:rPr>
        <w:t>広域連合の主要3事業の実施状況は、次のとおりである。縦覧点検・医療情報との突合は令和7年度から3町とも実施しており、国の評価では満点となっている。ケアプランの点検は、令和6年度から令和8年度まで3町いずれも実施していない。</w:t>
      </w:r>
    </w:p>
    <w:p>
      <w:pPr>
        <w:keepNext/>
        <w:spacing w:before="160" w:after="40"/>
      </w:pPr>
      <w:r>
        <w:rPr>
          <w:rFonts w:ascii="游ゴシック" w:hAnsi="游ゴシック" w:eastAsia="游ゴシック"/>
          <w:b/>
          <w:sz w:val="20"/>
        </w:rPr>
        <w:t>表1　介護給付適正化の主要3事業の実施状況</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9"/>
              </w:rPr>
              <w:t>主要3事業</w:t>
            </w:r>
          </w:p>
        </w:tc>
        <w:tc>
          <w:tcPr>
            <w:tcW w:type="dxa" w:w="3402"/>
            <w:shd w:val="clear" w:color="auto" w:fill="1F3864"/>
            <w:vAlign w:val="center"/>
          </w:tcPr>
          <w:p>
            <w:pPr>
              <w:spacing w:after="0"/>
              <w:jc w:val="center"/>
            </w:pPr>
            <w:r>
              <w:rPr>
                <w:rFonts w:ascii="游ゴシック" w:hAnsi="游ゴシック" w:eastAsia="游ゴシック"/>
                <w:b/>
                <w:color w:val="FFFFFF"/>
                <w:sz w:val="19"/>
              </w:rPr>
              <w:t>実施状況</w:t>
            </w:r>
          </w:p>
        </w:tc>
        <w:tc>
          <w:tcPr>
            <w:tcW w:type="dxa" w:w="4082"/>
            <w:shd w:val="clear" w:color="auto" w:fill="1F3864"/>
            <w:vAlign w:val="center"/>
          </w:tcPr>
          <w:p>
            <w:pPr>
              <w:spacing w:after="0"/>
              <w:jc w:val="center"/>
            </w:pPr>
            <w:r>
              <w:rPr>
                <w:rFonts w:ascii="游ゴシック" w:hAnsi="游ゴシック" w:eastAsia="游ゴシック"/>
                <w:b/>
                <w:color w:val="FFFFFF"/>
                <w:sz w:val="19"/>
              </w:rPr>
              <w:t>国の評価（令和8年度）</w:t>
            </w:r>
          </w:p>
        </w:tc>
      </w:tr>
      <w:tr>
        <w:trPr>
          <w:cantSplit/>
        </w:trPr>
        <w:tc>
          <w:tcPr>
            <w:tcW w:type="dxa" w:w="2268"/>
            <w:vAlign w:val="center"/>
          </w:tcPr>
          <w:p>
            <w:pPr>
              <w:spacing w:after="0"/>
            </w:pPr>
            <w:r>
              <w:rPr>
                <w:rFonts w:ascii="游ゴシック" w:hAnsi="游ゴシック" w:eastAsia="游ゴシック"/>
                <w:b w:val="0"/>
                <w:sz w:val="19"/>
              </w:rPr>
              <w:t>要介護認定の適正化</w:t>
            </w:r>
          </w:p>
        </w:tc>
        <w:tc>
          <w:tcPr>
            <w:tcW w:type="dxa" w:w="3402"/>
            <w:vAlign w:val="center"/>
          </w:tcPr>
          <w:p>
            <w:pPr>
              <w:spacing w:after="0"/>
            </w:pPr>
            <w:r>
              <w:rPr>
                <w:rFonts w:ascii="游ゴシック" w:hAnsi="游ゴシック" w:eastAsia="游ゴシック"/>
                <w:b w:val="0"/>
                <w:sz w:val="19"/>
              </w:rPr>
              <w:t>［要確認］</w:t>
            </w:r>
          </w:p>
        </w:tc>
        <w:tc>
          <w:tcPr>
            <w:tcW w:type="dxa" w:w="4082"/>
            <w:vAlign w:val="center"/>
          </w:tcPr>
          <w:p>
            <w:pPr>
              <w:spacing w:after="0"/>
            </w:pPr>
            <w:r>
              <w:rPr>
                <w:rFonts w:ascii="游ゴシック" w:hAnsi="游ゴシック" w:eastAsia="游ゴシック"/>
                <w:b w:val="0"/>
                <w:sz w:val="19"/>
              </w:rPr>
              <w:t>単独の評価項目がなく、公表資料からは確認できない</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ケアプラン等の点検</w:t>
            </w:r>
          </w:p>
        </w:tc>
        <w:tc>
          <w:tcPr>
            <w:tcW w:type="dxa" w:w="3402"/>
            <w:shd w:val="clear" w:color="auto" w:fill="F2F5FA"/>
            <w:vAlign w:val="center"/>
          </w:tcPr>
          <w:p>
            <w:pPr>
              <w:spacing w:after="0"/>
            </w:pPr>
            <w:r>
              <w:rPr>
                <w:rFonts w:ascii="游ゴシック" w:hAnsi="游ゴシック" w:eastAsia="游ゴシック"/>
                <w:b w:val="0"/>
                <w:sz w:val="19"/>
              </w:rPr>
              <w:t>未実施（本要領により令和9年度から実施）</w:t>
            </w:r>
          </w:p>
        </w:tc>
        <w:tc>
          <w:tcPr>
            <w:tcW w:type="dxa" w:w="4082"/>
            <w:shd w:val="clear" w:color="auto" w:fill="F2F5FA"/>
            <w:vAlign w:val="center"/>
          </w:tcPr>
          <w:p>
            <w:pPr>
              <w:spacing w:after="0"/>
            </w:pPr>
            <w:r>
              <w:rPr>
                <w:rFonts w:ascii="游ゴシック" w:hAnsi="游ゴシック" w:eastAsia="游ゴシック"/>
                <w:b w:val="0"/>
                <w:sz w:val="19"/>
              </w:rPr>
              <w:t>ケアプラン点検の実施割合　3町とも0点／16点</w:t>
            </w:r>
          </w:p>
        </w:tc>
      </w:tr>
      <w:tr>
        <w:trPr>
          <w:cantSplit/>
        </w:trPr>
        <w:tc>
          <w:tcPr>
            <w:tcW w:type="dxa" w:w="2268"/>
            <w:vAlign w:val="center"/>
          </w:tcPr>
          <w:p>
            <w:pPr>
              <w:spacing w:after="0"/>
            </w:pPr>
            <w:r>
              <w:rPr>
                <w:rFonts w:ascii="游ゴシック" w:hAnsi="游ゴシック" w:eastAsia="游ゴシック"/>
                <w:b w:val="0"/>
                <w:sz w:val="19"/>
              </w:rPr>
              <w:t>縦覧点検・医療情報との突合</w:t>
            </w:r>
          </w:p>
        </w:tc>
        <w:tc>
          <w:tcPr>
            <w:tcW w:type="dxa" w:w="3402"/>
            <w:vAlign w:val="center"/>
          </w:tcPr>
          <w:p>
            <w:pPr>
              <w:spacing w:after="0"/>
            </w:pPr>
            <w:r>
              <w:rPr>
                <w:rFonts w:ascii="游ゴシック" w:hAnsi="游ゴシック" w:eastAsia="游ゴシック"/>
                <w:b w:val="0"/>
                <w:sz w:val="19"/>
              </w:rPr>
              <w:t>令和7年度から3町とも実施</w:t>
            </w:r>
          </w:p>
        </w:tc>
        <w:tc>
          <w:tcPr>
            <w:tcW w:type="dxa" w:w="4082"/>
            <w:vAlign w:val="center"/>
          </w:tcPr>
          <w:p>
            <w:pPr>
              <w:spacing w:after="0"/>
            </w:pPr>
            <w:r>
              <w:rPr>
                <w:rFonts w:ascii="游ゴシック" w:hAnsi="游ゴシック" w:eastAsia="游ゴシック"/>
                <w:b w:val="0"/>
                <w:sz w:val="19"/>
              </w:rPr>
              <w:t>医療情報との突合の実施割合　3町とも16点／16点</w:t>
            </w:r>
          </w:p>
        </w:tc>
      </w:tr>
    </w:tbl>
    <w:p>
      <w:pPr>
        <w:spacing w:before="40"/>
        <w:jc w:val="right"/>
      </w:pPr>
      <w:r>
        <w:rPr>
          <w:rFonts w:ascii="游ゴシック" w:hAnsi="游ゴシック" w:eastAsia="游ゴシック"/>
          <w:sz w:val="17"/>
        </w:rPr>
        <w:t>資料：令和6〜8年度 保険者機能強化推進交付金等の評価結果（厚生労働省公表資料）</w:t>
      </w:r>
    </w:p>
    <w:p>
      <w:r>
        <w:rPr>
          <w:rFonts w:ascii="游ゴシック" w:hAnsi="游ゴシック" w:eastAsia="游ゴシック"/>
          <w:b w:val="0"/>
          <w:sz w:val="21"/>
        </w:rPr>
        <w:t>主要3事業のうち1事業が未実施であるため、評価指標「3事業の全てを実施している」（配点6点）が3町とも0点となっている。この項目は全国の96.9％の市町村が得点している。ケアプランの点検に着手することで、この6点と、ケアプラン点検の実施割合（最大16点）が評価の対象となる。</w:t>
      </w:r>
    </w:p>
    <w:p>
      <w:pPr>
        <w:keepNext/>
        <w:spacing w:before="280" w:after="120"/>
      </w:pPr>
      <w:r>
        <w:rPr>
          <w:rFonts w:ascii="游ゴシック" w:hAnsi="游ゴシック" w:eastAsia="游ゴシック"/>
          <w:b/>
          <w:color w:val="1F3864"/>
          <w:sz w:val="26"/>
        </w:rPr>
        <w:t>2　点検の範囲</w:t>
      </w:r>
    </w:p>
    <w:p>
      <w:r>
        <w:rPr>
          <w:rFonts w:ascii="游ゴシック" w:hAnsi="游ゴシック" w:eastAsia="游ゴシック"/>
          <w:b w:val="0"/>
          <w:sz w:val="21"/>
        </w:rPr>
        <w:t>国の評価指標にいう「ケアプラン等の点検」は、次の3つを統合したものであり、いずれかを実施している場合に実施しているものとして取り扱われる。広域連合は、3つのすべてを実施する。</w:t>
      </w:r>
    </w:p>
    <w:p>
      <w:pPr>
        <w:keepNext/>
        <w:spacing w:before="160" w:after="40"/>
      </w:pPr>
      <w:r>
        <w:rPr>
          <w:rFonts w:ascii="游ゴシック" w:hAnsi="游ゴシック" w:eastAsia="游ゴシック"/>
          <w:b/>
          <w:sz w:val="20"/>
        </w:rPr>
        <w:t>表2　点検の範囲と根拠</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814"/>
            <w:shd w:val="clear" w:color="auto" w:fill="1F3864"/>
            <w:vAlign w:val="center"/>
          </w:tcPr>
          <w:p>
            <w:pPr>
              <w:spacing w:after="0"/>
              <w:jc w:val="center"/>
            </w:pPr>
            <w:r>
              <w:rPr>
                <w:rFonts w:ascii="游ゴシック" w:hAnsi="游ゴシック" w:eastAsia="游ゴシック"/>
                <w:b/>
                <w:color w:val="FFFFFF"/>
                <w:sz w:val="19"/>
              </w:rPr>
              <w:t>区分</w:t>
            </w:r>
          </w:p>
        </w:tc>
        <w:tc>
          <w:tcPr>
            <w:tcW w:type="dxa" w:w="3742"/>
            <w:shd w:val="clear" w:color="auto" w:fill="1F3864"/>
            <w:vAlign w:val="center"/>
          </w:tcPr>
          <w:p>
            <w:pPr>
              <w:spacing w:after="0"/>
              <w:jc w:val="center"/>
            </w:pPr>
            <w:r>
              <w:rPr>
                <w:rFonts w:ascii="游ゴシック" w:hAnsi="游ゴシック" w:eastAsia="游ゴシック"/>
                <w:b/>
                <w:color w:val="FFFFFF"/>
                <w:sz w:val="19"/>
              </w:rPr>
              <w:t>内容</w:t>
            </w:r>
          </w:p>
        </w:tc>
        <w:tc>
          <w:tcPr>
            <w:tcW w:type="dxa" w:w="1814"/>
            <w:shd w:val="clear" w:color="auto" w:fill="1F3864"/>
            <w:vAlign w:val="center"/>
          </w:tcPr>
          <w:p>
            <w:pPr>
              <w:spacing w:after="0"/>
              <w:jc w:val="center"/>
            </w:pPr>
            <w:r>
              <w:rPr>
                <w:rFonts w:ascii="游ゴシック" w:hAnsi="游ゴシック" w:eastAsia="游ゴシック"/>
                <w:b/>
                <w:color w:val="FFFFFF"/>
                <w:sz w:val="19"/>
              </w:rPr>
              <w:t>根拠</w:t>
            </w:r>
          </w:p>
        </w:tc>
        <w:tc>
          <w:tcPr>
            <w:tcW w:type="dxa" w:w="2381"/>
            <w:shd w:val="clear" w:color="auto" w:fill="1F3864"/>
            <w:vAlign w:val="center"/>
          </w:tcPr>
          <w:p>
            <w:pPr>
              <w:spacing w:after="0"/>
              <w:jc w:val="center"/>
            </w:pPr>
            <w:r>
              <w:rPr>
                <w:rFonts w:ascii="游ゴシック" w:hAnsi="游ゴシック" w:eastAsia="游ゴシック"/>
                <w:b/>
                <w:color w:val="FFFFFF"/>
                <w:sz w:val="19"/>
              </w:rPr>
              <w:t>区域内の実績（月平均）</w:t>
            </w:r>
          </w:p>
        </w:tc>
      </w:tr>
      <w:tr>
        <w:trPr>
          <w:cantSplit/>
        </w:trPr>
        <w:tc>
          <w:tcPr>
            <w:tcW w:type="dxa" w:w="1814"/>
            <w:vAlign w:val="center"/>
          </w:tcPr>
          <w:p>
            <w:pPr>
              <w:spacing w:after="0"/>
            </w:pPr>
            <w:r>
              <w:rPr>
                <w:rFonts w:ascii="游ゴシック" w:hAnsi="游ゴシック" w:eastAsia="游ゴシック"/>
                <w:b w:val="0"/>
                <w:sz w:val="19"/>
              </w:rPr>
              <w:t>ケアプランの点検</w:t>
            </w:r>
          </w:p>
        </w:tc>
        <w:tc>
          <w:tcPr>
            <w:tcW w:type="dxa" w:w="3742"/>
            <w:vAlign w:val="center"/>
          </w:tcPr>
          <w:p>
            <w:pPr>
              <w:spacing w:after="0"/>
            </w:pPr>
            <w:r>
              <w:rPr>
                <w:rFonts w:ascii="游ゴシック" w:hAnsi="游ゴシック" w:eastAsia="游ゴシック"/>
                <w:b w:val="0"/>
                <w:sz w:val="19"/>
              </w:rPr>
              <w:t>居宅介護サービス計画、介護予防サービス計画の記載内容について、事業所からの提出又は事業所への訪問等による保険者の視点からの確認及び確認結果に基づく指導等を行う</w:t>
            </w:r>
          </w:p>
        </w:tc>
        <w:tc>
          <w:tcPr>
            <w:tcW w:type="dxa" w:w="1814"/>
            <w:vAlign w:val="center"/>
          </w:tcPr>
          <w:p>
            <w:pPr>
              <w:spacing w:after="0"/>
            </w:pPr>
            <w:r>
              <w:rPr>
                <w:rFonts w:ascii="游ゴシック" w:hAnsi="游ゴシック" w:eastAsia="游ゴシック"/>
                <w:b w:val="0"/>
                <w:sz w:val="19"/>
              </w:rPr>
              <w:t>令和8年度評価指標</w:t>
              <w:br/>
              <w:t>目標Ⅱ（ⅱ）1</w:t>
            </w:r>
          </w:p>
        </w:tc>
        <w:tc>
          <w:tcPr>
            <w:tcW w:type="dxa" w:w="2381"/>
            <w:vAlign w:val="center"/>
          </w:tcPr>
          <w:p>
            <w:pPr>
              <w:spacing w:after="0"/>
            </w:pPr>
            <w:r>
              <w:rPr>
                <w:rFonts w:ascii="游ゴシック" w:hAnsi="游ゴシック" w:eastAsia="游ゴシック"/>
                <w:b w:val="0"/>
                <w:sz w:val="19"/>
              </w:rPr>
              <w:t>居宅介護支援 667人</w:t>
              <w:br/>
              <w:t>介護予防支援 259人</w:t>
            </w:r>
          </w:p>
        </w:tc>
      </w:tr>
      <w:tr>
        <w:trPr>
          <w:cantSplit/>
        </w:trPr>
        <w:tc>
          <w:tcPr>
            <w:tcW w:type="dxa" w:w="1814"/>
            <w:shd w:val="clear" w:color="auto" w:fill="F2F5FA"/>
            <w:vAlign w:val="center"/>
          </w:tcPr>
          <w:p>
            <w:pPr>
              <w:spacing w:after="0"/>
            </w:pPr>
            <w:r>
              <w:rPr>
                <w:rFonts w:ascii="游ゴシック" w:hAnsi="游ゴシック" w:eastAsia="游ゴシック"/>
                <w:b w:val="0"/>
                <w:sz w:val="19"/>
              </w:rPr>
              <w:t>住宅改修の点検</w:t>
            </w:r>
          </w:p>
        </w:tc>
        <w:tc>
          <w:tcPr>
            <w:tcW w:type="dxa" w:w="3742"/>
            <w:shd w:val="clear" w:color="auto" w:fill="F2F5FA"/>
            <w:vAlign w:val="center"/>
          </w:tcPr>
          <w:p>
            <w:pPr>
              <w:spacing w:after="0"/>
            </w:pPr>
            <w:r>
              <w:rPr>
                <w:rFonts w:ascii="游ゴシック" w:hAnsi="游ゴシック" w:eastAsia="游ゴシック"/>
                <w:b w:val="0"/>
                <w:sz w:val="19"/>
              </w:rPr>
              <w:t>住宅改修が必要と認められる理由等の確認、施工前後の書類・現地の確認等</w:t>
            </w:r>
          </w:p>
        </w:tc>
        <w:tc>
          <w:tcPr>
            <w:tcW w:type="dxa" w:w="1814"/>
            <w:shd w:val="clear" w:color="auto" w:fill="F2F5FA"/>
            <w:vAlign w:val="center"/>
          </w:tcPr>
          <w:p>
            <w:pPr>
              <w:spacing w:after="0"/>
            </w:pPr>
            <w:r>
              <w:rPr>
                <w:rFonts w:ascii="游ゴシック" w:hAnsi="游ゴシック" w:eastAsia="游ゴシック"/>
                <w:b w:val="0"/>
                <w:sz w:val="19"/>
              </w:rPr>
              <w:t>適正化計画指針</w:t>
              <w:br/>
              <w:t>第二の(2)①2)ⅱ</w:t>
            </w:r>
          </w:p>
        </w:tc>
        <w:tc>
          <w:tcPr>
            <w:tcW w:type="dxa" w:w="2381"/>
            <w:shd w:val="clear" w:color="auto" w:fill="F2F5FA"/>
            <w:vAlign w:val="center"/>
          </w:tcPr>
          <w:p>
            <w:pPr>
              <w:spacing w:after="0"/>
            </w:pPr>
            <w:r>
              <w:rPr>
                <w:rFonts w:ascii="游ゴシック" w:hAnsi="游ゴシック" w:eastAsia="游ゴシック"/>
                <w:b w:val="0"/>
                <w:sz w:val="19"/>
              </w:rPr>
              <w:t>住宅改修費 13人</w:t>
            </w:r>
          </w:p>
        </w:tc>
      </w:tr>
      <w:tr>
        <w:trPr>
          <w:cantSplit/>
        </w:trPr>
        <w:tc>
          <w:tcPr>
            <w:tcW w:type="dxa" w:w="1814"/>
            <w:vAlign w:val="center"/>
          </w:tcPr>
          <w:p>
            <w:pPr>
              <w:spacing w:after="0"/>
            </w:pPr>
            <w:r>
              <w:rPr>
                <w:rFonts w:ascii="游ゴシック" w:hAnsi="游ゴシック" w:eastAsia="游ゴシック"/>
                <w:b w:val="0"/>
                <w:sz w:val="19"/>
              </w:rPr>
              <w:t>福祉用具購入・貸与調査</w:t>
            </w:r>
          </w:p>
        </w:tc>
        <w:tc>
          <w:tcPr>
            <w:tcW w:type="dxa" w:w="3742"/>
            <w:vAlign w:val="center"/>
          </w:tcPr>
          <w:p>
            <w:pPr>
              <w:spacing w:after="0"/>
            </w:pPr>
            <w:r>
              <w:rPr>
                <w:rFonts w:ascii="游ゴシック" w:hAnsi="游ゴシック" w:eastAsia="游ゴシック"/>
                <w:b w:val="0"/>
                <w:sz w:val="19"/>
              </w:rPr>
              <w:t>福祉用具の必要性、利用状況の確認等</w:t>
            </w:r>
          </w:p>
        </w:tc>
        <w:tc>
          <w:tcPr>
            <w:tcW w:type="dxa" w:w="1814"/>
            <w:vAlign w:val="center"/>
          </w:tcPr>
          <w:p>
            <w:pPr>
              <w:spacing w:after="0"/>
            </w:pPr>
            <w:r>
              <w:rPr>
                <w:rFonts w:ascii="游ゴシック" w:hAnsi="游ゴシック" w:eastAsia="游ゴシック"/>
                <w:b w:val="0"/>
                <w:sz w:val="19"/>
              </w:rPr>
              <w:t>適正化計画指針</w:t>
              <w:br/>
              <w:t>第二の(2)①2)ⅲ</w:t>
            </w:r>
          </w:p>
        </w:tc>
        <w:tc>
          <w:tcPr>
            <w:tcW w:type="dxa" w:w="2381"/>
            <w:vAlign w:val="center"/>
          </w:tcPr>
          <w:p>
            <w:pPr>
              <w:spacing w:after="0"/>
            </w:pPr>
            <w:r>
              <w:rPr>
                <w:rFonts w:ascii="游ゴシック" w:hAnsi="游ゴシック" w:eastAsia="游ゴシック"/>
                <w:b w:val="0"/>
                <w:sz w:val="19"/>
              </w:rPr>
              <w:t>特定福祉用具購入費 15人</w:t>
              <w:br/>
              <w:t>福祉用具貸与 671人</w:t>
            </w:r>
          </w:p>
        </w:tc>
      </w:tr>
    </w:tbl>
    <w:p>
      <w:pPr>
        <w:spacing w:before="40"/>
        <w:jc w:val="right"/>
      </w:pPr>
      <w:r>
        <w:rPr>
          <w:rFonts w:ascii="游ゴシック" w:hAnsi="游ゴシック" w:eastAsia="游ゴシック"/>
          <w:sz w:val="17"/>
        </w:rPr>
        <w:t>資料：給付実績（大雪地区広域連合 給付費データ集計）令和7年度の月平均利用者数</w:t>
      </w:r>
    </w:p>
    <w:p>
      <w:pPr>
        <w:ind w:left="227"/>
      </w:pPr>
      <w:r>
        <w:rPr>
          <w:rFonts w:ascii="游ゴシック" w:hAnsi="游ゴシック" w:eastAsia="游ゴシック"/>
          <w:sz w:val="18"/>
        </w:rPr>
        <w:t>※ 福祉用具貸与調査についても、適正化計画指針は、小規模保険者等であっても効果的に調査を実施できるよう、「認定調査状況と利用サービス不一致一覧表」により調査対象を絞り込んだうえで優先的に行うこととしている。ケアプランの点検で用いる帳票と同一であるため、同じ抽出結果を用いて一体的に行う。</w:t>
      </w:r>
    </w:p>
    <w:p>
      <w:pPr>
        <w:ind w:left="227"/>
      </w:pPr>
      <w:r>
        <w:rPr>
          <w:rFonts w:ascii="游ゴシック" w:hAnsi="游ゴシック" w:eastAsia="游ゴシック"/>
          <w:sz w:val="18"/>
        </w:rPr>
        <w:t>※ 令和8年度の給付実績は年度途中の集計であるため、月平均利用者数は令和7年度の値を用いている。令和6年度の居宅介護支援と介護予防支援の合計は883人であり、令和7年度は926人である。</w:t>
      </w:r>
    </w:p>
    <w:p>
      <w:pPr>
        <w:keepNext/>
        <w:spacing w:before="280" w:after="120"/>
      </w:pPr>
      <w:r>
        <w:rPr>
          <w:rFonts w:ascii="游ゴシック" w:hAnsi="游ゴシック" w:eastAsia="游ゴシック"/>
          <w:b/>
          <w:color w:val="1F3864"/>
          <w:sz w:val="26"/>
        </w:rPr>
        <w:t>3　点検の対象</w:t>
      </w:r>
    </w:p>
    <w:p>
      <w:pPr>
        <w:keepNext/>
        <w:spacing w:before="180" w:after="60"/>
      </w:pPr>
      <w:r>
        <w:rPr>
          <w:rFonts w:ascii="游ゴシック" w:hAnsi="游ゴシック" w:eastAsia="游ゴシック"/>
          <w:b/>
          <w:sz w:val="22"/>
        </w:rPr>
        <w:t>(1) 対象とする計画</w:t>
      </w:r>
    </w:p>
    <w:p>
      <w:pPr>
        <w:ind w:left="340" w:hanging="340"/>
      </w:pPr>
      <w:r>
        <w:rPr>
          <w:rFonts w:ascii="游ゴシック" w:hAnsi="游ゴシック" w:eastAsia="游ゴシック"/>
          <w:sz w:val="21"/>
        </w:rPr>
        <w:t>・居宅サービス計画（居宅介護支援事業所が作成するもの）</w:t>
      </w:r>
    </w:p>
    <w:p>
      <w:pPr>
        <w:ind w:left="340" w:hanging="340"/>
      </w:pPr>
      <w:r>
        <w:rPr>
          <w:rFonts w:ascii="游ゴシック" w:hAnsi="游ゴシック" w:eastAsia="游ゴシック"/>
          <w:sz w:val="21"/>
        </w:rPr>
        <w:t>・介護予防サービス計画（地域包括支援センターが作成するもの及び居宅介護支援事業所に委託しているもの）</w:t>
      </w:r>
    </w:p>
    <w:p>
      <w:r>
        <w:rPr>
          <w:rFonts w:ascii="游ゴシック" w:hAnsi="游ゴシック" w:eastAsia="游ゴシック"/>
          <w:b w:val="0"/>
          <w:sz w:val="21"/>
        </w:rPr>
        <w:t>自らの事業所がサービスを提供する計画（いわゆる自己作成・同一法人内でのサービス提供が多い計画）を優先して抽出する。</w:t>
      </w:r>
    </w:p>
    <w:p>
      <w:pPr>
        <w:keepNext/>
        <w:spacing w:before="180" w:after="60"/>
      </w:pPr>
      <w:r>
        <w:rPr>
          <w:rFonts w:ascii="游ゴシック" w:hAnsi="游ゴシック" w:eastAsia="游ゴシック"/>
          <w:b/>
          <w:sz w:val="22"/>
        </w:rPr>
        <w:t>(2) 対象とする事業所</w:t>
      </w:r>
    </w:p>
    <w:p>
      <w:r>
        <w:rPr>
          <w:rFonts w:ascii="游ゴシック" w:hAnsi="游ゴシック" w:eastAsia="游ゴシック"/>
          <w:b w:val="0"/>
          <w:sz w:val="21"/>
        </w:rPr>
        <w:t>区域内の居宅介護支援事業所は、3町の社会資源一覧では11事業所、北海道の指定事業所一覧では13事業所である。点検は、両方に掲載されている11事業所を対象とし、毎年度1巡する。北海道の一覧にのみ掲載されている2事業所は、指定の状況を確認のうえ対象に加える。</w:t>
      </w:r>
    </w:p>
    <w:p>
      <w:pPr>
        <w:keepNext/>
        <w:spacing w:before="160" w:after="40"/>
      </w:pPr>
      <w:r>
        <w:rPr>
          <w:rFonts w:ascii="游ゴシック" w:hAnsi="游ゴシック" w:eastAsia="游ゴシック"/>
          <w:b/>
          <w:sz w:val="20"/>
        </w:rPr>
        <w:t>表3　区域内の居宅介護支援事業所数</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041"/>
            <w:shd w:val="clear" w:color="auto" w:fill="1F3864"/>
            <w:vAlign w:val="center"/>
          </w:tcPr>
          <w:p>
            <w:pPr>
              <w:spacing w:after="0"/>
              <w:jc w:val="center"/>
            </w:pPr>
            <w:r>
              <w:rPr>
                <w:rFonts w:ascii="游ゴシック" w:hAnsi="游ゴシック" w:eastAsia="游ゴシック"/>
                <w:b/>
                <w:color w:val="FFFFFF"/>
                <w:sz w:val="19"/>
              </w:rPr>
              <w:t>町</w:t>
            </w:r>
          </w:p>
        </w:tc>
        <w:tc>
          <w:tcPr>
            <w:tcW w:type="dxa" w:w="2494"/>
            <w:shd w:val="clear" w:color="auto" w:fill="1F3864"/>
            <w:vAlign w:val="center"/>
          </w:tcPr>
          <w:p>
            <w:pPr>
              <w:spacing w:after="0"/>
              <w:jc w:val="center"/>
            </w:pPr>
            <w:r>
              <w:rPr>
                <w:rFonts w:ascii="游ゴシック" w:hAnsi="游ゴシック" w:eastAsia="游ゴシック"/>
                <w:b/>
                <w:color w:val="FFFFFF"/>
                <w:sz w:val="19"/>
              </w:rPr>
              <w:t>社会資源一覧</w:t>
            </w:r>
          </w:p>
        </w:tc>
        <w:tc>
          <w:tcPr>
            <w:tcW w:type="dxa" w:w="3061"/>
            <w:shd w:val="clear" w:color="auto" w:fill="1F3864"/>
            <w:vAlign w:val="center"/>
          </w:tcPr>
          <w:p>
            <w:pPr>
              <w:spacing w:after="0"/>
              <w:jc w:val="center"/>
            </w:pPr>
            <w:r>
              <w:rPr>
                <w:rFonts w:ascii="游ゴシック" w:hAnsi="游ゴシック" w:eastAsia="游ゴシック"/>
                <w:b/>
                <w:color w:val="FFFFFF"/>
                <w:sz w:val="19"/>
              </w:rPr>
              <w:t>北海道の指定事業所一覧</w:t>
            </w:r>
          </w:p>
        </w:tc>
        <w:tc>
          <w:tcPr>
            <w:tcW w:type="dxa" w:w="2041"/>
            <w:shd w:val="clear" w:color="auto" w:fill="1F3864"/>
            <w:vAlign w:val="center"/>
          </w:tcPr>
          <w:p>
            <w:pPr>
              <w:spacing w:after="0"/>
              <w:jc w:val="center"/>
            </w:pPr>
            <w:r>
              <w:rPr>
                <w:rFonts w:ascii="游ゴシック" w:hAnsi="游ゴシック" w:eastAsia="游ゴシック"/>
                <w:b/>
                <w:color w:val="FFFFFF"/>
                <w:sz w:val="19"/>
              </w:rPr>
              <w:t>差</w:t>
            </w:r>
          </w:p>
        </w:tc>
      </w:tr>
      <w:tr>
        <w:trPr>
          <w:cantSplit/>
        </w:trPr>
        <w:tc>
          <w:tcPr>
            <w:tcW w:type="dxa" w:w="2041"/>
            <w:vAlign w:val="center"/>
          </w:tcPr>
          <w:p>
            <w:pPr>
              <w:spacing w:after="0"/>
            </w:pPr>
            <w:r>
              <w:rPr>
                <w:rFonts w:ascii="游ゴシック" w:hAnsi="游ゴシック" w:eastAsia="游ゴシック"/>
                <w:b w:val="0"/>
                <w:sz w:val="19"/>
              </w:rPr>
              <w:t>東川町</w:t>
            </w:r>
          </w:p>
        </w:tc>
        <w:tc>
          <w:tcPr>
            <w:tcW w:type="dxa" w:w="2494"/>
            <w:vAlign w:val="center"/>
          </w:tcPr>
          <w:p>
            <w:pPr>
              <w:spacing w:after="0"/>
              <w:jc w:val="center"/>
            </w:pPr>
            <w:r>
              <w:rPr>
                <w:rFonts w:ascii="游ゴシック" w:hAnsi="游ゴシック" w:eastAsia="游ゴシック"/>
                <w:b w:val="0"/>
                <w:sz w:val="19"/>
              </w:rPr>
              <w:t>5</w:t>
            </w:r>
          </w:p>
        </w:tc>
        <w:tc>
          <w:tcPr>
            <w:tcW w:type="dxa" w:w="3061"/>
            <w:vAlign w:val="center"/>
          </w:tcPr>
          <w:p>
            <w:pPr>
              <w:spacing w:after="0"/>
              <w:jc w:val="center"/>
            </w:pPr>
            <w:r>
              <w:rPr>
                <w:rFonts w:ascii="游ゴシック" w:hAnsi="游ゴシック" w:eastAsia="游ゴシック"/>
                <w:b w:val="0"/>
                <w:sz w:val="19"/>
              </w:rPr>
              <w:t>5</w:t>
            </w:r>
          </w:p>
        </w:tc>
        <w:tc>
          <w:tcPr>
            <w:tcW w:type="dxa" w:w="2041"/>
            <w:vAlign w:val="center"/>
          </w:tcPr>
          <w:p>
            <w:pPr>
              <w:spacing w:after="0"/>
              <w:jc w:val="center"/>
            </w:pPr>
            <w:r>
              <w:rPr>
                <w:rFonts w:ascii="游ゴシック" w:hAnsi="游ゴシック" w:eastAsia="游ゴシック"/>
                <w:b w:val="0"/>
                <w:sz w:val="19"/>
              </w:rPr>
              <w:t>0</w:t>
            </w:r>
          </w:p>
        </w:tc>
      </w:tr>
      <w:tr>
        <w:trPr>
          <w:cantSplit/>
        </w:trPr>
        <w:tc>
          <w:tcPr>
            <w:tcW w:type="dxa" w:w="2041"/>
            <w:shd w:val="clear" w:color="auto" w:fill="F2F5FA"/>
            <w:vAlign w:val="center"/>
          </w:tcPr>
          <w:p>
            <w:pPr>
              <w:spacing w:after="0"/>
            </w:pPr>
            <w:r>
              <w:rPr>
                <w:rFonts w:ascii="游ゴシック" w:hAnsi="游ゴシック" w:eastAsia="游ゴシック"/>
                <w:b w:val="0"/>
                <w:sz w:val="19"/>
              </w:rPr>
              <w:t>美瑛町</w:t>
            </w:r>
          </w:p>
        </w:tc>
        <w:tc>
          <w:tcPr>
            <w:tcW w:type="dxa" w:w="2494"/>
            <w:shd w:val="clear" w:color="auto" w:fill="F2F5FA"/>
            <w:vAlign w:val="center"/>
          </w:tcPr>
          <w:p>
            <w:pPr>
              <w:spacing w:after="0"/>
              <w:jc w:val="center"/>
            </w:pPr>
            <w:r>
              <w:rPr>
                <w:rFonts w:ascii="游ゴシック" w:hAnsi="游ゴシック" w:eastAsia="游ゴシック"/>
                <w:b w:val="0"/>
                <w:sz w:val="19"/>
              </w:rPr>
              <w:t>3</w:t>
            </w:r>
          </w:p>
        </w:tc>
        <w:tc>
          <w:tcPr>
            <w:tcW w:type="dxa" w:w="3061"/>
            <w:shd w:val="clear" w:color="auto" w:fill="F2F5FA"/>
            <w:vAlign w:val="center"/>
          </w:tcPr>
          <w:p>
            <w:pPr>
              <w:spacing w:after="0"/>
              <w:jc w:val="center"/>
            </w:pPr>
            <w:r>
              <w:rPr>
                <w:rFonts w:ascii="游ゴシック" w:hAnsi="游ゴシック" w:eastAsia="游ゴシック"/>
                <w:b w:val="0"/>
                <w:sz w:val="19"/>
              </w:rPr>
              <w:t>5</w:t>
            </w:r>
          </w:p>
        </w:tc>
        <w:tc>
          <w:tcPr>
            <w:tcW w:type="dxa" w:w="2041"/>
            <w:shd w:val="clear" w:color="auto" w:fill="F2F5FA"/>
            <w:vAlign w:val="center"/>
          </w:tcPr>
          <w:p>
            <w:pPr>
              <w:spacing w:after="0"/>
              <w:jc w:val="center"/>
            </w:pPr>
            <w:r>
              <w:rPr>
                <w:rFonts w:ascii="游ゴシック" w:hAnsi="游ゴシック" w:eastAsia="游ゴシック"/>
                <w:b w:val="0"/>
                <w:sz w:val="19"/>
              </w:rPr>
              <w:t>2</w:t>
            </w:r>
          </w:p>
        </w:tc>
      </w:tr>
      <w:tr>
        <w:trPr>
          <w:cantSplit/>
        </w:trPr>
        <w:tc>
          <w:tcPr>
            <w:tcW w:type="dxa" w:w="2041"/>
            <w:vAlign w:val="center"/>
          </w:tcPr>
          <w:p>
            <w:pPr>
              <w:spacing w:after="0"/>
            </w:pPr>
            <w:r>
              <w:rPr>
                <w:rFonts w:ascii="游ゴシック" w:hAnsi="游ゴシック" w:eastAsia="游ゴシック"/>
                <w:b w:val="0"/>
                <w:sz w:val="19"/>
              </w:rPr>
              <w:t>東神楽町</w:t>
            </w:r>
          </w:p>
        </w:tc>
        <w:tc>
          <w:tcPr>
            <w:tcW w:type="dxa" w:w="2494"/>
            <w:vAlign w:val="center"/>
          </w:tcPr>
          <w:p>
            <w:pPr>
              <w:spacing w:after="0"/>
              <w:jc w:val="center"/>
            </w:pPr>
            <w:r>
              <w:rPr>
                <w:rFonts w:ascii="游ゴシック" w:hAnsi="游ゴシック" w:eastAsia="游ゴシック"/>
                <w:b w:val="0"/>
                <w:sz w:val="19"/>
              </w:rPr>
              <w:t>3</w:t>
            </w:r>
          </w:p>
        </w:tc>
        <w:tc>
          <w:tcPr>
            <w:tcW w:type="dxa" w:w="3061"/>
            <w:vAlign w:val="center"/>
          </w:tcPr>
          <w:p>
            <w:pPr>
              <w:spacing w:after="0"/>
              <w:jc w:val="center"/>
            </w:pPr>
            <w:r>
              <w:rPr>
                <w:rFonts w:ascii="游ゴシック" w:hAnsi="游ゴシック" w:eastAsia="游ゴシック"/>
                <w:b w:val="0"/>
                <w:sz w:val="19"/>
              </w:rPr>
              <w:t>3</w:t>
            </w:r>
          </w:p>
        </w:tc>
        <w:tc>
          <w:tcPr>
            <w:tcW w:type="dxa" w:w="2041"/>
            <w:vAlign w:val="center"/>
          </w:tcPr>
          <w:p>
            <w:pPr>
              <w:spacing w:after="0"/>
              <w:jc w:val="center"/>
            </w:pPr>
            <w:r>
              <w:rPr>
                <w:rFonts w:ascii="游ゴシック" w:hAnsi="游ゴシック" w:eastAsia="游ゴシック"/>
                <w:b w:val="0"/>
                <w:sz w:val="19"/>
              </w:rPr>
              <w:t>0</w:t>
            </w:r>
          </w:p>
        </w:tc>
      </w:tr>
      <w:tr>
        <w:trPr>
          <w:cantSplit/>
        </w:trPr>
        <w:tc>
          <w:tcPr>
            <w:tcW w:type="dxa" w:w="2041"/>
            <w:shd w:val="clear" w:color="auto" w:fill="F2F5FA"/>
            <w:vAlign w:val="center"/>
          </w:tcPr>
          <w:p>
            <w:pPr>
              <w:spacing w:after="0"/>
            </w:pPr>
            <w:r>
              <w:rPr>
                <w:rFonts w:ascii="游ゴシック" w:hAnsi="游ゴシック" w:eastAsia="游ゴシック"/>
                <w:b w:val="0"/>
                <w:sz w:val="19"/>
              </w:rPr>
              <w:t>計</w:t>
            </w:r>
          </w:p>
        </w:tc>
        <w:tc>
          <w:tcPr>
            <w:tcW w:type="dxa" w:w="2494"/>
            <w:shd w:val="clear" w:color="auto" w:fill="F2F5FA"/>
            <w:vAlign w:val="center"/>
          </w:tcPr>
          <w:p>
            <w:pPr>
              <w:spacing w:after="0"/>
              <w:jc w:val="center"/>
            </w:pPr>
            <w:r>
              <w:rPr>
                <w:rFonts w:ascii="游ゴシック" w:hAnsi="游ゴシック" w:eastAsia="游ゴシック"/>
                <w:b w:val="0"/>
                <w:sz w:val="19"/>
              </w:rPr>
              <w:t>11</w:t>
            </w:r>
          </w:p>
        </w:tc>
        <w:tc>
          <w:tcPr>
            <w:tcW w:type="dxa" w:w="3061"/>
            <w:shd w:val="clear" w:color="auto" w:fill="F2F5FA"/>
            <w:vAlign w:val="center"/>
          </w:tcPr>
          <w:p>
            <w:pPr>
              <w:spacing w:after="0"/>
              <w:jc w:val="center"/>
            </w:pPr>
            <w:r>
              <w:rPr>
                <w:rFonts w:ascii="游ゴシック" w:hAnsi="游ゴシック" w:eastAsia="游ゴシック"/>
                <w:b w:val="0"/>
                <w:sz w:val="19"/>
              </w:rPr>
              <w:t>13</w:t>
            </w:r>
          </w:p>
        </w:tc>
        <w:tc>
          <w:tcPr>
            <w:tcW w:type="dxa" w:w="2041"/>
            <w:shd w:val="clear" w:color="auto" w:fill="F2F5FA"/>
            <w:vAlign w:val="center"/>
          </w:tcPr>
          <w:p>
            <w:pPr>
              <w:spacing w:after="0"/>
              <w:jc w:val="center"/>
            </w:pPr>
            <w:r>
              <w:rPr>
                <w:rFonts w:ascii="游ゴシック" w:hAnsi="游ゴシック" w:eastAsia="游ゴシック"/>
                <w:b w:val="0"/>
                <w:sz w:val="19"/>
              </w:rPr>
              <w:t>2</w:t>
            </w:r>
          </w:p>
        </w:tc>
      </w:tr>
    </w:tbl>
    <w:p>
      <w:pPr>
        <w:spacing w:before="40"/>
        <w:jc w:val="right"/>
      </w:pPr>
      <w:r>
        <w:rPr>
          <w:rFonts w:ascii="游ゴシック" w:hAnsi="游ゴシック" w:eastAsia="游ゴシック"/>
          <w:sz w:val="17"/>
        </w:rPr>
        <w:t>資料：3町の社会資源一覧（令和8年8月）、北海道 介護保険事業所一覧（令和8年7月1日現在）</w:t>
      </w:r>
    </w:p>
    <w:p>
      <w:pPr>
        <w:ind w:left="227"/>
      </w:pPr>
      <w:r>
        <w:rPr>
          <w:rFonts w:ascii="游ゴシック" w:hAnsi="游ゴシック" w:eastAsia="游ゴシック"/>
          <w:sz w:val="18"/>
        </w:rPr>
        <w:t>※ 美瑛町の2事業所（社会資源一覧に掲載がないもの）については、現に指定を受けているかを美瑛町を通じて確認したうえで対象に加える。この確認は確認事項として管理する。</w:t>
      </w:r>
    </w:p>
    <w:p>
      <w:r>
        <w:rPr>
          <w:rFonts w:ascii="游ゴシック" w:hAnsi="游ゴシック" w:eastAsia="游ゴシック"/>
          <w:b w:val="0"/>
          <w:sz w:val="21"/>
        </w:rPr>
        <w:t>区域外の居宅介護支援事業所が広域連合の被保険者の計画を作成している場合は、当該事業所の所在市町村と連携して点検する。福祉用具貸与は区域内に事業所がなく、すべて区域外の事業所によるため、貸与に係る点検は計画の記載内容の確認によって行う。</w:t>
      </w:r>
    </w:p>
    <w:p>
      <w:pPr>
        <w:keepNext/>
        <w:spacing w:before="280" w:after="120"/>
      </w:pPr>
      <w:r>
        <w:rPr>
          <w:rFonts w:ascii="游ゴシック" w:hAnsi="游ゴシック" w:eastAsia="游ゴシック"/>
          <w:b/>
          <w:color w:val="1F3864"/>
          <w:sz w:val="26"/>
        </w:rPr>
        <w:t>4　点検対象の抽出方法</w:t>
      </w:r>
    </w:p>
    <w:p>
      <w:r>
        <w:rPr>
          <w:rFonts w:ascii="游ゴシック" w:hAnsi="游ゴシック" w:eastAsia="游ゴシック"/>
          <w:b w:val="0"/>
          <w:sz w:val="21"/>
        </w:rPr>
        <w:t>国の評価指標は、点検対象とするケアプランに、国保連合会介護給付適正化システム＜提供情報活用マニュアル＞（令和6年11月＜第10版＞）に記載されている次の2帳票を活用して選定したものを必ず含めることを求めている。広域連合は、この2帳票を第1順位の抽出源とする。</w:t>
      </w:r>
    </w:p>
    <w:p>
      <w:pPr>
        <w:keepNext/>
        <w:spacing w:before="160" w:after="40"/>
      </w:pPr>
      <w:r>
        <w:rPr>
          <w:rFonts w:ascii="游ゴシック" w:hAnsi="游ゴシック" w:eastAsia="游ゴシック"/>
          <w:b/>
          <w:sz w:val="20"/>
        </w:rPr>
        <w:t>表4　点検対象の抽出源と抽出の基準</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9"/>
              </w:rPr>
              <w:t>順位</w:t>
            </w:r>
          </w:p>
        </w:tc>
        <w:tc>
          <w:tcPr>
            <w:tcW w:type="dxa" w:w="2608"/>
            <w:shd w:val="clear" w:color="auto" w:fill="1F3864"/>
            <w:vAlign w:val="center"/>
          </w:tcPr>
          <w:p>
            <w:pPr>
              <w:spacing w:after="0"/>
              <w:jc w:val="center"/>
            </w:pPr>
            <w:r>
              <w:rPr>
                <w:rFonts w:ascii="游ゴシック" w:hAnsi="游ゴシック" w:eastAsia="游ゴシック"/>
                <w:b/>
                <w:color w:val="FFFFFF"/>
                <w:sz w:val="19"/>
              </w:rPr>
              <w:t>抽出源</w:t>
            </w:r>
          </w:p>
        </w:tc>
        <w:tc>
          <w:tcPr>
            <w:tcW w:type="dxa" w:w="3515"/>
            <w:shd w:val="clear" w:color="auto" w:fill="1F3864"/>
            <w:vAlign w:val="center"/>
          </w:tcPr>
          <w:p>
            <w:pPr>
              <w:spacing w:after="0"/>
              <w:jc w:val="center"/>
            </w:pPr>
            <w:r>
              <w:rPr>
                <w:rFonts w:ascii="游ゴシック" w:hAnsi="游ゴシック" w:eastAsia="游ゴシック"/>
                <w:b/>
                <w:color w:val="FFFFFF"/>
                <w:sz w:val="19"/>
              </w:rPr>
              <w:t>抽出の基準</w:t>
            </w:r>
          </w:p>
        </w:tc>
        <w:tc>
          <w:tcPr>
            <w:tcW w:type="dxa" w:w="2835"/>
            <w:shd w:val="clear" w:color="auto" w:fill="1F3864"/>
            <w:vAlign w:val="center"/>
          </w:tcPr>
          <w:p>
            <w:pPr>
              <w:spacing w:after="0"/>
              <w:jc w:val="center"/>
            </w:pPr>
            <w:r>
              <w:rPr>
                <w:rFonts w:ascii="游ゴシック" w:hAnsi="游ゴシック" w:eastAsia="游ゴシック"/>
                <w:b/>
                <w:color w:val="FFFFFF"/>
                <w:sz w:val="19"/>
              </w:rPr>
              <w:t>備考</w:t>
            </w:r>
          </w:p>
        </w:tc>
      </w:tr>
      <w:tr>
        <w:trPr>
          <w:cantSplit/>
        </w:trPr>
        <w:tc>
          <w:tcPr>
            <w:tcW w:type="dxa" w:w="794"/>
            <w:vAlign w:val="center"/>
          </w:tcPr>
          <w:p>
            <w:pPr>
              <w:spacing w:after="0"/>
              <w:jc w:val="center"/>
            </w:pPr>
            <w:r>
              <w:rPr>
                <w:rFonts w:ascii="游ゴシック" w:hAnsi="游ゴシック" w:eastAsia="游ゴシック"/>
                <w:b w:val="0"/>
                <w:sz w:val="19"/>
              </w:rPr>
              <w:t>1</w:t>
            </w:r>
          </w:p>
        </w:tc>
        <w:tc>
          <w:tcPr>
            <w:tcW w:type="dxa" w:w="2608"/>
            <w:vAlign w:val="center"/>
          </w:tcPr>
          <w:p>
            <w:pPr>
              <w:spacing w:after="0"/>
            </w:pPr>
            <w:r>
              <w:rPr>
                <w:rFonts w:ascii="游ゴシック" w:hAnsi="游ゴシック" w:eastAsia="游ゴシック"/>
                <w:b w:val="0"/>
                <w:sz w:val="19"/>
              </w:rPr>
              <w:t>認定調査状況と利用サービス不一致一覧表</w:t>
            </w:r>
          </w:p>
        </w:tc>
        <w:tc>
          <w:tcPr>
            <w:tcW w:type="dxa" w:w="3515"/>
            <w:vAlign w:val="center"/>
          </w:tcPr>
          <w:p>
            <w:pPr>
              <w:spacing w:after="0"/>
            </w:pPr>
            <w:r>
              <w:rPr>
                <w:rFonts w:ascii="游ゴシック" w:hAnsi="游ゴシック" w:eastAsia="游ゴシック"/>
                <w:b w:val="0"/>
                <w:sz w:val="19"/>
              </w:rPr>
              <w:t>出力された全件を対象とし、うち不一致の程度が大きいものから抽出する</w:t>
            </w:r>
          </w:p>
        </w:tc>
        <w:tc>
          <w:tcPr>
            <w:tcW w:type="dxa" w:w="2835"/>
            <w:vAlign w:val="center"/>
          </w:tcPr>
          <w:p>
            <w:pPr>
              <w:spacing w:after="0"/>
            </w:pPr>
            <w:r>
              <w:rPr>
                <w:rFonts w:ascii="游ゴシック" w:hAnsi="游ゴシック" w:eastAsia="游ゴシック"/>
                <w:b w:val="0"/>
                <w:sz w:val="19"/>
              </w:rPr>
              <w:t>国の評価指標が必須とする帳票</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9"/>
              </w:rPr>
              <w:t>1</w:t>
            </w:r>
          </w:p>
        </w:tc>
        <w:tc>
          <w:tcPr>
            <w:tcW w:type="dxa" w:w="2608"/>
            <w:shd w:val="clear" w:color="auto" w:fill="F2F5FA"/>
            <w:vAlign w:val="center"/>
          </w:tcPr>
          <w:p>
            <w:pPr>
              <w:spacing w:after="0"/>
            </w:pPr>
            <w:r>
              <w:rPr>
                <w:rFonts w:ascii="游ゴシック" w:hAnsi="游ゴシック" w:eastAsia="游ゴシック"/>
                <w:b w:val="0"/>
                <w:sz w:val="19"/>
              </w:rPr>
              <w:t>支給限度額一定割合超一覧表</w:t>
            </w:r>
          </w:p>
        </w:tc>
        <w:tc>
          <w:tcPr>
            <w:tcW w:type="dxa" w:w="3515"/>
            <w:shd w:val="clear" w:color="auto" w:fill="F2F5FA"/>
            <w:vAlign w:val="center"/>
          </w:tcPr>
          <w:p>
            <w:pPr>
              <w:spacing w:after="0"/>
            </w:pPr>
            <w:r>
              <w:rPr>
                <w:rFonts w:ascii="游ゴシック" w:hAnsi="游ゴシック" w:eastAsia="游ゴシック"/>
                <w:b w:val="0"/>
                <w:sz w:val="19"/>
              </w:rPr>
              <w:t>支給限度額に対する利用割合が高い順に抽出する。適正化計画指針は推奨数値を70％としている</w:t>
            </w:r>
          </w:p>
        </w:tc>
        <w:tc>
          <w:tcPr>
            <w:tcW w:type="dxa" w:w="2835"/>
            <w:shd w:val="clear" w:color="auto" w:fill="F2F5FA"/>
            <w:vAlign w:val="center"/>
          </w:tcPr>
          <w:p>
            <w:pPr>
              <w:spacing w:after="0"/>
            </w:pPr>
            <w:r>
              <w:rPr>
                <w:rFonts w:ascii="游ゴシック" w:hAnsi="游ゴシック" w:eastAsia="游ゴシック"/>
                <w:b w:val="0"/>
                <w:sz w:val="19"/>
              </w:rPr>
              <w:t>国の評価指標が必須とする帳票</w:t>
            </w:r>
          </w:p>
        </w:tc>
      </w:tr>
      <w:tr>
        <w:trPr>
          <w:cantSplit/>
        </w:trPr>
        <w:tc>
          <w:tcPr>
            <w:tcW w:type="dxa" w:w="794"/>
            <w:vAlign w:val="center"/>
          </w:tcPr>
          <w:p>
            <w:pPr>
              <w:spacing w:after="0"/>
              <w:jc w:val="center"/>
            </w:pPr>
            <w:r>
              <w:rPr>
                <w:rFonts w:ascii="游ゴシック" w:hAnsi="游ゴシック" w:eastAsia="游ゴシック"/>
                <w:b w:val="0"/>
                <w:sz w:val="19"/>
              </w:rPr>
              <w:t>2</w:t>
            </w:r>
          </w:p>
        </w:tc>
        <w:tc>
          <w:tcPr>
            <w:tcW w:type="dxa" w:w="2608"/>
            <w:vAlign w:val="center"/>
          </w:tcPr>
          <w:p>
            <w:pPr>
              <w:spacing w:after="0"/>
            </w:pPr>
            <w:r>
              <w:rPr>
                <w:rFonts w:ascii="游ゴシック" w:hAnsi="游ゴシック" w:eastAsia="游ゴシック"/>
                <w:b w:val="0"/>
                <w:sz w:val="19"/>
              </w:rPr>
              <w:t>給付実績（広域連合の集計）</w:t>
            </w:r>
          </w:p>
        </w:tc>
        <w:tc>
          <w:tcPr>
            <w:tcW w:type="dxa" w:w="3515"/>
            <w:vAlign w:val="center"/>
          </w:tcPr>
          <w:p>
            <w:pPr>
              <w:spacing w:after="0"/>
            </w:pPr>
            <w:r>
              <w:rPr>
                <w:rFonts w:ascii="游ゴシック" w:hAnsi="游ゴシック" w:eastAsia="游ゴシック"/>
                <w:b w:val="0"/>
                <w:sz w:val="19"/>
              </w:rPr>
              <w:t>同一法人のサービスに偏りがある計画、区分変更の直後に利用量が大きく変わった計画</w:t>
            </w:r>
          </w:p>
        </w:tc>
        <w:tc>
          <w:tcPr>
            <w:tcW w:type="dxa" w:w="2835"/>
            <w:vAlign w:val="center"/>
          </w:tcPr>
          <w:p>
            <w:pPr>
              <w:spacing w:after="0"/>
            </w:pPr>
            <w:r>
              <w:rPr>
                <w:rFonts w:ascii="游ゴシック" w:hAnsi="游ゴシック" w:eastAsia="游ゴシック"/>
                <w:b w:val="0"/>
                <w:sz w:val="19"/>
              </w:rPr>
              <w:t>自立支援に資するケアマネジメントの観点</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9"/>
              </w:rPr>
              <w:t>3</w:t>
            </w:r>
          </w:p>
        </w:tc>
        <w:tc>
          <w:tcPr>
            <w:tcW w:type="dxa" w:w="2608"/>
            <w:shd w:val="clear" w:color="auto" w:fill="F2F5FA"/>
            <w:vAlign w:val="center"/>
          </w:tcPr>
          <w:p>
            <w:pPr>
              <w:spacing w:after="0"/>
            </w:pPr>
            <w:r>
              <w:rPr>
                <w:rFonts w:ascii="游ゴシック" w:hAnsi="游ゴシック" w:eastAsia="游ゴシック"/>
                <w:b w:val="0"/>
                <w:sz w:val="19"/>
              </w:rPr>
              <w:t>住宅改修費・特定福祉用具購入費の申請</w:t>
            </w:r>
          </w:p>
        </w:tc>
        <w:tc>
          <w:tcPr>
            <w:tcW w:type="dxa" w:w="3515"/>
            <w:shd w:val="clear" w:color="auto" w:fill="F2F5FA"/>
            <w:vAlign w:val="center"/>
          </w:tcPr>
          <w:p>
            <w:pPr>
              <w:spacing w:after="0"/>
            </w:pPr>
            <w:r>
              <w:rPr>
                <w:rFonts w:ascii="游ゴシック" w:hAnsi="游ゴシック" w:eastAsia="游ゴシック"/>
                <w:b w:val="0"/>
                <w:sz w:val="19"/>
              </w:rPr>
              <w:t>申請のあったもののうち、改修内容と心身の状況の対応が確認しにくいもの</w:t>
            </w:r>
          </w:p>
        </w:tc>
        <w:tc>
          <w:tcPr>
            <w:tcW w:type="dxa" w:w="2835"/>
            <w:shd w:val="clear" w:color="auto" w:fill="F2F5FA"/>
            <w:vAlign w:val="center"/>
          </w:tcPr>
          <w:p>
            <w:pPr>
              <w:spacing w:after="0"/>
            </w:pPr>
            <w:r>
              <w:rPr>
                <w:rFonts w:ascii="游ゴシック" w:hAnsi="游ゴシック" w:eastAsia="游ゴシック"/>
                <w:b w:val="0"/>
                <w:sz w:val="19"/>
              </w:rPr>
              <w:t>住宅改修の点検・福祉用具購入調査と併せて行う</w:t>
            </w:r>
          </w:p>
        </w:tc>
      </w:tr>
      <w:tr>
        <w:trPr>
          <w:cantSplit/>
        </w:trPr>
        <w:tc>
          <w:tcPr>
            <w:tcW w:type="dxa" w:w="794"/>
            <w:vAlign w:val="center"/>
          </w:tcPr>
          <w:p>
            <w:pPr>
              <w:spacing w:after="0"/>
              <w:jc w:val="center"/>
            </w:pPr>
            <w:r>
              <w:rPr>
                <w:rFonts w:ascii="游ゴシック" w:hAnsi="游ゴシック" w:eastAsia="游ゴシック"/>
                <w:b w:val="0"/>
                <w:sz w:val="19"/>
              </w:rPr>
              <w:t>4</w:t>
            </w:r>
          </w:p>
        </w:tc>
        <w:tc>
          <w:tcPr>
            <w:tcW w:type="dxa" w:w="2608"/>
            <w:vAlign w:val="center"/>
          </w:tcPr>
          <w:p>
            <w:pPr>
              <w:spacing w:after="0"/>
            </w:pPr>
            <w:r>
              <w:rPr>
                <w:rFonts w:ascii="游ゴシック" w:hAnsi="游ゴシック" w:eastAsia="游ゴシック"/>
                <w:b w:val="0"/>
                <w:sz w:val="19"/>
              </w:rPr>
              <w:t>支給限度額一定割合超支援事業所における対象サービス利用者一覧表</w:t>
            </w:r>
          </w:p>
        </w:tc>
        <w:tc>
          <w:tcPr>
            <w:tcW w:type="dxa" w:w="3515"/>
            <w:vAlign w:val="center"/>
          </w:tcPr>
          <w:p>
            <w:pPr>
              <w:spacing w:after="0"/>
            </w:pPr>
            <w:r>
              <w:rPr>
                <w:rFonts w:ascii="游ゴシック" w:hAnsi="游ゴシック" w:eastAsia="游ゴシック"/>
                <w:b w:val="0"/>
                <w:sz w:val="19"/>
              </w:rPr>
              <w:t>住宅型有料老人ホーム及びサービス付き高齢者向け住宅の入居者に係る計画</w:t>
            </w:r>
          </w:p>
        </w:tc>
        <w:tc>
          <w:tcPr>
            <w:tcW w:type="dxa" w:w="2835"/>
            <w:vAlign w:val="center"/>
          </w:tcPr>
          <w:p>
            <w:pPr>
              <w:spacing w:after="0"/>
            </w:pPr>
            <w:r>
              <w:rPr>
                <w:rFonts w:ascii="游ゴシック" w:hAnsi="游ゴシック" w:eastAsia="游ゴシック"/>
                <w:b w:val="0"/>
                <w:sz w:val="19"/>
              </w:rPr>
              <w:t>適正化計画指針が高齢者向け住まいの入居者に焦点を当てた点検に望ましいとする帳票。第9節の手順による</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9"/>
              </w:rPr>
              <w:t>5</w:t>
            </w:r>
          </w:p>
        </w:tc>
        <w:tc>
          <w:tcPr>
            <w:tcW w:type="dxa" w:w="2608"/>
            <w:shd w:val="clear" w:color="auto" w:fill="F2F5FA"/>
            <w:vAlign w:val="center"/>
          </w:tcPr>
          <w:p>
            <w:pPr>
              <w:spacing w:after="0"/>
            </w:pPr>
            <w:r>
              <w:rPr>
                <w:rFonts w:ascii="游ゴシック" w:hAnsi="游ゴシック" w:eastAsia="游ゴシック"/>
                <w:b w:val="0"/>
                <w:sz w:val="19"/>
              </w:rPr>
              <w:t>事業所からの申出</w:t>
            </w:r>
          </w:p>
        </w:tc>
        <w:tc>
          <w:tcPr>
            <w:tcW w:type="dxa" w:w="3515"/>
            <w:shd w:val="clear" w:color="auto" w:fill="F2F5FA"/>
            <w:vAlign w:val="center"/>
          </w:tcPr>
          <w:p>
            <w:pPr>
              <w:spacing w:after="0"/>
            </w:pPr>
            <w:r>
              <w:rPr>
                <w:rFonts w:ascii="游ゴシック" w:hAnsi="游ゴシック" w:eastAsia="游ゴシック"/>
                <w:b w:val="0"/>
                <w:sz w:val="19"/>
              </w:rPr>
              <w:t>判断に迷う事例について事業所から相談があったもの</w:t>
            </w:r>
          </w:p>
        </w:tc>
        <w:tc>
          <w:tcPr>
            <w:tcW w:type="dxa" w:w="2835"/>
            <w:shd w:val="clear" w:color="auto" w:fill="F2F5FA"/>
            <w:vAlign w:val="center"/>
          </w:tcPr>
          <w:p>
            <w:pPr>
              <w:spacing w:after="0"/>
            </w:pPr>
            <w:r>
              <w:rPr>
                <w:rFonts w:ascii="游ゴシック" w:hAnsi="游ゴシック" w:eastAsia="游ゴシック"/>
                <w:b w:val="0"/>
                <w:sz w:val="19"/>
              </w:rPr>
              <w:t>指導ではなく相談として受ける</w:t>
            </w:r>
          </w:p>
        </w:tc>
      </w:tr>
    </w:tbl>
    <w:p>
      <w:r>
        <w:rPr>
          <w:rFonts w:ascii="游ゴシック" w:hAnsi="游ゴシック" w:eastAsia="游ゴシック"/>
          <w:b w:val="0"/>
          <w:sz w:val="21"/>
        </w:rPr>
        <w:t>第1順位の2帳票から抽出したものだけで年間の目標件数に満たない場合は、第2順位以下から補う。帳票に出力がない場合は、その帳票からの抽出は行わない。</w:t>
      </w:r>
    </w:p>
    <w:p>
      <w:pPr>
        <w:keepNext/>
        <w:spacing w:before="280" w:after="120"/>
      </w:pPr>
      <w:r>
        <w:rPr>
          <w:rFonts w:ascii="游ゴシック" w:hAnsi="游ゴシック" w:eastAsia="游ゴシック"/>
          <w:b/>
          <w:color w:val="1F3864"/>
          <w:sz w:val="26"/>
        </w:rPr>
        <w:t>5　点検の視点</w:t>
      </w:r>
    </w:p>
    <w:p>
      <w:r>
        <w:rPr>
          <w:rFonts w:ascii="游ゴシック" w:hAnsi="游ゴシック" w:eastAsia="游ゴシック"/>
          <w:b w:val="0"/>
          <w:sz w:val="21"/>
        </w:rPr>
        <w:t>点検は、次の視点により行う。視点は事業所にあらかじめ示し、同じ様式で自己点検を行ったうえで計画を提出していただく。</w:t>
      </w:r>
    </w:p>
    <w:p>
      <w:pPr>
        <w:keepNext/>
        <w:spacing w:before="160" w:after="40"/>
      </w:pPr>
      <w:r>
        <w:rPr>
          <w:rFonts w:ascii="游ゴシック" w:hAnsi="游ゴシック" w:eastAsia="游ゴシック"/>
          <w:b/>
          <w:sz w:val="20"/>
        </w:rPr>
        <w:t>表5　点検の視点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区分</w:t>
            </w:r>
          </w:p>
        </w:tc>
        <w:tc>
          <w:tcPr>
            <w:tcW w:type="dxa" w:w="7824"/>
            <w:shd w:val="clear" w:color="auto" w:fill="1F3864"/>
            <w:vAlign w:val="center"/>
          </w:tcPr>
          <w:p>
            <w:pPr>
              <w:spacing w:after="0"/>
              <w:jc w:val="center"/>
            </w:pPr>
            <w:r>
              <w:rPr>
                <w:rFonts w:ascii="游ゴシック" w:hAnsi="游ゴシック" w:eastAsia="游ゴシック"/>
                <w:b/>
                <w:color w:val="FFFFFF"/>
                <w:sz w:val="19"/>
              </w:rPr>
              <w:t>確認する事項</w:t>
            </w:r>
          </w:p>
        </w:tc>
      </w:tr>
      <w:tr>
        <w:trPr>
          <w:cantSplit/>
        </w:trPr>
        <w:tc>
          <w:tcPr>
            <w:tcW w:type="dxa" w:w="1928"/>
            <w:vAlign w:val="center"/>
          </w:tcPr>
          <w:p>
            <w:pPr>
              <w:spacing w:after="0"/>
            </w:pPr>
            <w:r>
              <w:rPr>
                <w:rFonts w:ascii="游ゴシック" w:hAnsi="游ゴシック" w:eastAsia="游ゴシック"/>
                <w:b/>
                <w:sz w:val="19"/>
              </w:rPr>
              <w:t>課題の把握</w:t>
            </w:r>
          </w:p>
        </w:tc>
        <w:tc>
          <w:tcPr>
            <w:tcW w:type="dxa" w:w="7824"/>
            <w:vAlign w:val="center"/>
          </w:tcPr>
          <w:p>
            <w:pPr>
              <w:spacing w:after="0"/>
            </w:pPr>
            <w:r>
              <w:rPr>
                <w:rFonts w:ascii="游ゴシック" w:hAnsi="游ゴシック" w:eastAsia="游ゴシック"/>
                <w:b w:val="0"/>
                <w:sz w:val="19"/>
              </w:rPr>
              <w:t>アセスメントの結果と課題の記載が対応しているか。本人・家族の意向が記録されているか。認定調査票・主治医意見書の内容と齟齬がないか</w:t>
            </w:r>
          </w:p>
        </w:tc>
      </w:tr>
      <w:tr>
        <w:trPr>
          <w:cantSplit/>
        </w:trPr>
        <w:tc>
          <w:tcPr>
            <w:tcW w:type="dxa" w:w="1928"/>
            <w:shd w:val="clear" w:color="auto" w:fill="F2F5FA"/>
            <w:vAlign w:val="center"/>
          </w:tcPr>
          <w:p>
            <w:pPr>
              <w:spacing w:after="0"/>
            </w:pPr>
            <w:r>
              <w:rPr>
                <w:rFonts w:ascii="游ゴシック" w:hAnsi="游ゴシック" w:eastAsia="游ゴシック"/>
                <w:b/>
                <w:sz w:val="19"/>
              </w:rPr>
              <w:t>目標の設定</w:t>
            </w:r>
          </w:p>
        </w:tc>
        <w:tc>
          <w:tcPr>
            <w:tcW w:type="dxa" w:w="7824"/>
            <w:shd w:val="clear" w:color="auto" w:fill="F2F5FA"/>
            <w:vAlign w:val="center"/>
          </w:tcPr>
          <w:p>
            <w:pPr>
              <w:spacing w:after="0"/>
            </w:pPr>
            <w:r>
              <w:rPr>
                <w:rFonts w:ascii="游ゴシック" w:hAnsi="游ゴシック" w:eastAsia="游ゴシック"/>
                <w:b w:val="0"/>
                <w:sz w:val="19"/>
              </w:rPr>
              <w:t>長期目標・短期目標が具体的で、達成の可否を確認できる書き方になっているか。期間が定められているか。目標が本人の生活の場面に即しているか</w:t>
            </w:r>
          </w:p>
        </w:tc>
      </w:tr>
      <w:tr>
        <w:trPr>
          <w:cantSplit/>
        </w:trPr>
        <w:tc>
          <w:tcPr>
            <w:tcW w:type="dxa" w:w="1928"/>
            <w:vAlign w:val="center"/>
          </w:tcPr>
          <w:p>
            <w:pPr>
              <w:spacing w:after="0"/>
            </w:pPr>
            <w:r>
              <w:rPr>
                <w:rFonts w:ascii="游ゴシック" w:hAnsi="游ゴシック" w:eastAsia="游ゴシック"/>
                <w:b/>
                <w:sz w:val="19"/>
              </w:rPr>
              <w:t>サービスの選定</w:t>
            </w:r>
          </w:p>
        </w:tc>
        <w:tc>
          <w:tcPr>
            <w:tcW w:type="dxa" w:w="7824"/>
            <w:vAlign w:val="center"/>
          </w:tcPr>
          <w:p>
            <w:pPr>
              <w:spacing w:after="0"/>
            </w:pPr>
            <w:r>
              <w:rPr>
                <w:rFonts w:ascii="游ゴシック" w:hAnsi="游ゴシック" w:eastAsia="游ゴシック"/>
                <w:b w:val="0"/>
                <w:sz w:val="19"/>
              </w:rPr>
              <w:t>目標とサービスの内容が対応しているか。サービスの種類・回数・時間が課題の程度に見合っているか。インフォーマルサービス・地域資源の活用が検討されているか</w:t>
            </w:r>
          </w:p>
        </w:tc>
      </w:tr>
      <w:tr>
        <w:trPr>
          <w:cantSplit/>
        </w:trPr>
        <w:tc>
          <w:tcPr>
            <w:tcW w:type="dxa" w:w="1928"/>
            <w:shd w:val="clear" w:color="auto" w:fill="F2F5FA"/>
            <w:vAlign w:val="center"/>
          </w:tcPr>
          <w:p>
            <w:pPr>
              <w:spacing w:after="0"/>
            </w:pPr>
            <w:r>
              <w:rPr>
                <w:rFonts w:ascii="游ゴシック" w:hAnsi="游ゴシック" w:eastAsia="游ゴシック"/>
                <w:b/>
                <w:sz w:val="19"/>
              </w:rPr>
              <w:t>区分支給限度基準額</w:t>
            </w:r>
          </w:p>
        </w:tc>
        <w:tc>
          <w:tcPr>
            <w:tcW w:type="dxa" w:w="7824"/>
            <w:shd w:val="clear" w:color="auto" w:fill="F2F5FA"/>
            <w:vAlign w:val="center"/>
          </w:tcPr>
          <w:p>
            <w:pPr>
              <w:spacing w:after="0"/>
            </w:pPr>
            <w:r>
              <w:rPr>
                <w:rFonts w:ascii="游ゴシック" w:hAnsi="游ゴシック" w:eastAsia="游ゴシック"/>
                <w:b w:val="0"/>
                <w:sz w:val="19"/>
              </w:rPr>
              <w:t>限度額の利用割合が高い場合、その必要性が記録されているか</w:t>
            </w:r>
          </w:p>
        </w:tc>
      </w:tr>
      <w:tr>
        <w:trPr>
          <w:cantSplit/>
        </w:trPr>
        <w:tc>
          <w:tcPr>
            <w:tcW w:type="dxa" w:w="1928"/>
            <w:vAlign w:val="center"/>
          </w:tcPr>
          <w:p>
            <w:pPr>
              <w:spacing w:after="0"/>
            </w:pPr>
            <w:r>
              <w:rPr>
                <w:rFonts w:ascii="游ゴシック" w:hAnsi="游ゴシック" w:eastAsia="游ゴシック"/>
                <w:b/>
                <w:sz w:val="19"/>
              </w:rPr>
              <w:t>福祉用具・住宅改修</w:t>
            </w:r>
          </w:p>
        </w:tc>
        <w:tc>
          <w:tcPr>
            <w:tcW w:type="dxa" w:w="7824"/>
            <w:vAlign w:val="center"/>
          </w:tcPr>
          <w:p>
            <w:pPr>
              <w:spacing w:after="0"/>
            </w:pPr>
            <w:r>
              <w:rPr>
                <w:rFonts w:ascii="游ゴシック" w:hAnsi="游ゴシック" w:eastAsia="游ゴシック"/>
                <w:b w:val="0"/>
                <w:sz w:val="19"/>
              </w:rPr>
              <w:t>用具・改修が心身の状況に対応しているか。貸与の継続の必要性が定期的に検討されているか</w:t>
            </w:r>
          </w:p>
        </w:tc>
      </w:tr>
      <w:tr>
        <w:trPr>
          <w:cantSplit/>
        </w:trPr>
        <w:tc>
          <w:tcPr>
            <w:tcW w:type="dxa" w:w="1928"/>
            <w:shd w:val="clear" w:color="auto" w:fill="F2F5FA"/>
            <w:vAlign w:val="center"/>
          </w:tcPr>
          <w:p>
            <w:pPr>
              <w:spacing w:after="0"/>
            </w:pPr>
            <w:r>
              <w:rPr>
                <w:rFonts w:ascii="游ゴシック" w:hAnsi="游ゴシック" w:eastAsia="游ゴシック"/>
                <w:b/>
                <w:sz w:val="19"/>
              </w:rPr>
              <w:t>モニタリング</w:t>
            </w:r>
          </w:p>
        </w:tc>
        <w:tc>
          <w:tcPr>
            <w:tcW w:type="dxa" w:w="7824"/>
            <w:shd w:val="clear" w:color="auto" w:fill="F2F5FA"/>
            <w:vAlign w:val="center"/>
          </w:tcPr>
          <w:p>
            <w:pPr>
              <w:spacing w:after="0"/>
            </w:pPr>
            <w:r>
              <w:rPr>
                <w:rFonts w:ascii="游ゴシック" w:hAnsi="游ゴシック" w:eastAsia="游ゴシック"/>
                <w:b w:val="0"/>
                <w:sz w:val="19"/>
              </w:rPr>
              <w:t>モニタリングが定められた頻度で行われ、記録されているか。目標の達成状況が評価され、計画の見直しにつながっているか</w:t>
            </w:r>
          </w:p>
        </w:tc>
      </w:tr>
      <w:tr>
        <w:trPr>
          <w:cantSplit/>
        </w:trPr>
        <w:tc>
          <w:tcPr>
            <w:tcW w:type="dxa" w:w="1928"/>
            <w:vAlign w:val="center"/>
          </w:tcPr>
          <w:p>
            <w:pPr>
              <w:spacing w:after="0"/>
            </w:pPr>
            <w:r>
              <w:rPr>
                <w:rFonts w:ascii="游ゴシック" w:hAnsi="游ゴシック" w:eastAsia="游ゴシック"/>
                <w:b/>
                <w:sz w:val="19"/>
              </w:rPr>
              <w:t>サービス担当者会議</w:t>
            </w:r>
          </w:p>
        </w:tc>
        <w:tc>
          <w:tcPr>
            <w:tcW w:type="dxa" w:w="7824"/>
            <w:vAlign w:val="center"/>
          </w:tcPr>
          <w:p>
            <w:pPr>
              <w:spacing w:after="0"/>
            </w:pPr>
            <w:r>
              <w:rPr>
                <w:rFonts w:ascii="游ゴシック" w:hAnsi="游ゴシック" w:eastAsia="游ゴシック"/>
                <w:b w:val="0"/>
                <w:sz w:val="19"/>
              </w:rPr>
              <w:t>開催され、記録されているか。医療の関与が必要な事例で医療職が参加しているか</w:t>
            </w:r>
          </w:p>
        </w:tc>
      </w:tr>
      <w:tr>
        <w:trPr>
          <w:cantSplit/>
        </w:trPr>
        <w:tc>
          <w:tcPr>
            <w:tcW w:type="dxa" w:w="1928"/>
            <w:shd w:val="clear" w:color="auto" w:fill="F2F5FA"/>
            <w:vAlign w:val="center"/>
          </w:tcPr>
          <w:p>
            <w:pPr>
              <w:spacing w:after="0"/>
            </w:pPr>
            <w:r>
              <w:rPr>
                <w:rFonts w:ascii="游ゴシック" w:hAnsi="游ゴシック" w:eastAsia="游ゴシック"/>
                <w:b/>
                <w:sz w:val="19"/>
              </w:rPr>
              <w:t>医療との連携</w:t>
            </w:r>
          </w:p>
        </w:tc>
        <w:tc>
          <w:tcPr>
            <w:tcW w:type="dxa" w:w="7824"/>
            <w:shd w:val="clear" w:color="auto" w:fill="F2F5FA"/>
            <w:vAlign w:val="center"/>
          </w:tcPr>
          <w:p>
            <w:pPr>
              <w:spacing w:after="0"/>
            </w:pPr>
            <w:r>
              <w:rPr>
                <w:rFonts w:ascii="游ゴシック" w:hAnsi="游ゴシック" w:eastAsia="游ゴシック"/>
                <w:b w:val="0"/>
                <w:sz w:val="19"/>
              </w:rPr>
              <w:t>主治医との連携が記録されているか。入退院時の情報連携が行われているか</w:t>
            </w:r>
          </w:p>
        </w:tc>
      </w:tr>
    </w:tbl>
    <w:p>
      <w:r>
        <w:rPr>
          <w:rFonts w:ascii="游ゴシック" w:hAnsi="游ゴシック" w:eastAsia="游ゴシック"/>
          <w:b w:val="0"/>
          <w:sz w:val="21"/>
        </w:rPr>
        <w:t>点検は、記載の不備を指摘することを目的とせず、計画の内容が利用者の状態と生活の目標に対応しているかを広域連合と事業所が一緒に確認する場として運用する。</w:t>
      </w:r>
    </w:p>
    <w:p>
      <w:pPr>
        <w:keepNext/>
        <w:spacing w:before="280" w:after="120"/>
      </w:pPr>
      <w:r>
        <w:rPr>
          <w:rFonts w:ascii="游ゴシック" w:hAnsi="游ゴシック" w:eastAsia="游ゴシック"/>
          <w:b/>
          <w:color w:val="1F3864"/>
          <w:sz w:val="26"/>
        </w:rPr>
        <w:t>6　点検の方法と年間の工程</w:t>
      </w:r>
    </w:p>
    <w:p>
      <w:pPr>
        <w:keepNext/>
        <w:spacing w:before="180" w:after="60"/>
      </w:pPr>
      <w:r>
        <w:rPr>
          <w:rFonts w:ascii="游ゴシック" w:hAnsi="游ゴシック" w:eastAsia="游ゴシック"/>
          <w:b/>
          <w:sz w:val="22"/>
        </w:rPr>
        <w:t>(1) 方法</w:t>
      </w:r>
    </w:p>
    <w:p>
      <w:pPr>
        <w:ind w:left="340" w:hanging="340"/>
      </w:pPr>
      <w:r>
        <w:rPr>
          <w:rFonts w:ascii="游ゴシック" w:hAnsi="游ゴシック" w:eastAsia="游ゴシック"/>
          <w:sz w:val="21"/>
        </w:rPr>
        <w:t>・書面点検　事業所から計画（第1表〜第7表）、アセスメントシート、サービス担当者会議の記録、モニタリング記録の写しの提出を受けて確認する。</w:t>
      </w:r>
    </w:p>
    <w:p>
      <w:pPr>
        <w:ind w:left="340" w:hanging="340"/>
      </w:pPr>
      <w:r>
        <w:rPr>
          <w:rFonts w:ascii="游ゴシック" w:hAnsi="游ゴシック" w:eastAsia="游ゴシック"/>
          <w:sz w:val="21"/>
        </w:rPr>
        <w:t>・訪問点検　書面点検の結果、確認を要する事項がある場合に事業所を訪問し、介護支援専門員と面談して確認する。</w:t>
      </w:r>
    </w:p>
    <w:p>
      <w:pPr>
        <w:ind w:left="340" w:hanging="340"/>
      </w:pPr>
      <w:r>
        <w:rPr>
          <w:rFonts w:ascii="游ゴシック" w:hAnsi="游ゴシック" w:eastAsia="游ゴシック"/>
          <w:sz w:val="21"/>
        </w:rPr>
        <w:t>・集団点検　複数の事業所の介護支援専門員が集まり、匿名化した事例を用いて点検の視点を共有する。地域ケア会議・介護支援専門員連絡会の場を活用する。</w:t>
      </w:r>
    </w:p>
    <w:p>
      <w:r>
        <w:rPr>
          <w:rFonts w:ascii="游ゴシック" w:hAnsi="游ゴシック" w:eastAsia="游ゴシック"/>
          <w:b w:val="0"/>
          <w:sz w:val="21"/>
        </w:rPr>
        <w:t>初年度（令和9年度）は書面点検を基本とし、訪問点検は書面点検の結果により行う。集団点検は年1回以上開催する。</w:t>
      </w:r>
    </w:p>
    <w:p>
      <w:r>
        <w:rPr>
          <w:rFonts w:ascii="游ゴシック" w:hAnsi="游ゴシック" w:eastAsia="游ゴシック"/>
          <w:b w:val="0"/>
          <w:sz w:val="21"/>
        </w:rPr>
      </w:r>
    </w:p>
    <w:p>
      <w:r>
        <w:rPr>
          <w:rFonts w:ascii="游ゴシック" w:hAnsi="游ゴシック" w:eastAsia="游ゴシック"/>
          <w:b/>
          <w:sz w:val="21"/>
        </w:rPr>
        <w:t>【4つの取組の一体的な実施】</w:t>
      </w:r>
    </w:p>
    <w:p>
      <w:r>
        <w:rPr>
          <w:rFonts w:ascii="游ゴシック" w:hAnsi="游ゴシック" w:eastAsia="游ゴシック"/>
          <w:b w:val="0"/>
          <w:sz w:val="21"/>
        </w:rPr>
        <w:t>適正化計画指針は、ケアプランの点検について、次の4つを一体的に実施することを求めている。本要領の各節は、この4つに対応させて構成する。</w:t>
      </w:r>
    </w:p>
    <w:p>
      <w:pPr>
        <w:keepNext/>
        <w:spacing w:before="160" w:after="40"/>
      </w:pPr>
      <w:r>
        <w:rPr>
          <w:rFonts w:ascii="游ゴシック" w:hAnsi="游ゴシック" w:eastAsia="游ゴシック"/>
          <w:b/>
          <w:sz w:val="20"/>
        </w:rPr>
        <w:t>表6　適正化計画指針が求める4つの取組と本要領の対応</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4535"/>
            <w:shd w:val="clear" w:color="auto" w:fill="1F3864"/>
            <w:vAlign w:val="center"/>
          </w:tcPr>
          <w:p>
            <w:pPr>
              <w:spacing w:after="0"/>
              <w:jc w:val="center"/>
            </w:pPr>
            <w:r>
              <w:rPr>
                <w:rFonts w:ascii="游ゴシック" w:hAnsi="游ゴシック" w:eastAsia="游ゴシック"/>
                <w:b/>
                <w:color w:val="FFFFFF"/>
                <w:sz w:val="19"/>
              </w:rPr>
              <w:t>指針の求め</w:t>
            </w:r>
          </w:p>
        </w:tc>
        <w:tc>
          <w:tcPr>
            <w:tcW w:type="dxa" w:w="5216"/>
            <w:shd w:val="clear" w:color="auto" w:fill="1F3864"/>
            <w:vAlign w:val="center"/>
          </w:tcPr>
          <w:p>
            <w:pPr>
              <w:spacing w:after="0"/>
              <w:jc w:val="center"/>
            </w:pPr>
            <w:r>
              <w:rPr>
                <w:rFonts w:ascii="游ゴシック" w:hAnsi="游ゴシック" w:eastAsia="游ゴシック"/>
                <w:b/>
                <w:color w:val="FFFFFF"/>
                <w:sz w:val="19"/>
              </w:rPr>
              <w:t>本要領での対応</w:t>
            </w:r>
          </w:p>
        </w:tc>
      </w:tr>
      <w:tr>
        <w:trPr>
          <w:cantSplit/>
        </w:trPr>
        <w:tc>
          <w:tcPr>
            <w:tcW w:type="dxa" w:w="4535"/>
            <w:vAlign w:val="center"/>
          </w:tcPr>
          <w:p>
            <w:pPr>
              <w:spacing w:after="0"/>
            </w:pPr>
            <w:r>
              <w:rPr>
                <w:rFonts w:ascii="游ゴシック" w:hAnsi="游ゴシック" w:eastAsia="游ゴシック"/>
                <w:b/>
                <w:sz w:val="19"/>
              </w:rPr>
              <w:t>① 保険者によるチェックシート等を活用したケアプランの内容確認</w:t>
            </w:r>
          </w:p>
        </w:tc>
        <w:tc>
          <w:tcPr>
            <w:tcW w:type="dxa" w:w="5216"/>
            <w:vAlign w:val="center"/>
          </w:tcPr>
          <w:p>
            <w:pPr>
              <w:spacing w:after="0"/>
            </w:pPr>
            <w:r>
              <w:rPr>
                <w:rFonts w:ascii="游ゴシック" w:hAnsi="游ゴシック" w:eastAsia="游ゴシック"/>
                <w:b w:val="0"/>
                <w:sz w:val="19"/>
              </w:rPr>
              <w:t>第5節の点検の視点により確認する（様式第1号）</w:t>
            </w:r>
          </w:p>
        </w:tc>
      </w:tr>
      <w:tr>
        <w:trPr>
          <w:cantSplit/>
        </w:trPr>
        <w:tc>
          <w:tcPr>
            <w:tcW w:type="dxa" w:w="4535"/>
            <w:shd w:val="clear" w:color="auto" w:fill="F2F5FA"/>
            <w:vAlign w:val="center"/>
          </w:tcPr>
          <w:p>
            <w:pPr>
              <w:spacing w:after="0"/>
            </w:pPr>
            <w:r>
              <w:rPr>
                <w:rFonts w:ascii="游ゴシック" w:hAnsi="游ゴシック" w:eastAsia="游ゴシック"/>
                <w:b/>
                <w:sz w:val="19"/>
              </w:rPr>
              <w:t>② 明らかになった改善すべき事項の介護支援専門員への伝達</w:t>
            </w:r>
          </w:p>
        </w:tc>
        <w:tc>
          <w:tcPr>
            <w:tcW w:type="dxa" w:w="5216"/>
            <w:shd w:val="clear" w:color="auto" w:fill="F2F5FA"/>
            <w:vAlign w:val="center"/>
          </w:tcPr>
          <w:p>
            <w:pPr>
              <w:spacing w:after="0"/>
            </w:pPr>
            <w:r>
              <w:rPr>
                <w:rFonts w:ascii="游ゴシック" w:hAnsi="游ゴシック" w:eastAsia="游ゴシック"/>
                <w:b w:val="0"/>
                <w:sz w:val="19"/>
              </w:rPr>
              <w:t>第8節の結果の区分と手順による（様式第2号）</w:t>
            </w:r>
          </w:p>
        </w:tc>
      </w:tr>
      <w:tr>
        <w:trPr>
          <w:cantSplit/>
        </w:trPr>
        <w:tc>
          <w:tcPr>
            <w:tcW w:type="dxa" w:w="4535"/>
            <w:vAlign w:val="center"/>
          </w:tcPr>
          <w:p>
            <w:pPr>
              <w:spacing w:after="0"/>
            </w:pPr>
            <w:r>
              <w:rPr>
                <w:rFonts w:ascii="游ゴシック" w:hAnsi="游ゴシック" w:eastAsia="游ゴシック"/>
                <w:b/>
                <w:sz w:val="19"/>
              </w:rPr>
              <w:t>③ 自己点検シートによる介護支援専門員による自己チェック及び保険者による評価</w:t>
            </w:r>
          </w:p>
        </w:tc>
        <w:tc>
          <w:tcPr>
            <w:tcW w:type="dxa" w:w="5216"/>
            <w:vAlign w:val="center"/>
          </w:tcPr>
          <w:p>
            <w:pPr>
              <w:spacing w:after="0"/>
            </w:pPr>
            <w:r>
              <w:rPr>
                <w:rFonts w:ascii="游ゴシック" w:hAnsi="游ゴシック" w:eastAsia="游ゴシック"/>
                <w:b w:val="0"/>
                <w:sz w:val="19"/>
              </w:rPr>
              <w:t>点検の視点を事前に示し、同じ様式で自己点検を行ったうえで計画を提出していただく（様式第3号）</w:t>
            </w:r>
          </w:p>
        </w:tc>
      </w:tr>
      <w:tr>
        <w:trPr>
          <w:cantSplit/>
        </w:trPr>
        <w:tc>
          <w:tcPr>
            <w:tcW w:type="dxa" w:w="4535"/>
            <w:shd w:val="clear" w:color="auto" w:fill="F2F5FA"/>
            <w:vAlign w:val="center"/>
          </w:tcPr>
          <w:p>
            <w:pPr>
              <w:spacing w:after="0"/>
            </w:pPr>
            <w:r>
              <w:rPr>
                <w:rFonts w:ascii="游ゴシック" w:hAnsi="游ゴシック" w:eastAsia="游ゴシック"/>
                <w:b/>
                <w:sz w:val="19"/>
              </w:rPr>
              <w:t>④ 介護支援専門員への講習会の開催</w:t>
            </w:r>
          </w:p>
        </w:tc>
        <w:tc>
          <w:tcPr>
            <w:tcW w:type="dxa" w:w="5216"/>
            <w:shd w:val="clear" w:color="auto" w:fill="F2F5FA"/>
            <w:vAlign w:val="center"/>
          </w:tcPr>
          <w:p>
            <w:pPr>
              <w:spacing w:after="0"/>
            </w:pPr>
            <w:r>
              <w:rPr>
                <w:rFonts w:ascii="游ゴシック" w:hAnsi="游ゴシック" w:eastAsia="游ゴシック"/>
                <w:b w:val="0"/>
                <w:sz w:val="19"/>
              </w:rPr>
              <w:t>集団点検（事例検討）を年1回以上開催する。点検の結果から共通して見られた事項を題材とする</w:t>
            </w:r>
          </w:p>
        </w:tc>
      </w:tr>
    </w:tbl>
    <w:p>
      <w:r>
        <w:rPr>
          <w:rFonts w:ascii="游ゴシック" w:hAnsi="游ゴシック" w:eastAsia="游ゴシック"/>
          <w:b w:val="0"/>
          <w:sz w:val="21"/>
        </w:rPr>
        <w:t>指針は、過誤申立てだけでなくケアプランの改善状況を把握することにより、点検を実施したことによる効果を把握することが望ましいとしている。本要領は第8節で改善率及び再指摘率を測ることとしている。</w:t>
      </w:r>
    </w:p>
    <w:p>
      <w:pPr>
        <w:keepNext/>
        <w:spacing w:before="180" w:after="60"/>
      </w:pPr>
      <w:r>
        <w:rPr>
          <w:rFonts w:ascii="游ゴシック" w:hAnsi="游ゴシック" w:eastAsia="游ゴシック"/>
          <w:b/>
          <w:sz w:val="22"/>
        </w:rPr>
        <w:t>(2) 年間の工程</w:t>
      </w:r>
    </w:p>
    <w:p>
      <w:pPr>
        <w:keepNext/>
        <w:spacing w:before="160" w:after="40"/>
      </w:pPr>
      <w:r>
        <w:rPr>
          <w:rFonts w:ascii="游ゴシック" w:hAnsi="游ゴシック" w:eastAsia="游ゴシック"/>
          <w:b/>
          <w:sz w:val="20"/>
        </w:rPr>
        <w:t>表7　年間の工程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587"/>
            <w:shd w:val="clear" w:color="auto" w:fill="1F3864"/>
            <w:vAlign w:val="center"/>
          </w:tcPr>
          <w:p>
            <w:pPr>
              <w:spacing w:after="0"/>
              <w:jc w:val="center"/>
            </w:pPr>
            <w:r>
              <w:rPr>
                <w:rFonts w:ascii="游ゴシック" w:hAnsi="游ゴシック" w:eastAsia="游ゴシック"/>
                <w:b/>
                <w:color w:val="FFFFFF"/>
                <w:sz w:val="19"/>
              </w:rPr>
              <w:t>時期</w:t>
            </w:r>
          </w:p>
        </w:tc>
        <w:tc>
          <w:tcPr>
            <w:tcW w:type="dxa" w:w="5896"/>
            <w:shd w:val="clear" w:color="auto" w:fill="1F3864"/>
            <w:vAlign w:val="center"/>
          </w:tcPr>
          <w:p>
            <w:pPr>
              <w:spacing w:after="0"/>
              <w:jc w:val="center"/>
            </w:pPr>
            <w:r>
              <w:rPr>
                <w:rFonts w:ascii="游ゴシック" w:hAnsi="游ゴシック" w:eastAsia="游ゴシック"/>
                <w:b/>
                <w:color w:val="FFFFFF"/>
                <w:sz w:val="19"/>
              </w:rPr>
              <w:t>事務</w:t>
            </w:r>
          </w:p>
        </w:tc>
        <w:tc>
          <w:tcPr>
            <w:tcW w:type="dxa" w:w="2268"/>
            <w:shd w:val="clear" w:color="auto" w:fill="1F3864"/>
            <w:vAlign w:val="center"/>
          </w:tcPr>
          <w:p>
            <w:pPr>
              <w:spacing w:after="0"/>
              <w:jc w:val="center"/>
            </w:pPr>
            <w:r>
              <w:rPr>
                <w:rFonts w:ascii="游ゴシック" w:hAnsi="游ゴシック" w:eastAsia="游ゴシック"/>
                <w:b/>
                <w:color w:val="FFFFFF"/>
                <w:sz w:val="19"/>
              </w:rPr>
              <w:t>担当</w:t>
            </w:r>
          </w:p>
        </w:tc>
      </w:tr>
      <w:tr>
        <w:trPr>
          <w:cantSplit/>
        </w:trPr>
        <w:tc>
          <w:tcPr>
            <w:tcW w:type="dxa" w:w="1587"/>
            <w:vAlign w:val="center"/>
          </w:tcPr>
          <w:p>
            <w:pPr>
              <w:spacing w:after="0"/>
              <w:jc w:val="center"/>
            </w:pPr>
            <w:r>
              <w:rPr>
                <w:rFonts w:ascii="游ゴシック" w:hAnsi="游ゴシック" w:eastAsia="游ゴシック"/>
                <w:b w:val="0"/>
                <w:sz w:val="19"/>
              </w:rPr>
              <w:t>4月</w:t>
            </w:r>
          </w:p>
        </w:tc>
        <w:tc>
          <w:tcPr>
            <w:tcW w:type="dxa" w:w="5896"/>
            <w:vAlign w:val="center"/>
          </w:tcPr>
          <w:p>
            <w:pPr>
              <w:spacing w:after="0"/>
            </w:pPr>
            <w:r>
              <w:rPr>
                <w:rFonts w:ascii="游ゴシック" w:hAnsi="游ゴシック" w:eastAsia="游ゴシック"/>
                <w:b w:val="0"/>
                <w:sz w:val="19"/>
              </w:rPr>
              <w:t>点検計画の作成（対象事業所・件数・時期の決定）、事業所への通知、点検の視点の周知</w:t>
            </w:r>
          </w:p>
        </w:tc>
        <w:tc>
          <w:tcPr>
            <w:tcW w:type="dxa" w:w="2268"/>
            <w:vAlign w:val="center"/>
          </w:tcPr>
          <w:p>
            <w:pPr>
              <w:spacing w:after="0"/>
            </w:pPr>
            <w:r>
              <w:rPr>
                <w:rFonts w:ascii="游ゴシック" w:hAnsi="游ゴシック" w:eastAsia="游ゴシック"/>
                <w:b w:val="0"/>
                <w:sz w:val="19"/>
              </w:rPr>
              <w:t>広域連合</w:t>
            </w:r>
          </w:p>
        </w:tc>
      </w:tr>
      <w:tr>
        <w:trPr>
          <w:cantSplit/>
        </w:trPr>
        <w:tc>
          <w:tcPr>
            <w:tcW w:type="dxa" w:w="1587"/>
            <w:shd w:val="clear" w:color="auto" w:fill="F2F5FA"/>
            <w:vAlign w:val="center"/>
          </w:tcPr>
          <w:p>
            <w:pPr>
              <w:spacing w:after="0"/>
              <w:jc w:val="center"/>
            </w:pPr>
            <w:r>
              <w:rPr>
                <w:rFonts w:ascii="游ゴシック" w:hAnsi="游ゴシック" w:eastAsia="游ゴシック"/>
                <w:b w:val="0"/>
                <w:sz w:val="19"/>
              </w:rPr>
              <w:t>5月〜6月</w:t>
            </w:r>
          </w:p>
        </w:tc>
        <w:tc>
          <w:tcPr>
            <w:tcW w:type="dxa" w:w="5896"/>
            <w:shd w:val="clear" w:color="auto" w:fill="F2F5FA"/>
            <w:vAlign w:val="center"/>
          </w:tcPr>
          <w:p>
            <w:pPr>
              <w:spacing w:after="0"/>
            </w:pPr>
            <w:r>
              <w:rPr>
                <w:rFonts w:ascii="游ゴシック" w:hAnsi="游ゴシック" w:eastAsia="游ゴシック"/>
                <w:b w:val="0"/>
                <w:sz w:val="19"/>
              </w:rPr>
              <w:t>国保連の帳票（認定調査状況と利用サービス不一致一覧表、支給限度額一定割合超一覧表）の出力・対象の抽出</w:t>
            </w:r>
          </w:p>
        </w:tc>
        <w:tc>
          <w:tcPr>
            <w:tcW w:type="dxa" w:w="2268"/>
            <w:shd w:val="clear" w:color="auto" w:fill="F2F5FA"/>
            <w:vAlign w:val="center"/>
          </w:tcPr>
          <w:p>
            <w:pPr>
              <w:spacing w:after="0"/>
            </w:pPr>
            <w:r>
              <w:rPr>
                <w:rFonts w:ascii="游ゴシック" w:hAnsi="游ゴシック" w:eastAsia="游ゴシック"/>
                <w:b w:val="0"/>
                <w:sz w:val="19"/>
              </w:rPr>
              <w:t>広域連合</w:t>
            </w:r>
          </w:p>
        </w:tc>
      </w:tr>
      <w:tr>
        <w:trPr>
          <w:cantSplit/>
        </w:trPr>
        <w:tc>
          <w:tcPr>
            <w:tcW w:type="dxa" w:w="1587"/>
            <w:vAlign w:val="center"/>
          </w:tcPr>
          <w:p>
            <w:pPr>
              <w:spacing w:after="0"/>
              <w:jc w:val="center"/>
            </w:pPr>
            <w:r>
              <w:rPr>
                <w:rFonts w:ascii="游ゴシック" w:hAnsi="游ゴシック" w:eastAsia="游ゴシック"/>
                <w:b w:val="0"/>
                <w:sz w:val="19"/>
              </w:rPr>
              <w:t>6月〜9月</w:t>
            </w:r>
          </w:p>
        </w:tc>
        <w:tc>
          <w:tcPr>
            <w:tcW w:type="dxa" w:w="5896"/>
            <w:vAlign w:val="center"/>
          </w:tcPr>
          <w:p>
            <w:pPr>
              <w:spacing w:after="0"/>
            </w:pPr>
            <w:r>
              <w:rPr>
                <w:rFonts w:ascii="游ゴシック" w:hAnsi="游ゴシック" w:eastAsia="游ゴシック"/>
                <w:b w:val="0"/>
                <w:sz w:val="19"/>
              </w:rPr>
              <w:t>第1期の書面点検（対象事業所の半数）</w:t>
            </w:r>
          </w:p>
        </w:tc>
        <w:tc>
          <w:tcPr>
            <w:tcW w:type="dxa" w:w="2268"/>
            <w:vAlign w:val="center"/>
          </w:tcPr>
          <w:p>
            <w:pPr>
              <w:spacing w:after="0"/>
            </w:pPr>
            <w:r>
              <w:rPr>
                <w:rFonts w:ascii="游ゴシック" w:hAnsi="游ゴシック" w:eastAsia="游ゴシック"/>
                <w:b w:val="0"/>
                <w:sz w:val="19"/>
              </w:rPr>
              <w:t>広域連合・3町</w:t>
            </w:r>
          </w:p>
        </w:tc>
      </w:tr>
      <w:tr>
        <w:trPr>
          <w:cantSplit/>
        </w:trPr>
        <w:tc>
          <w:tcPr>
            <w:tcW w:type="dxa" w:w="1587"/>
            <w:shd w:val="clear" w:color="auto" w:fill="F2F5FA"/>
            <w:vAlign w:val="center"/>
          </w:tcPr>
          <w:p>
            <w:pPr>
              <w:spacing w:after="0"/>
              <w:jc w:val="center"/>
            </w:pPr>
            <w:r>
              <w:rPr>
                <w:rFonts w:ascii="游ゴシック" w:hAnsi="游ゴシック" w:eastAsia="游ゴシック"/>
                <w:b w:val="0"/>
                <w:sz w:val="19"/>
              </w:rPr>
              <w:t>9月</w:t>
            </w:r>
          </w:p>
        </w:tc>
        <w:tc>
          <w:tcPr>
            <w:tcW w:type="dxa" w:w="5896"/>
            <w:shd w:val="clear" w:color="auto" w:fill="F2F5FA"/>
            <w:vAlign w:val="center"/>
          </w:tcPr>
          <w:p>
            <w:pPr>
              <w:spacing w:after="0"/>
            </w:pPr>
            <w:r>
              <w:rPr>
                <w:rFonts w:ascii="游ゴシック" w:hAnsi="游ゴシック" w:eastAsia="游ゴシック"/>
                <w:b w:val="0"/>
                <w:sz w:val="19"/>
              </w:rPr>
              <w:t>集団点検（事例検討）の開催</w:t>
            </w:r>
          </w:p>
        </w:tc>
        <w:tc>
          <w:tcPr>
            <w:tcW w:type="dxa" w:w="2268"/>
            <w:shd w:val="clear" w:color="auto" w:fill="F2F5FA"/>
            <w:vAlign w:val="center"/>
          </w:tcPr>
          <w:p>
            <w:pPr>
              <w:spacing w:after="0"/>
            </w:pPr>
            <w:r>
              <w:rPr>
                <w:rFonts w:ascii="游ゴシック" w:hAnsi="游ゴシック" w:eastAsia="游ゴシック"/>
                <w:b w:val="0"/>
                <w:sz w:val="19"/>
              </w:rPr>
              <w:t>広域連合・3町</w:t>
            </w:r>
          </w:p>
        </w:tc>
      </w:tr>
      <w:tr>
        <w:trPr>
          <w:cantSplit/>
        </w:trPr>
        <w:tc>
          <w:tcPr>
            <w:tcW w:type="dxa" w:w="1587"/>
            <w:vAlign w:val="center"/>
          </w:tcPr>
          <w:p>
            <w:pPr>
              <w:spacing w:after="0"/>
              <w:jc w:val="center"/>
            </w:pPr>
            <w:r>
              <w:rPr>
                <w:rFonts w:ascii="游ゴシック" w:hAnsi="游ゴシック" w:eastAsia="游ゴシック"/>
                <w:b w:val="0"/>
                <w:sz w:val="19"/>
              </w:rPr>
              <w:t>10月〜1月</w:t>
            </w:r>
          </w:p>
        </w:tc>
        <w:tc>
          <w:tcPr>
            <w:tcW w:type="dxa" w:w="5896"/>
            <w:vAlign w:val="center"/>
          </w:tcPr>
          <w:p>
            <w:pPr>
              <w:spacing w:after="0"/>
            </w:pPr>
            <w:r>
              <w:rPr>
                <w:rFonts w:ascii="游ゴシック" w:hAnsi="游ゴシック" w:eastAsia="游ゴシック"/>
                <w:b w:val="0"/>
                <w:sz w:val="19"/>
              </w:rPr>
              <w:t>第2期の書面点検（残りの事業所）、必要に応じ訪問点検</w:t>
            </w:r>
          </w:p>
        </w:tc>
        <w:tc>
          <w:tcPr>
            <w:tcW w:type="dxa" w:w="2268"/>
            <w:vAlign w:val="center"/>
          </w:tcPr>
          <w:p>
            <w:pPr>
              <w:spacing w:after="0"/>
            </w:pPr>
            <w:r>
              <w:rPr>
                <w:rFonts w:ascii="游ゴシック" w:hAnsi="游ゴシック" w:eastAsia="游ゴシック"/>
                <w:b w:val="0"/>
                <w:sz w:val="19"/>
              </w:rPr>
              <w:t>広域連合・3町</w:t>
            </w:r>
          </w:p>
        </w:tc>
      </w:tr>
      <w:tr>
        <w:trPr>
          <w:cantSplit/>
        </w:trPr>
        <w:tc>
          <w:tcPr>
            <w:tcW w:type="dxa" w:w="1587"/>
            <w:shd w:val="clear" w:color="auto" w:fill="F2F5FA"/>
            <w:vAlign w:val="center"/>
          </w:tcPr>
          <w:p>
            <w:pPr>
              <w:spacing w:after="0"/>
              <w:jc w:val="center"/>
            </w:pPr>
            <w:r>
              <w:rPr>
                <w:rFonts w:ascii="游ゴシック" w:hAnsi="游ゴシック" w:eastAsia="游ゴシック"/>
                <w:b w:val="0"/>
                <w:sz w:val="19"/>
              </w:rPr>
              <w:t>2月</w:t>
            </w:r>
          </w:p>
        </w:tc>
        <w:tc>
          <w:tcPr>
            <w:tcW w:type="dxa" w:w="5896"/>
            <w:shd w:val="clear" w:color="auto" w:fill="F2F5FA"/>
            <w:vAlign w:val="center"/>
          </w:tcPr>
          <w:p>
            <w:pPr>
              <w:spacing w:after="0"/>
            </w:pPr>
            <w:r>
              <w:rPr>
                <w:rFonts w:ascii="游ゴシック" w:hAnsi="游ゴシック" w:eastAsia="游ゴシック"/>
                <w:b w:val="0"/>
                <w:sz w:val="19"/>
              </w:rPr>
              <w:t>指導事項の改善状況の確認</w:t>
            </w:r>
          </w:p>
        </w:tc>
        <w:tc>
          <w:tcPr>
            <w:tcW w:type="dxa" w:w="2268"/>
            <w:shd w:val="clear" w:color="auto" w:fill="F2F5FA"/>
            <w:vAlign w:val="center"/>
          </w:tcPr>
          <w:p>
            <w:pPr>
              <w:spacing w:after="0"/>
            </w:pPr>
            <w:r>
              <w:rPr>
                <w:rFonts w:ascii="游ゴシック" w:hAnsi="游ゴシック" w:eastAsia="游ゴシック"/>
                <w:b w:val="0"/>
                <w:sz w:val="19"/>
              </w:rPr>
              <w:t>広域連合</w:t>
            </w:r>
          </w:p>
        </w:tc>
      </w:tr>
      <w:tr>
        <w:trPr>
          <w:cantSplit/>
        </w:trPr>
        <w:tc>
          <w:tcPr>
            <w:tcW w:type="dxa" w:w="1587"/>
            <w:vAlign w:val="center"/>
          </w:tcPr>
          <w:p>
            <w:pPr>
              <w:spacing w:after="0"/>
              <w:jc w:val="center"/>
            </w:pPr>
            <w:r>
              <w:rPr>
                <w:rFonts w:ascii="游ゴシック" w:hAnsi="游ゴシック" w:eastAsia="游ゴシック"/>
                <w:b w:val="0"/>
                <w:sz w:val="19"/>
              </w:rPr>
              <w:t>3月</w:t>
            </w:r>
          </w:p>
        </w:tc>
        <w:tc>
          <w:tcPr>
            <w:tcW w:type="dxa" w:w="5896"/>
            <w:vAlign w:val="center"/>
          </w:tcPr>
          <w:p>
            <w:pPr>
              <w:spacing w:after="0"/>
            </w:pPr>
            <w:r>
              <w:rPr>
                <w:rFonts w:ascii="游ゴシック" w:hAnsi="游ゴシック" w:eastAsia="游ゴシック"/>
                <w:b w:val="0"/>
                <w:sz w:val="19"/>
              </w:rPr>
              <w:t>実施結果の取りまとめ、評価指標の実績の算定、策定委員会への報告資料の作成</w:t>
            </w:r>
          </w:p>
        </w:tc>
        <w:tc>
          <w:tcPr>
            <w:tcW w:type="dxa" w:w="2268"/>
            <w:vAlign w:val="center"/>
          </w:tcPr>
          <w:p>
            <w:pPr>
              <w:spacing w:after="0"/>
            </w:pPr>
            <w:r>
              <w:rPr>
                <w:rFonts w:ascii="游ゴシック" w:hAnsi="游ゴシック" w:eastAsia="游ゴシック"/>
                <w:b w:val="0"/>
                <w:sz w:val="19"/>
              </w:rPr>
              <w:t>広域連合</w:t>
            </w:r>
          </w:p>
        </w:tc>
      </w:tr>
      <w:tr>
        <w:trPr>
          <w:cantSplit/>
        </w:trPr>
        <w:tc>
          <w:tcPr>
            <w:tcW w:type="dxa" w:w="1587"/>
            <w:shd w:val="clear" w:color="auto" w:fill="F2F5FA"/>
            <w:vAlign w:val="center"/>
          </w:tcPr>
          <w:p>
            <w:pPr>
              <w:spacing w:after="0"/>
              <w:jc w:val="center"/>
            </w:pPr>
            <w:r>
              <w:rPr>
                <w:rFonts w:ascii="游ゴシック" w:hAnsi="游ゴシック" w:eastAsia="游ゴシック"/>
                <w:b w:val="0"/>
                <w:sz w:val="19"/>
              </w:rPr>
              <w:t>翌年度7月〜9月</w:t>
            </w:r>
          </w:p>
        </w:tc>
        <w:tc>
          <w:tcPr>
            <w:tcW w:type="dxa" w:w="5896"/>
            <w:shd w:val="clear" w:color="auto" w:fill="F2F5FA"/>
            <w:vAlign w:val="center"/>
          </w:tcPr>
          <w:p>
            <w:pPr>
              <w:spacing w:after="0"/>
            </w:pPr>
            <w:r>
              <w:rPr>
                <w:rFonts w:ascii="游ゴシック" w:hAnsi="游ゴシック" w:eastAsia="游ゴシック"/>
                <w:b w:val="0"/>
                <w:sz w:val="19"/>
              </w:rPr>
              <w:t>策定委員会への報告、公表</w:t>
            </w:r>
          </w:p>
        </w:tc>
        <w:tc>
          <w:tcPr>
            <w:tcW w:type="dxa" w:w="2268"/>
            <w:shd w:val="clear" w:color="auto" w:fill="F2F5FA"/>
            <w:vAlign w:val="center"/>
          </w:tcPr>
          <w:p>
            <w:pPr>
              <w:spacing w:after="0"/>
            </w:pPr>
            <w:r>
              <w:rPr>
                <w:rFonts w:ascii="游ゴシック" w:hAnsi="游ゴシック" w:eastAsia="游ゴシック"/>
                <w:b w:val="0"/>
                <w:sz w:val="19"/>
              </w:rPr>
              <w:t>広域連合</w:t>
            </w:r>
          </w:p>
        </w:tc>
      </w:tr>
    </w:tbl>
    <w:p>
      <w:r>
        <w:rPr>
          <w:rFonts w:ascii="游ゴシック" w:hAnsi="游ゴシック" w:eastAsia="游ゴシック"/>
          <w:b w:val="0"/>
          <w:sz w:val="21"/>
        </w:rPr>
        <w:t>点検の対象月は、原則として前年度の4月から3月までとする。点検した計画の計画作成日以降の期間のうち、当該年度に属する期間の月数を「点検対象とした月数」として記録する。</w:t>
      </w:r>
    </w:p>
    <w:p>
      <w:pPr>
        <w:keepNext/>
        <w:spacing w:before="280" w:after="120"/>
      </w:pPr>
      <w:r>
        <w:rPr>
          <w:rFonts w:ascii="游ゴシック" w:hAnsi="游ゴシック" w:eastAsia="游ゴシック"/>
          <w:b/>
          <w:color w:val="1F3864"/>
          <w:sz w:val="26"/>
        </w:rPr>
        <w:t>7　点検の件数と計上の方法</w:t>
      </w:r>
    </w:p>
    <w:p>
      <w:pPr>
        <w:keepNext/>
        <w:spacing w:before="180" w:after="60"/>
      </w:pPr>
      <w:r>
        <w:rPr>
          <w:rFonts w:ascii="游ゴシック" w:hAnsi="游ゴシック" w:eastAsia="游ゴシック"/>
          <w:b/>
          <w:sz w:val="22"/>
        </w:rPr>
        <w:t>(1) 件数の計上の方法</w:t>
      </w:r>
    </w:p>
    <w:p>
      <w:r>
        <w:rPr>
          <w:rFonts w:ascii="游ゴシック" w:hAnsi="游ゴシック" w:eastAsia="游ゴシック"/>
          <w:b w:val="0"/>
          <w:sz w:val="21"/>
        </w:rPr>
        <w:t>国の評価指標は、ケアプラン点検数の計上に当たって、1の対象者に点検対象とした月数を乗じて得た件数の合計とすることを定めている。1の対象者につき6月分の点検を行った場合は6件となる。広域連合も、この計上方法による。</w:t>
      </w:r>
    </w:p>
    <w:p>
      <w:pPr>
        <w:ind w:left="227"/>
      </w:pPr>
      <w:r>
        <w:rPr>
          <w:rFonts w:ascii="游ゴシック" w:hAnsi="游ゴシック" w:eastAsia="游ゴシック"/>
          <w:sz w:val="18"/>
        </w:rPr>
        <w:t>※ 点検した計画の計画作成日以降の期間のうち、当該年度に属する期間の月数を「点検対象とした月数」とする。当該年度に前年度の3月までの計画を点検した場合は、計画作成日以降の期間のうち前年度に属する期間の月数とする。過去年度に属する期間のサービス計画書第6表及び第7表を点検した場合は、過去年度の月数も含めて差し支えないこととされている。</w:t>
      </w:r>
    </w:p>
    <w:p>
      <w:pPr>
        <w:keepNext/>
        <w:spacing w:before="180" w:after="60"/>
      </w:pPr>
      <w:r>
        <w:rPr>
          <w:rFonts w:ascii="游ゴシック" w:hAnsi="游ゴシック" w:eastAsia="游ゴシック"/>
          <w:b/>
          <w:sz w:val="22"/>
        </w:rPr>
        <w:t>(2) 件数の目安（受託者案）</w:t>
      </w:r>
    </w:p>
    <w:p>
      <w:r>
        <w:rPr>
          <w:rFonts w:ascii="游ゴシック" w:hAnsi="游ゴシック" w:eastAsia="游ゴシック"/>
          <w:b w:val="0"/>
          <w:sz w:val="21"/>
        </w:rPr>
        <w:t>初年度は全11事業所を1巡することを優先し、1事業所あたり4人、1人につき6か月分を点検する。第10期の3か年で対象者数を段階的に増やす。</w:t>
      </w:r>
    </w:p>
    <w:p>
      <w:pPr>
        <w:keepNext/>
        <w:spacing w:before="160" w:after="40"/>
      </w:pPr>
      <w:r>
        <w:rPr>
          <w:rFonts w:ascii="游ゴシック" w:hAnsi="游ゴシック" w:eastAsia="游ゴシック"/>
          <w:b/>
          <w:sz w:val="20"/>
        </w:rPr>
        <w:t>表8　点検件数の目安（受託者案）</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393"/>
        <w:gridCol w:w="1393"/>
        <w:gridCol w:w="1393"/>
        <w:gridCol w:w="1393"/>
        <w:gridCol w:w="1393"/>
        <w:gridCol w:w="1393"/>
        <w:gridCol w:w="1393"/>
      </w:tblGrid>
      <w:tr>
        <w:trPr>
          <w:tblHeader/>
        </w:trPr>
        <w:tc>
          <w:tcPr>
            <w:tcW w:type="dxa" w:w="1361"/>
            <w:shd w:val="clear" w:color="auto" w:fill="1F3864"/>
            <w:vAlign w:val="center"/>
          </w:tcPr>
          <w:p>
            <w:pPr>
              <w:spacing w:after="0"/>
              <w:jc w:val="center"/>
            </w:pPr>
            <w:r>
              <w:rPr>
                <w:rFonts w:ascii="游ゴシック" w:hAnsi="游ゴシック" w:eastAsia="游ゴシック"/>
                <w:b/>
                <w:color w:val="FFFFFF"/>
                <w:sz w:val="19"/>
              </w:rPr>
              <w:t>年度</w:t>
            </w:r>
          </w:p>
        </w:tc>
        <w:tc>
          <w:tcPr>
            <w:tcW w:type="dxa" w:w="1134"/>
            <w:shd w:val="clear" w:color="auto" w:fill="1F3864"/>
            <w:vAlign w:val="center"/>
          </w:tcPr>
          <w:p>
            <w:pPr>
              <w:spacing w:after="0"/>
              <w:jc w:val="center"/>
            </w:pPr>
            <w:r>
              <w:rPr>
                <w:rFonts w:ascii="游ゴシック" w:hAnsi="游ゴシック" w:eastAsia="游ゴシック"/>
                <w:b/>
                <w:color w:val="FFFFFF"/>
                <w:sz w:val="19"/>
              </w:rPr>
              <w:t>対象事業所</w:t>
            </w:r>
          </w:p>
        </w:tc>
        <w:tc>
          <w:tcPr>
            <w:tcW w:type="dxa" w:w="1361"/>
            <w:shd w:val="clear" w:color="auto" w:fill="1F3864"/>
            <w:vAlign w:val="center"/>
          </w:tcPr>
          <w:p>
            <w:pPr>
              <w:spacing w:after="0"/>
              <w:jc w:val="center"/>
            </w:pPr>
            <w:r>
              <w:rPr>
                <w:rFonts w:ascii="游ゴシック" w:hAnsi="游ゴシック" w:eastAsia="游ゴシック"/>
                <w:b/>
                <w:color w:val="FFFFFF"/>
                <w:sz w:val="19"/>
              </w:rPr>
              <w:t>1事業所あたり</w:t>
              <w:br/>
              <w:t>対象者数</w:t>
            </w:r>
          </w:p>
        </w:tc>
        <w:tc>
          <w:tcPr>
            <w:tcW w:type="dxa" w:w="1134"/>
            <w:shd w:val="clear" w:color="auto" w:fill="1F3864"/>
            <w:vAlign w:val="center"/>
          </w:tcPr>
          <w:p>
            <w:pPr>
              <w:spacing w:after="0"/>
              <w:jc w:val="center"/>
            </w:pPr>
            <w:r>
              <w:rPr>
                <w:rFonts w:ascii="游ゴシック" w:hAnsi="游ゴシック" w:eastAsia="游ゴシック"/>
                <w:b/>
                <w:color w:val="FFFFFF"/>
                <w:sz w:val="19"/>
              </w:rPr>
              <w:t>1人あたり</w:t>
              <w:br/>
              <w:t>点検月数</w:t>
            </w:r>
          </w:p>
        </w:tc>
        <w:tc>
          <w:tcPr>
            <w:tcW w:type="dxa" w:w="1247"/>
            <w:shd w:val="clear" w:color="auto" w:fill="1F3864"/>
            <w:vAlign w:val="center"/>
          </w:tcPr>
          <w:p>
            <w:pPr>
              <w:spacing w:after="0"/>
              <w:jc w:val="center"/>
            </w:pPr>
            <w:r>
              <w:rPr>
                <w:rFonts w:ascii="游ゴシック" w:hAnsi="游ゴシック" w:eastAsia="游ゴシック"/>
                <w:b/>
                <w:color w:val="FFFFFF"/>
                <w:sz w:val="19"/>
              </w:rPr>
              <w:t>点検件数</w:t>
            </w:r>
          </w:p>
        </w:tc>
        <w:tc>
          <w:tcPr>
            <w:tcW w:type="dxa" w:w="1814"/>
            <w:shd w:val="clear" w:color="auto" w:fill="1F3864"/>
            <w:vAlign w:val="center"/>
          </w:tcPr>
          <w:p>
            <w:pPr>
              <w:spacing w:after="0"/>
              <w:jc w:val="center"/>
            </w:pPr>
            <w:r>
              <w:rPr>
                <w:rFonts w:ascii="游ゴシック" w:hAnsi="游ゴシック" w:eastAsia="游ゴシック"/>
                <w:b/>
                <w:color w:val="FFFFFF"/>
                <w:sz w:val="19"/>
              </w:rPr>
              <w:t>参考：年間の</w:t>
              <w:br/>
              <w:t>居宅介護支援等の件数</w:t>
            </w:r>
          </w:p>
        </w:tc>
        <w:tc>
          <w:tcPr>
            <w:tcW w:type="dxa" w:w="1134"/>
            <w:shd w:val="clear" w:color="auto" w:fill="1F3864"/>
            <w:vAlign w:val="center"/>
          </w:tcPr>
          <w:p>
            <w:pPr>
              <w:spacing w:after="0"/>
              <w:jc w:val="center"/>
            </w:pPr>
            <w:r>
              <w:rPr>
                <w:rFonts w:ascii="游ゴシック" w:hAnsi="游ゴシック" w:eastAsia="游ゴシック"/>
                <w:b/>
                <w:color w:val="FFFFFF"/>
                <w:sz w:val="19"/>
              </w:rPr>
              <w:t>実施割合</w:t>
            </w:r>
          </w:p>
        </w:tc>
      </w:tr>
      <w:tr>
        <w:trPr>
          <w:cantSplit/>
        </w:trPr>
        <w:tc>
          <w:tcPr>
            <w:tcW w:type="dxa" w:w="1361"/>
            <w:vAlign w:val="center"/>
          </w:tcPr>
          <w:p>
            <w:pPr>
              <w:spacing w:after="0"/>
            </w:pPr>
            <w:r>
              <w:rPr>
                <w:rFonts w:ascii="游ゴシック" w:hAnsi="游ゴシック" w:eastAsia="游ゴシック"/>
                <w:b w:val="0"/>
                <w:sz w:val="19"/>
              </w:rPr>
              <w:t>令和9年度</w:t>
            </w:r>
          </w:p>
        </w:tc>
        <w:tc>
          <w:tcPr>
            <w:tcW w:type="dxa" w:w="1134"/>
            <w:vAlign w:val="center"/>
          </w:tcPr>
          <w:p>
            <w:pPr>
              <w:spacing w:after="0"/>
              <w:jc w:val="center"/>
            </w:pPr>
            <w:r>
              <w:rPr>
                <w:rFonts w:ascii="游ゴシック" w:hAnsi="游ゴシック" w:eastAsia="游ゴシック"/>
                <w:b w:val="0"/>
                <w:sz w:val="19"/>
              </w:rPr>
              <w:t>11</w:t>
            </w:r>
          </w:p>
        </w:tc>
        <w:tc>
          <w:tcPr>
            <w:tcW w:type="dxa" w:w="1361"/>
            <w:vAlign w:val="center"/>
          </w:tcPr>
          <w:p>
            <w:pPr>
              <w:spacing w:after="0"/>
              <w:jc w:val="center"/>
            </w:pPr>
            <w:r>
              <w:rPr>
                <w:rFonts w:ascii="游ゴシック" w:hAnsi="游ゴシック" w:eastAsia="游ゴシック"/>
                <w:b w:val="0"/>
                <w:sz w:val="19"/>
              </w:rPr>
              <w:t>4</w:t>
            </w:r>
          </w:p>
        </w:tc>
        <w:tc>
          <w:tcPr>
            <w:tcW w:type="dxa" w:w="1134"/>
            <w:vAlign w:val="center"/>
          </w:tcPr>
          <w:p>
            <w:pPr>
              <w:spacing w:after="0"/>
              <w:jc w:val="center"/>
            </w:pPr>
            <w:r>
              <w:rPr>
                <w:rFonts w:ascii="游ゴシック" w:hAnsi="游ゴシック" w:eastAsia="游ゴシック"/>
                <w:b w:val="0"/>
                <w:sz w:val="19"/>
              </w:rPr>
              <w:t>6</w:t>
            </w:r>
          </w:p>
        </w:tc>
        <w:tc>
          <w:tcPr>
            <w:tcW w:type="dxa" w:w="1247"/>
            <w:vAlign w:val="center"/>
          </w:tcPr>
          <w:p>
            <w:pPr>
              <w:spacing w:after="0"/>
              <w:jc w:val="center"/>
            </w:pPr>
            <w:r>
              <w:rPr>
                <w:rFonts w:ascii="游ゴシック" w:hAnsi="游ゴシック" w:eastAsia="游ゴシック"/>
                <w:b w:val="0"/>
                <w:sz w:val="19"/>
              </w:rPr>
              <w:t>264件</w:t>
            </w:r>
          </w:p>
        </w:tc>
        <w:tc>
          <w:tcPr>
            <w:tcW w:type="dxa" w:w="1814"/>
            <w:vAlign w:val="center"/>
          </w:tcPr>
          <w:p>
            <w:pPr>
              <w:spacing w:after="0"/>
              <w:jc w:val="center"/>
            </w:pPr>
            <w:r>
              <w:rPr>
                <w:rFonts w:ascii="游ゴシック" w:hAnsi="游ゴシック" w:eastAsia="游ゴシック"/>
                <w:b w:val="0"/>
                <w:sz w:val="19"/>
              </w:rPr>
              <w:t>11,112件</w:t>
            </w:r>
          </w:p>
        </w:tc>
        <w:tc>
          <w:tcPr>
            <w:tcW w:type="dxa" w:w="1134"/>
            <w:vAlign w:val="center"/>
          </w:tcPr>
          <w:p>
            <w:pPr>
              <w:spacing w:after="0"/>
              <w:jc w:val="center"/>
            </w:pPr>
            <w:r>
              <w:rPr>
                <w:rFonts w:ascii="游ゴシック" w:hAnsi="游ゴシック" w:eastAsia="游ゴシック"/>
                <w:b w:val="0"/>
                <w:sz w:val="19"/>
              </w:rPr>
              <w:t>2.4％</w:t>
            </w:r>
          </w:p>
        </w:tc>
      </w:tr>
      <w:tr>
        <w:trPr>
          <w:cantSplit/>
        </w:trPr>
        <w:tc>
          <w:tcPr>
            <w:tcW w:type="dxa" w:w="1361"/>
            <w:shd w:val="clear" w:color="auto" w:fill="F2F5FA"/>
            <w:vAlign w:val="center"/>
          </w:tcPr>
          <w:p>
            <w:pPr>
              <w:spacing w:after="0"/>
            </w:pPr>
            <w:r>
              <w:rPr>
                <w:rFonts w:ascii="游ゴシック" w:hAnsi="游ゴシック" w:eastAsia="游ゴシック"/>
                <w:b w:val="0"/>
                <w:sz w:val="19"/>
              </w:rPr>
              <w:t>令和10年度</w:t>
            </w:r>
          </w:p>
        </w:tc>
        <w:tc>
          <w:tcPr>
            <w:tcW w:type="dxa" w:w="1134"/>
            <w:shd w:val="clear" w:color="auto" w:fill="F2F5FA"/>
            <w:vAlign w:val="center"/>
          </w:tcPr>
          <w:p>
            <w:pPr>
              <w:spacing w:after="0"/>
              <w:jc w:val="center"/>
            </w:pPr>
            <w:r>
              <w:rPr>
                <w:rFonts w:ascii="游ゴシック" w:hAnsi="游ゴシック" w:eastAsia="游ゴシック"/>
                <w:b w:val="0"/>
                <w:sz w:val="19"/>
              </w:rPr>
              <w:t>11</w:t>
            </w:r>
          </w:p>
        </w:tc>
        <w:tc>
          <w:tcPr>
            <w:tcW w:type="dxa" w:w="1361"/>
            <w:shd w:val="clear" w:color="auto" w:fill="F2F5FA"/>
            <w:vAlign w:val="center"/>
          </w:tcPr>
          <w:p>
            <w:pPr>
              <w:spacing w:after="0"/>
              <w:jc w:val="center"/>
            </w:pPr>
            <w:r>
              <w:rPr>
                <w:rFonts w:ascii="游ゴシック" w:hAnsi="游ゴシック" w:eastAsia="游ゴシック"/>
                <w:b w:val="0"/>
                <w:sz w:val="19"/>
              </w:rPr>
              <w:t>6</w:t>
            </w:r>
          </w:p>
        </w:tc>
        <w:tc>
          <w:tcPr>
            <w:tcW w:type="dxa" w:w="1134"/>
            <w:shd w:val="clear" w:color="auto" w:fill="F2F5FA"/>
            <w:vAlign w:val="center"/>
          </w:tcPr>
          <w:p>
            <w:pPr>
              <w:spacing w:after="0"/>
              <w:jc w:val="center"/>
            </w:pPr>
            <w:r>
              <w:rPr>
                <w:rFonts w:ascii="游ゴシック" w:hAnsi="游ゴシック" w:eastAsia="游ゴシック"/>
                <w:b w:val="0"/>
                <w:sz w:val="19"/>
              </w:rPr>
              <w:t>6</w:t>
            </w:r>
          </w:p>
        </w:tc>
        <w:tc>
          <w:tcPr>
            <w:tcW w:type="dxa" w:w="1247"/>
            <w:shd w:val="clear" w:color="auto" w:fill="F2F5FA"/>
            <w:vAlign w:val="center"/>
          </w:tcPr>
          <w:p>
            <w:pPr>
              <w:spacing w:after="0"/>
              <w:jc w:val="center"/>
            </w:pPr>
            <w:r>
              <w:rPr>
                <w:rFonts w:ascii="游ゴシック" w:hAnsi="游ゴシック" w:eastAsia="游ゴシック"/>
                <w:b w:val="0"/>
                <w:sz w:val="19"/>
              </w:rPr>
              <w:t>396件</w:t>
            </w:r>
          </w:p>
        </w:tc>
        <w:tc>
          <w:tcPr>
            <w:tcW w:type="dxa" w:w="1814"/>
            <w:shd w:val="clear" w:color="auto" w:fill="F2F5FA"/>
            <w:vAlign w:val="center"/>
          </w:tcPr>
          <w:p>
            <w:pPr>
              <w:spacing w:after="0"/>
              <w:jc w:val="center"/>
            </w:pPr>
            <w:r>
              <w:rPr>
                <w:rFonts w:ascii="游ゴシック" w:hAnsi="游ゴシック" w:eastAsia="游ゴシック"/>
                <w:b w:val="0"/>
                <w:sz w:val="19"/>
              </w:rPr>
              <w:t>11,112件</w:t>
            </w:r>
          </w:p>
        </w:tc>
        <w:tc>
          <w:tcPr>
            <w:tcW w:type="dxa" w:w="1134"/>
            <w:shd w:val="clear" w:color="auto" w:fill="F2F5FA"/>
            <w:vAlign w:val="center"/>
          </w:tcPr>
          <w:p>
            <w:pPr>
              <w:spacing w:after="0"/>
              <w:jc w:val="center"/>
            </w:pPr>
            <w:r>
              <w:rPr>
                <w:rFonts w:ascii="游ゴシック" w:hAnsi="游ゴシック" w:eastAsia="游ゴシック"/>
                <w:b w:val="0"/>
                <w:sz w:val="19"/>
              </w:rPr>
              <w:t>3.6％</w:t>
            </w:r>
          </w:p>
        </w:tc>
      </w:tr>
      <w:tr>
        <w:trPr>
          <w:cantSplit/>
        </w:trPr>
        <w:tc>
          <w:tcPr>
            <w:tcW w:type="dxa" w:w="1361"/>
            <w:vAlign w:val="center"/>
          </w:tcPr>
          <w:p>
            <w:pPr>
              <w:spacing w:after="0"/>
            </w:pPr>
            <w:r>
              <w:rPr>
                <w:rFonts w:ascii="游ゴシック" w:hAnsi="游ゴシック" w:eastAsia="游ゴシック"/>
                <w:b w:val="0"/>
                <w:sz w:val="19"/>
              </w:rPr>
              <w:t>令和11年度</w:t>
            </w:r>
          </w:p>
        </w:tc>
        <w:tc>
          <w:tcPr>
            <w:tcW w:type="dxa" w:w="1134"/>
            <w:vAlign w:val="center"/>
          </w:tcPr>
          <w:p>
            <w:pPr>
              <w:spacing w:after="0"/>
              <w:jc w:val="center"/>
            </w:pPr>
            <w:r>
              <w:rPr>
                <w:rFonts w:ascii="游ゴシック" w:hAnsi="游ゴシック" w:eastAsia="游ゴシック"/>
                <w:b w:val="0"/>
                <w:sz w:val="19"/>
              </w:rPr>
              <w:t>11</w:t>
            </w:r>
          </w:p>
        </w:tc>
        <w:tc>
          <w:tcPr>
            <w:tcW w:type="dxa" w:w="1361"/>
            <w:vAlign w:val="center"/>
          </w:tcPr>
          <w:p>
            <w:pPr>
              <w:spacing w:after="0"/>
              <w:jc w:val="center"/>
            </w:pPr>
            <w:r>
              <w:rPr>
                <w:rFonts w:ascii="游ゴシック" w:hAnsi="游ゴシック" w:eastAsia="游ゴシック"/>
                <w:b w:val="0"/>
                <w:sz w:val="19"/>
              </w:rPr>
              <w:t>8</w:t>
            </w:r>
          </w:p>
        </w:tc>
        <w:tc>
          <w:tcPr>
            <w:tcW w:type="dxa" w:w="1134"/>
            <w:vAlign w:val="center"/>
          </w:tcPr>
          <w:p>
            <w:pPr>
              <w:spacing w:after="0"/>
              <w:jc w:val="center"/>
            </w:pPr>
            <w:r>
              <w:rPr>
                <w:rFonts w:ascii="游ゴシック" w:hAnsi="游ゴシック" w:eastAsia="游ゴシック"/>
                <w:b w:val="0"/>
                <w:sz w:val="19"/>
              </w:rPr>
              <w:t>6</w:t>
            </w:r>
          </w:p>
        </w:tc>
        <w:tc>
          <w:tcPr>
            <w:tcW w:type="dxa" w:w="1247"/>
            <w:vAlign w:val="center"/>
          </w:tcPr>
          <w:p>
            <w:pPr>
              <w:spacing w:after="0"/>
              <w:jc w:val="center"/>
            </w:pPr>
            <w:r>
              <w:rPr>
                <w:rFonts w:ascii="游ゴシック" w:hAnsi="游ゴシック" w:eastAsia="游ゴシック"/>
                <w:b w:val="0"/>
                <w:sz w:val="19"/>
              </w:rPr>
              <w:t>528件</w:t>
            </w:r>
          </w:p>
        </w:tc>
        <w:tc>
          <w:tcPr>
            <w:tcW w:type="dxa" w:w="1814"/>
            <w:vAlign w:val="center"/>
          </w:tcPr>
          <w:p>
            <w:pPr>
              <w:spacing w:after="0"/>
              <w:jc w:val="center"/>
            </w:pPr>
            <w:r>
              <w:rPr>
                <w:rFonts w:ascii="游ゴシック" w:hAnsi="游ゴシック" w:eastAsia="游ゴシック"/>
                <w:b w:val="0"/>
                <w:sz w:val="19"/>
              </w:rPr>
              <w:t>11,112件</w:t>
            </w:r>
          </w:p>
        </w:tc>
        <w:tc>
          <w:tcPr>
            <w:tcW w:type="dxa" w:w="1134"/>
            <w:vAlign w:val="center"/>
          </w:tcPr>
          <w:p>
            <w:pPr>
              <w:spacing w:after="0"/>
              <w:jc w:val="center"/>
            </w:pPr>
            <w:r>
              <w:rPr>
                <w:rFonts w:ascii="游ゴシック" w:hAnsi="游ゴシック" w:eastAsia="游ゴシック"/>
                <w:b w:val="0"/>
                <w:sz w:val="19"/>
              </w:rPr>
              <w:t>4.8％</w:t>
            </w:r>
          </w:p>
        </w:tc>
      </w:tr>
    </w:tbl>
    <w:p>
      <w:pPr>
        <w:ind w:left="227"/>
      </w:pPr>
      <w:r>
        <w:rPr>
          <w:rFonts w:ascii="游ゴシック" w:hAnsi="游ゴシック" w:eastAsia="游ゴシック"/>
          <w:sz w:val="18"/>
        </w:rPr>
        <w:t>※ 「年間の居宅介護支援等の件数」は、令和7年度の居宅介護支援の月平均利用者数667人と介護予防支援の月平均利用者数259人の合計926人に12を乗じた値（人月）である。国は実施割合を該当状況調査の結果を踏まえて算定するとしており、分母の定義及び上位7割・5割・3割・1割の境界となる割合は公表されていない。したがって、この実施割合は目安であり、得点の見通しを示すものではない。</w:t>
      </w:r>
    </w:p>
    <w:p>
      <w:r>
        <w:rPr>
          <w:rFonts w:ascii="游ゴシック" w:hAnsi="游ゴシック" w:eastAsia="游ゴシック"/>
          <w:b w:val="0"/>
          <w:sz w:val="21"/>
        </w:rPr>
        <w:t>この件数は受託者の案である。事業所の負担と広域連合の事務量を踏まえ、策定委員会及び構成3町のご意見により確定する。［要協議］</w:t>
      </w:r>
    </w:p>
    <w:p>
      <w:pPr>
        <w:keepNext/>
        <w:spacing w:before="280" w:after="120"/>
      </w:pPr>
      <w:r>
        <w:rPr>
          <w:rFonts w:ascii="游ゴシック" w:hAnsi="游ゴシック" w:eastAsia="游ゴシック"/>
          <w:b/>
          <w:color w:val="1F3864"/>
          <w:sz w:val="26"/>
        </w:rPr>
        <w:t>8　点検後の指導と改善の確認</w:t>
      </w:r>
    </w:p>
    <w:p>
      <w:pPr>
        <w:keepNext/>
        <w:spacing w:before="180" w:after="60"/>
      </w:pPr>
      <w:r>
        <w:rPr>
          <w:rFonts w:ascii="游ゴシック" w:hAnsi="游ゴシック" w:eastAsia="游ゴシック"/>
          <w:b/>
          <w:sz w:val="22"/>
        </w:rPr>
        <w:t>(1) 結果の区分</w:t>
      </w:r>
    </w:p>
    <w:p>
      <w:pPr>
        <w:keepNext/>
        <w:spacing w:before="160" w:after="40"/>
      </w:pPr>
      <w:r>
        <w:rPr>
          <w:rFonts w:ascii="游ゴシック" w:hAnsi="游ゴシック" w:eastAsia="游ゴシック"/>
          <w:b/>
          <w:sz w:val="20"/>
        </w:rPr>
        <w:t>表9　点検結果の区分と対応</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134"/>
            <w:shd w:val="clear" w:color="auto" w:fill="1F3864"/>
            <w:vAlign w:val="center"/>
          </w:tcPr>
          <w:p>
            <w:pPr>
              <w:spacing w:after="0"/>
              <w:jc w:val="center"/>
            </w:pPr>
            <w:r>
              <w:rPr>
                <w:rFonts w:ascii="游ゴシック" w:hAnsi="游ゴシック" w:eastAsia="游ゴシック"/>
                <w:b/>
                <w:color w:val="FFFFFF"/>
                <w:sz w:val="19"/>
              </w:rPr>
              <w:t>区分</w:t>
            </w:r>
          </w:p>
        </w:tc>
        <w:tc>
          <w:tcPr>
            <w:tcW w:type="dxa" w:w="3061"/>
            <w:shd w:val="clear" w:color="auto" w:fill="1F3864"/>
            <w:vAlign w:val="center"/>
          </w:tcPr>
          <w:p>
            <w:pPr>
              <w:spacing w:after="0"/>
              <w:jc w:val="center"/>
            </w:pPr>
            <w:r>
              <w:rPr>
                <w:rFonts w:ascii="游ゴシック" w:hAnsi="游ゴシック" w:eastAsia="游ゴシック"/>
                <w:b/>
                <w:color w:val="FFFFFF"/>
                <w:sz w:val="19"/>
              </w:rPr>
              <w:t>内容</w:t>
            </w:r>
          </w:p>
        </w:tc>
        <w:tc>
          <w:tcPr>
            <w:tcW w:type="dxa" w:w="2721"/>
            <w:shd w:val="clear" w:color="auto" w:fill="1F3864"/>
            <w:vAlign w:val="center"/>
          </w:tcPr>
          <w:p>
            <w:pPr>
              <w:spacing w:after="0"/>
              <w:jc w:val="center"/>
            </w:pPr>
            <w:r>
              <w:rPr>
                <w:rFonts w:ascii="游ゴシック" w:hAnsi="游ゴシック" w:eastAsia="游ゴシック"/>
                <w:b/>
                <w:color w:val="FFFFFF"/>
                <w:sz w:val="19"/>
              </w:rPr>
              <w:t>対応</w:t>
            </w:r>
          </w:p>
        </w:tc>
        <w:tc>
          <w:tcPr>
            <w:tcW w:type="dxa" w:w="2835"/>
            <w:shd w:val="clear" w:color="auto" w:fill="1F3864"/>
            <w:vAlign w:val="center"/>
          </w:tcPr>
          <w:p>
            <w:pPr>
              <w:spacing w:after="0"/>
              <w:jc w:val="center"/>
            </w:pPr>
            <w:r>
              <w:rPr>
                <w:rFonts w:ascii="游ゴシック" w:hAnsi="游ゴシック" w:eastAsia="游ゴシック"/>
                <w:b/>
                <w:color w:val="FFFFFF"/>
                <w:sz w:val="19"/>
              </w:rPr>
              <w:t>改善の確認</w:t>
            </w:r>
          </w:p>
        </w:tc>
      </w:tr>
      <w:tr>
        <w:trPr>
          <w:cantSplit/>
        </w:trPr>
        <w:tc>
          <w:tcPr>
            <w:tcW w:type="dxa" w:w="1134"/>
            <w:vAlign w:val="center"/>
          </w:tcPr>
          <w:p>
            <w:pPr>
              <w:spacing w:after="0"/>
            </w:pPr>
            <w:r>
              <w:rPr>
                <w:rFonts w:ascii="游ゴシック" w:hAnsi="游ゴシック" w:eastAsia="游ゴシック"/>
                <w:b/>
                <w:sz w:val="19"/>
              </w:rPr>
              <w:t>A　適</w:t>
            </w:r>
          </w:p>
        </w:tc>
        <w:tc>
          <w:tcPr>
            <w:tcW w:type="dxa" w:w="3061"/>
            <w:vAlign w:val="center"/>
          </w:tcPr>
          <w:p>
            <w:pPr>
              <w:spacing w:after="0"/>
            </w:pPr>
            <w:r>
              <w:rPr>
                <w:rFonts w:ascii="游ゴシック" w:hAnsi="游ゴシック" w:eastAsia="游ゴシック"/>
                <w:b w:val="0"/>
                <w:sz w:val="19"/>
              </w:rPr>
              <w:t>点検の視点に照らして確認を要する事項がない</w:t>
            </w:r>
          </w:p>
        </w:tc>
        <w:tc>
          <w:tcPr>
            <w:tcW w:type="dxa" w:w="2721"/>
            <w:vAlign w:val="center"/>
          </w:tcPr>
          <w:p>
            <w:pPr>
              <w:spacing w:after="0"/>
            </w:pPr>
            <w:r>
              <w:rPr>
                <w:rFonts w:ascii="游ゴシック" w:hAnsi="游ゴシック" w:eastAsia="游ゴシック"/>
                <w:b w:val="0"/>
                <w:sz w:val="19"/>
              </w:rPr>
              <w:t>結果を通知する</w:t>
            </w:r>
          </w:p>
        </w:tc>
        <w:tc>
          <w:tcPr>
            <w:tcW w:type="dxa" w:w="2835"/>
            <w:vAlign w:val="center"/>
          </w:tcPr>
          <w:p>
            <w:pPr>
              <w:spacing w:after="0"/>
            </w:pPr>
            <w:r>
              <w:rPr>
                <w:rFonts w:ascii="游ゴシック" w:hAnsi="游ゴシック" w:eastAsia="游ゴシック"/>
                <w:b w:val="0"/>
                <w:sz w:val="19"/>
              </w:rPr>
              <w:t>―</w:t>
            </w:r>
          </w:p>
        </w:tc>
      </w:tr>
      <w:tr>
        <w:trPr>
          <w:cantSplit/>
        </w:trPr>
        <w:tc>
          <w:tcPr>
            <w:tcW w:type="dxa" w:w="1134"/>
            <w:shd w:val="clear" w:color="auto" w:fill="F2F5FA"/>
            <w:vAlign w:val="center"/>
          </w:tcPr>
          <w:p>
            <w:pPr>
              <w:spacing w:after="0"/>
            </w:pPr>
            <w:r>
              <w:rPr>
                <w:rFonts w:ascii="游ゴシック" w:hAnsi="游ゴシック" w:eastAsia="游ゴシック"/>
                <w:b/>
                <w:sz w:val="19"/>
              </w:rPr>
              <w:t>B　助言</w:t>
            </w:r>
          </w:p>
        </w:tc>
        <w:tc>
          <w:tcPr>
            <w:tcW w:type="dxa" w:w="3061"/>
            <w:shd w:val="clear" w:color="auto" w:fill="F2F5FA"/>
            <w:vAlign w:val="center"/>
          </w:tcPr>
          <w:p>
            <w:pPr>
              <w:spacing w:after="0"/>
            </w:pPr>
            <w:r>
              <w:rPr>
                <w:rFonts w:ascii="游ゴシック" w:hAnsi="游ゴシック" w:eastAsia="游ゴシック"/>
                <w:b w:val="0"/>
                <w:sz w:val="19"/>
              </w:rPr>
              <w:t>記載の充実により計画の内容がより明確になる事項がある</w:t>
            </w:r>
          </w:p>
        </w:tc>
        <w:tc>
          <w:tcPr>
            <w:tcW w:type="dxa" w:w="2721"/>
            <w:shd w:val="clear" w:color="auto" w:fill="F2F5FA"/>
            <w:vAlign w:val="center"/>
          </w:tcPr>
          <w:p>
            <w:pPr>
              <w:spacing w:after="0"/>
            </w:pPr>
            <w:r>
              <w:rPr>
                <w:rFonts w:ascii="游ゴシック" w:hAnsi="游ゴシック" w:eastAsia="游ゴシック"/>
                <w:b w:val="0"/>
                <w:sz w:val="19"/>
              </w:rPr>
              <w:t>助言事項を記載した結果通知を交付する</w:t>
            </w:r>
          </w:p>
        </w:tc>
        <w:tc>
          <w:tcPr>
            <w:tcW w:type="dxa" w:w="2835"/>
            <w:shd w:val="clear" w:color="auto" w:fill="F2F5FA"/>
            <w:vAlign w:val="center"/>
          </w:tcPr>
          <w:p>
            <w:pPr>
              <w:spacing w:after="0"/>
            </w:pPr>
            <w:r>
              <w:rPr>
                <w:rFonts w:ascii="游ゴシック" w:hAnsi="游ゴシック" w:eastAsia="游ゴシック"/>
                <w:b w:val="0"/>
                <w:sz w:val="19"/>
              </w:rPr>
              <w:t>次回の点検の際に確認する</w:t>
            </w:r>
          </w:p>
        </w:tc>
      </w:tr>
      <w:tr>
        <w:trPr>
          <w:cantSplit/>
        </w:trPr>
        <w:tc>
          <w:tcPr>
            <w:tcW w:type="dxa" w:w="1134"/>
            <w:vAlign w:val="center"/>
          </w:tcPr>
          <w:p>
            <w:pPr>
              <w:spacing w:after="0"/>
            </w:pPr>
            <w:r>
              <w:rPr>
                <w:rFonts w:ascii="游ゴシック" w:hAnsi="游ゴシック" w:eastAsia="游ゴシック"/>
                <w:b/>
                <w:sz w:val="19"/>
              </w:rPr>
              <w:t>C　改善</w:t>
            </w:r>
          </w:p>
        </w:tc>
        <w:tc>
          <w:tcPr>
            <w:tcW w:type="dxa" w:w="3061"/>
            <w:vAlign w:val="center"/>
          </w:tcPr>
          <w:p>
            <w:pPr>
              <w:spacing w:after="0"/>
            </w:pPr>
            <w:r>
              <w:rPr>
                <w:rFonts w:ascii="游ゴシック" w:hAnsi="游ゴシック" w:eastAsia="游ゴシック"/>
                <w:b w:val="0"/>
                <w:sz w:val="19"/>
              </w:rPr>
              <w:t>計画の内容と利用者の状態・目標との対応に確認を要する事項がある</w:t>
            </w:r>
          </w:p>
        </w:tc>
        <w:tc>
          <w:tcPr>
            <w:tcW w:type="dxa" w:w="2721"/>
            <w:vAlign w:val="center"/>
          </w:tcPr>
          <w:p>
            <w:pPr>
              <w:spacing w:after="0"/>
            </w:pPr>
            <w:r>
              <w:rPr>
                <w:rFonts w:ascii="游ゴシック" w:hAnsi="游ゴシック" w:eastAsia="游ゴシック"/>
                <w:b w:val="0"/>
                <w:sz w:val="19"/>
              </w:rPr>
              <w:t>改善事項を記載した結果通知を交付し、改善計画の提出を求める</w:t>
            </w:r>
          </w:p>
        </w:tc>
        <w:tc>
          <w:tcPr>
            <w:tcW w:type="dxa" w:w="2835"/>
            <w:vAlign w:val="center"/>
          </w:tcPr>
          <w:p>
            <w:pPr>
              <w:spacing w:after="0"/>
            </w:pPr>
            <w:r>
              <w:rPr>
                <w:rFonts w:ascii="游ゴシック" w:hAnsi="游ゴシック" w:eastAsia="游ゴシック"/>
                <w:b w:val="0"/>
                <w:sz w:val="19"/>
              </w:rPr>
              <w:t>3か月以内に改善状況報告書の提出を受け、必要に応じ訪問して確認する</w:t>
            </w:r>
          </w:p>
        </w:tc>
      </w:tr>
      <w:tr>
        <w:trPr>
          <w:cantSplit/>
        </w:trPr>
        <w:tc>
          <w:tcPr>
            <w:tcW w:type="dxa" w:w="1134"/>
            <w:shd w:val="clear" w:color="auto" w:fill="F2F5FA"/>
            <w:vAlign w:val="center"/>
          </w:tcPr>
          <w:p>
            <w:pPr>
              <w:spacing w:after="0"/>
            </w:pPr>
            <w:r>
              <w:rPr>
                <w:rFonts w:ascii="游ゴシック" w:hAnsi="游ゴシック" w:eastAsia="游ゴシック"/>
                <w:b/>
                <w:sz w:val="19"/>
              </w:rPr>
              <w:t>D　是正</w:t>
            </w:r>
          </w:p>
        </w:tc>
        <w:tc>
          <w:tcPr>
            <w:tcW w:type="dxa" w:w="3061"/>
            <w:shd w:val="clear" w:color="auto" w:fill="F2F5FA"/>
            <w:vAlign w:val="center"/>
          </w:tcPr>
          <w:p>
            <w:pPr>
              <w:spacing w:after="0"/>
            </w:pPr>
            <w:r>
              <w:rPr>
                <w:rFonts w:ascii="游ゴシック" w:hAnsi="游ゴシック" w:eastAsia="游ゴシック"/>
                <w:b w:val="0"/>
                <w:sz w:val="19"/>
              </w:rPr>
              <w:t>報酬の算定要件を満たしていないおそれがある</w:t>
            </w:r>
          </w:p>
        </w:tc>
        <w:tc>
          <w:tcPr>
            <w:tcW w:type="dxa" w:w="2721"/>
            <w:shd w:val="clear" w:color="auto" w:fill="F2F5FA"/>
            <w:vAlign w:val="center"/>
          </w:tcPr>
          <w:p>
            <w:pPr>
              <w:spacing w:after="0"/>
            </w:pPr>
            <w:r>
              <w:rPr>
                <w:rFonts w:ascii="游ゴシック" w:hAnsi="游ゴシック" w:eastAsia="游ゴシック"/>
                <w:b w:val="0"/>
                <w:sz w:val="19"/>
              </w:rPr>
              <w:t>事実関係を確認のうえ、北海道（指定権者）と協議する</w:t>
            </w:r>
          </w:p>
        </w:tc>
        <w:tc>
          <w:tcPr>
            <w:tcW w:type="dxa" w:w="2835"/>
            <w:shd w:val="clear" w:color="auto" w:fill="F2F5FA"/>
            <w:vAlign w:val="center"/>
          </w:tcPr>
          <w:p>
            <w:pPr>
              <w:spacing w:after="0"/>
            </w:pPr>
            <w:r>
              <w:rPr>
                <w:rFonts w:ascii="游ゴシック" w:hAnsi="游ゴシック" w:eastAsia="游ゴシック"/>
                <w:b w:val="0"/>
                <w:sz w:val="19"/>
              </w:rPr>
              <w:t>協議の結果による</w:t>
            </w:r>
          </w:p>
        </w:tc>
      </w:tr>
    </w:tbl>
    <w:p>
      <w:pPr>
        <w:keepNext/>
        <w:spacing w:before="180" w:after="60"/>
      </w:pPr>
      <w:r>
        <w:rPr>
          <w:rFonts w:ascii="游ゴシック" w:hAnsi="游ゴシック" w:eastAsia="游ゴシック"/>
          <w:b/>
          <w:sz w:val="22"/>
        </w:rPr>
        <w:t>(2) 手順</w:t>
      </w:r>
    </w:p>
    <w:p>
      <w:pPr>
        <w:ind w:left="340" w:hanging="340"/>
      </w:pPr>
      <w:r>
        <w:rPr>
          <w:rFonts w:ascii="游ゴシック" w:hAnsi="游ゴシック" w:eastAsia="游ゴシック"/>
          <w:sz w:val="21"/>
        </w:rPr>
        <w:t>・点検の結果は、点検を行った日から1か月以内に事業所に通知する。</w:t>
      </w:r>
    </w:p>
    <w:p>
      <w:pPr>
        <w:ind w:left="340" w:hanging="340"/>
      </w:pPr>
      <w:r>
        <w:rPr>
          <w:rFonts w:ascii="游ゴシック" w:hAnsi="游ゴシック" w:eastAsia="游ゴシック"/>
          <w:sz w:val="21"/>
        </w:rPr>
        <w:t>・区分Cの場合は、通知の日から1か月以内に改善計画の提出を求め、3か月以内に改善状況報告書の提出を受ける。</w:t>
      </w:r>
    </w:p>
    <w:p>
      <w:pPr>
        <w:ind w:left="340" w:hanging="340"/>
      </w:pPr>
      <w:r>
        <w:rPr>
          <w:rFonts w:ascii="游ゴシック" w:hAnsi="游ゴシック" w:eastAsia="游ゴシック"/>
          <w:sz w:val="21"/>
        </w:rPr>
        <w:t>・改善が確認できない場合は、訪問により確認する。なお改善が確認できない場合は、北海道と協議する。</w:t>
      </w:r>
    </w:p>
    <w:p>
      <w:pPr>
        <w:ind w:left="340" w:hanging="340"/>
      </w:pPr>
      <w:r>
        <w:rPr>
          <w:rFonts w:ascii="游ゴシック" w:hAnsi="游ゴシック" w:eastAsia="游ゴシック"/>
          <w:sz w:val="21"/>
        </w:rPr>
        <w:t>・区分Dは、報酬の算定要件に関わるため、広域連合が事実関係を確認したうえで北海道に情報提供する。指定に係る指導・監査の権限は北海道にあり、広域連合の点検は指導・監査に代わるものではない。</w:t>
      </w:r>
    </w:p>
    <w:p>
      <w:pPr>
        <w:keepNext/>
        <w:spacing w:before="180" w:after="60"/>
      </w:pPr>
      <w:r>
        <w:rPr>
          <w:rFonts w:ascii="游ゴシック" w:hAnsi="游ゴシック" w:eastAsia="游ゴシック"/>
          <w:b/>
          <w:sz w:val="22"/>
        </w:rPr>
        <w:t>(3) 記録と様式</w:t>
      </w:r>
    </w:p>
    <w:p>
      <w:r>
        <w:rPr>
          <w:rFonts w:ascii="游ゴシック" w:hAnsi="游ゴシック" w:eastAsia="游ゴシック"/>
          <w:b w:val="0"/>
          <w:sz w:val="21"/>
        </w:rPr>
        <w:t>次の様式を定める。様式は本要領の別紙とし、令和9年度当初に確定する。</w:t>
      </w:r>
    </w:p>
    <w:p>
      <w:pPr>
        <w:keepNext/>
        <w:spacing w:before="160" w:after="40"/>
      </w:pPr>
      <w:r>
        <w:rPr>
          <w:rFonts w:ascii="游ゴシック" w:hAnsi="游ゴシック" w:eastAsia="游ゴシック"/>
          <w:b/>
          <w:sz w:val="20"/>
        </w:rPr>
        <w:t>表10　様式</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701"/>
            <w:shd w:val="clear" w:color="auto" w:fill="1F3864"/>
            <w:vAlign w:val="center"/>
          </w:tcPr>
          <w:p>
            <w:pPr>
              <w:spacing w:after="0"/>
              <w:jc w:val="center"/>
            </w:pPr>
            <w:r>
              <w:rPr>
                <w:rFonts w:ascii="游ゴシック" w:hAnsi="游ゴシック" w:eastAsia="游ゴシック"/>
                <w:b/>
                <w:color w:val="FFFFFF"/>
                <w:sz w:val="19"/>
              </w:rPr>
              <w:t>様式番号</w:t>
            </w:r>
          </w:p>
        </w:tc>
        <w:tc>
          <w:tcPr>
            <w:tcW w:type="dxa" w:w="3175"/>
            <w:shd w:val="clear" w:color="auto" w:fill="1F3864"/>
            <w:vAlign w:val="center"/>
          </w:tcPr>
          <w:p>
            <w:pPr>
              <w:spacing w:after="0"/>
              <w:jc w:val="center"/>
            </w:pPr>
            <w:r>
              <w:rPr>
                <w:rFonts w:ascii="游ゴシック" w:hAnsi="游ゴシック" w:eastAsia="游ゴシック"/>
                <w:b/>
                <w:color w:val="FFFFFF"/>
                <w:sz w:val="19"/>
              </w:rPr>
              <w:t>名称</w:t>
            </w:r>
          </w:p>
        </w:tc>
        <w:tc>
          <w:tcPr>
            <w:tcW w:type="dxa" w:w="4876"/>
            <w:shd w:val="clear" w:color="auto" w:fill="1F3864"/>
            <w:vAlign w:val="center"/>
          </w:tcPr>
          <w:p>
            <w:pPr>
              <w:spacing w:after="0"/>
              <w:jc w:val="center"/>
            </w:pPr>
            <w:r>
              <w:rPr>
                <w:rFonts w:ascii="游ゴシック" w:hAnsi="游ゴシック" w:eastAsia="游ゴシック"/>
                <w:b/>
                <w:color w:val="FFFFFF"/>
                <w:sz w:val="19"/>
              </w:rPr>
              <w:t>用途</w:t>
            </w:r>
          </w:p>
        </w:tc>
      </w:tr>
      <w:tr>
        <w:trPr>
          <w:cantSplit/>
        </w:trPr>
        <w:tc>
          <w:tcPr>
            <w:tcW w:type="dxa" w:w="1701"/>
            <w:vAlign w:val="center"/>
          </w:tcPr>
          <w:p>
            <w:pPr>
              <w:spacing w:after="0"/>
            </w:pPr>
            <w:r>
              <w:rPr>
                <w:rFonts w:ascii="游ゴシック" w:hAnsi="游ゴシック" w:eastAsia="游ゴシック"/>
                <w:b/>
                <w:sz w:val="19"/>
              </w:rPr>
              <w:t>様式第1号</w:t>
            </w:r>
          </w:p>
        </w:tc>
        <w:tc>
          <w:tcPr>
            <w:tcW w:type="dxa" w:w="3175"/>
            <w:vAlign w:val="center"/>
          </w:tcPr>
          <w:p>
            <w:pPr>
              <w:spacing w:after="0"/>
            </w:pPr>
            <w:r>
              <w:rPr>
                <w:rFonts w:ascii="游ゴシック" w:hAnsi="游ゴシック" w:eastAsia="游ゴシック"/>
                <w:b w:val="0"/>
                <w:sz w:val="19"/>
              </w:rPr>
              <w:t>ケアプラン点検実施計画書</w:t>
            </w:r>
          </w:p>
        </w:tc>
        <w:tc>
          <w:tcPr>
            <w:tcW w:type="dxa" w:w="4876"/>
            <w:vAlign w:val="center"/>
          </w:tcPr>
          <w:p>
            <w:pPr>
              <w:spacing w:after="0"/>
            </w:pPr>
            <w:r>
              <w:rPr>
                <w:rFonts w:ascii="游ゴシック" w:hAnsi="游ゴシック" w:eastAsia="游ゴシック"/>
                <w:b w:val="0"/>
                <w:sz w:val="19"/>
              </w:rPr>
              <w:t>年度当初に対象事業所・件数・時期を定める</w:t>
            </w:r>
          </w:p>
        </w:tc>
      </w:tr>
      <w:tr>
        <w:trPr>
          <w:cantSplit/>
        </w:trPr>
        <w:tc>
          <w:tcPr>
            <w:tcW w:type="dxa" w:w="1701"/>
            <w:shd w:val="clear" w:color="auto" w:fill="F2F5FA"/>
            <w:vAlign w:val="center"/>
          </w:tcPr>
          <w:p>
            <w:pPr>
              <w:spacing w:after="0"/>
            </w:pPr>
            <w:r>
              <w:rPr>
                <w:rFonts w:ascii="游ゴシック" w:hAnsi="游ゴシック" w:eastAsia="游ゴシック"/>
                <w:b/>
                <w:sz w:val="19"/>
              </w:rPr>
              <w:t>様式第2号</w:t>
            </w:r>
          </w:p>
        </w:tc>
        <w:tc>
          <w:tcPr>
            <w:tcW w:type="dxa" w:w="3175"/>
            <w:shd w:val="clear" w:color="auto" w:fill="F2F5FA"/>
            <w:vAlign w:val="center"/>
          </w:tcPr>
          <w:p>
            <w:pPr>
              <w:spacing w:after="0"/>
            </w:pPr>
            <w:r>
              <w:rPr>
                <w:rFonts w:ascii="游ゴシック" w:hAnsi="游ゴシック" w:eastAsia="游ゴシック"/>
                <w:b w:val="0"/>
                <w:sz w:val="19"/>
              </w:rPr>
              <w:t>ケアプラン点検資料提出依頼書</w:t>
            </w:r>
          </w:p>
        </w:tc>
        <w:tc>
          <w:tcPr>
            <w:tcW w:type="dxa" w:w="4876"/>
            <w:shd w:val="clear" w:color="auto" w:fill="F2F5FA"/>
            <w:vAlign w:val="center"/>
          </w:tcPr>
          <w:p>
            <w:pPr>
              <w:spacing w:after="0"/>
            </w:pPr>
            <w:r>
              <w:rPr>
                <w:rFonts w:ascii="游ゴシック" w:hAnsi="游ゴシック" w:eastAsia="游ゴシック"/>
                <w:b w:val="0"/>
                <w:sz w:val="19"/>
              </w:rPr>
              <w:t>事業所に提出を求める書類を示す</w:t>
            </w:r>
          </w:p>
        </w:tc>
      </w:tr>
      <w:tr>
        <w:trPr>
          <w:cantSplit/>
        </w:trPr>
        <w:tc>
          <w:tcPr>
            <w:tcW w:type="dxa" w:w="1701"/>
            <w:vAlign w:val="center"/>
          </w:tcPr>
          <w:p>
            <w:pPr>
              <w:spacing w:after="0"/>
            </w:pPr>
            <w:r>
              <w:rPr>
                <w:rFonts w:ascii="游ゴシック" w:hAnsi="游ゴシック" w:eastAsia="游ゴシック"/>
                <w:b/>
                <w:sz w:val="19"/>
              </w:rPr>
              <w:t>様式第3号</w:t>
            </w:r>
          </w:p>
        </w:tc>
        <w:tc>
          <w:tcPr>
            <w:tcW w:type="dxa" w:w="3175"/>
            <w:vAlign w:val="center"/>
          </w:tcPr>
          <w:p>
            <w:pPr>
              <w:spacing w:after="0"/>
            </w:pPr>
            <w:r>
              <w:rPr>
                <w:rFonts w:ascii="游ゴシック" w:hAnsi="游ゴシック" w:eastAsia="游ゴシック"/>
                <w:b w:val="0"/>
                <w:sz w:val="19"/>
              </w:rPr>
              <w:t>ケアプラン自己点検シート</w:t>
            </w:r>
          </w:p>
        </w:tc>
        <w:tc>
          <w:tcPr>
            <w:tcW w:type="dxa" w:w="4876"/>
            <w:vAlign w:val="center"/>
          </w:tcPr>
          <w:p>
            <w:pPr>
              <w:spacing w:after="0"/>
            </w:pPr>
            <w:r>
              <w:rPr>
                <w:rFonts w:ascii="游ゴシック" w:hAnsi="游ゴシック" w:eastAsia="游ゴシック"/>
                <w:b w:val="0"/>
                <w:sz w:val="19"/>
              </w:rPr>
              <w:t>事業所が提出前に自己点検する。点検の視点と同一の項目とする</w:t>
            </w:r>
          </w:p>
        </w:tc>
      </w:tr>
      <w:tr>
        <w:trPr>
          <w:cantSplit/>
        </w:trPr>
        <w:tc>
          <w:tcPr>
            <w:tcW w:type="dxa" w:w="1701"/>
            <w:shd w:val="clear" w:color="auto" w:fill="F2F5FA"/>
            <w:vAlign w:val="center"/>
          </w:tcPr>
          <w:p>
            <w:pPr>
              <w:spacing w:after="0"/>
            </w:pPr>
            <w:r>
              <w:rPr>
                <w:rFonts w:ascii="游ゴシック" w:hAnsi="游ゴシック" w:eastAsia="游ゴシック"/>
                <w:b/>
                <w:sz w:val="19"/>
              </w:rPr>
              <w:t>様式第4号</w:t>
            </w:r>
          </w:p>
        </w:tc>
        <w:tc>
          <w:tcPr>
            <w:tcW w:type="dxa" w:w="3175"/>
            <w:shd w:val="clear" w:color="auto" w:fill="F2F5FA"/>
            <w:vAlign w:val="center"/>
          </w:tcPr>
          <w:p>
            <w:pPr>
              <w:spacing w:after="0"/>
            </w:pPr>
            <w:r>
              <w:rPr>
                <w:rFonts w:ascii="游ゴシック" w:hAnsi="游ゴシック" w:eastAsia="游ゴシック"/>
                <w:b w:val="0"/>
                <w:sz w:val="19"/>
              </w:rPr>
              <w:t>ケアプラン点検票</w:t>
            </w:r>
          </w:p>
        </w:tc>
        <w:tc>
          <w:tcPr>
            <w:tcW w:type="dxa" w:w="4876"/>
            <w:shd w:val="clear" w:color="auto" w:fill="F2F5FA"/>
            <w:vAlign w:val="center"/>
          </w:tcPr>
          <w:p>
            <w:pPr>
              <w:spacing w:after="0"/>
            </w:pPr>
            <w:r>
              <w:rPr>
                <w:rFonts w:ascii="游ゴシック" w:hAnsi="游ゴシック" w:eastAsia="游ゴシック"/>
                <w:b w:val="0"/>
                <w:sz w:val="19"/>
              </w:rPr>
              <w:t>広域連合が点検の結果を記録する。対象者数・点検対象とした月数・件数を記録する</w:t>
            </w:r>
          </w:p>
        </w:tc>
      </w:tr>
      <w:tr>
        <w:trPr>
          <w:cantSplit/>
        </w:trPr>
        <w:tc>
          <w:tcPr>
            <w:tcW w:type="dxa" w:w="1701"/>
            <w:vAlign w:val="center"/>
          </w:tcPr>
          <w:p>
            <w:pPr>
              <w:spacing w:after="0"/>
            </w:pPr>
            <w:r>
              <w:rPr>
                <w:rFonts w:ascii="游ゴシック" w:hAnsi="游ゴシック" w:eastAsia="游ゴシック"/>
                <w:b/>
                <w:sz w:val="19"/>
              </w:rPr>
              <w:t>様式第5号</w:t>
            </w:r>
          </w:p>
        </w:tc>
        <w:tc>
          <w:tcPr>
            <w:tcW w:type="dxa" w:w="3175"/>
            <w:vAlign w:val="center"/>
          </w:tcPr>
          <w:p>
            <w:pPr>
              <w:spacing w:after="0"/>
            </w:pPr>
            <w:r>
              <w:rPr>
                <w:rFonts w:ascii="游ゴシック" w:hAnsi="游ゴシック" w:eastAsia="游ゴシック"/>
                <w:b w:val="0"/>
                <w:sz w:val="19"/>
              </w:rPr>
              <w:t>ケアプラン点検結果通知書</w:t>
            </w:r>
          </w:p>
        </w:tc>
        <w:tc>
          <w:tcPr>
            <w:tcW w:type="dxa" w:w="4876"/>
            <w:vAlign w:val="center"/>
          </w:tcPr>
          <w:p>
            <w:pPr>
              <w:spacing w:after="0"/>
            </w:pPr>
            <w:r>
              <w:rPr>
                <w:rFonts w:ascii="游ゴシック" w:hAnsi="游ゴシック" w:eastAsia="游ゴシック"/>
                <w:b w:val="0"/>
                <w:sz w:val="19"/>
              </w:rPr>
              <w:t>点検の結果と区分、助言・改善事項を事業所に通知する</w:t>
            </w:r>
          </w:p>
        </w:tc>
      </w:tr>
      <w:tr>
        <w:trPr>
          <w:cantSplit/>
        </w:trPr>
        <w:tc>
          <w:tcPr>
            <w:tcW w:type="dxa" w:w="1701"/>
            <w:shd w:val="clear" w:color="auto" w:fill="F2F5FA"/>
            <w:vAlign w:val="center"/>
          </w:tcPr>
          <w:p>
            <w:pPr>
              <w:spacing w:after="0"/>
            </w:pPr>
            <w:r>
              <w:rPr>
                <w:rFonts w:ascii="游ゴシック" w:hAnsi="游ゴシック" w:eastAsia="游ゴシック"/>
                <w:b/>
                <w:sz w:val="19"/>
              </w:rPr>
              <w:t>様式第6号</w:t>
            </w:r>
          </w:p>
        </w:tc>
        <w:tc>
          <w:tcPr>
            <w:tcW w:type="dxa" w:w="3175"/>
            <w:shd w:val="clear" w:color="auto" w:fill="F2F5FA"/>
            <w:vAlign w:val="center"/>
          </w:tcPr>
          <w:p>
            <w:pPr>
              <w:spacing w:after="0"/>
            </w:pPr>
            <w:r>
              <w:rPr>
                <w:rFonts w:ascii="游ゴシック" w:hAnsi="游ゴシック" w:eastAsia="游ゴシック"/>
                <w:b w:val="0"/>
                <w:sz w:val="19"/>
              </w:rPr>
              <w:t>改善計画書・改善状況報告書</w:t>
            </w:r>
          </w:p>
        </w:tc>
        <w:tc>
          <w:tcPr>
            <w:tcW w:type="dxa" w:w="4876"/>
            <w:shd w:val="clear" w:color="auto" w:fill="F2F5FA"/>
            <w:vAlign w:val="center"/>
          </w:tcPr>
          <w:p>
            <w:pPr>
              <w:spacing w:after="0"/>
            </w:pPr>
            <w:r>
              <w:rPr>
                <w:rFonts w:ascii="游ゴシック" w:hAnsi="游ゴシック" w:eastAsia="游ゴシック"/>
                <w:b w:val="0"/>
                <w:sz w:val="19"/>
              </w:rPr>
              <w:t>区分Cの場合に事業所が提出する</w:t>
            </w:r>
          </w:p>
        </w:tc>
      </w:tr>
      <w:tr>
        <w:trPr>
          <w:cantSplit/>
        </w:trPr>
        <w:tc>
          <w:tcPr>
            <w:tcW w:type="dxa" w:w="1701"/>
            <w:vAlign w:val="center"/>
          </w:tcPr>
          <w:p>
            <w:pPr>
              <w:spacing w:after="0"/>
            </w:pPr>
            <w:r>
              <w:rPr>
                <w:rFonts w:ascii="游ゴシック" w:hAnsi="游ゴシック" w:eastAsia="游ゴシック"/>
                <w:b/>
                <w:sz w:val="19"/>
              </w:rPr>
              <w:t>様式第7号</w:t>
            </w:r>
          </w:p>
        </w:tc>
        <w:tc>
          <w:tcPr>
            <w:tcW w:type="dxa" w:w="3175"/>
            <w:vAlign w:val="center"/>
          </w:tcPr>
          <w:p>
            <w:pPr>
              <w:spacing w:after="0"/>
            </w:pPr>
            <w:r>
              <w:rPr>
                <w:rFonts w:ascii="游ゴシック" w:hAnsi="游ゴシック" w:eastAsia="游ゴシック"/>
                <w:b w:val="0"/>
                <w:sz w:val="19"/>
              </w:rPr>
              <w:t>ケアプラン点検実施結果報告書</w:t>
            </w:r>
          </w:p>
        </w:tc>
        <w:tc>
          <w:tcPr>
            <w:tcW w:type="dxa" w:w="4876"/>
            <w:vAlign w:val="center"/>
          </w:tcPr>
          <w:p>
            <w:pPr>
              <w:spacing w:after="0"/>
            </w:pPr>
            <w:r>
              <w:rPr>
                <w:rFonts w:ascii="游ゴシック" w:hAnsi="游ゴシック" w:eastAsia="游ゴシック"/>
                <w:b w:val="0"/>
                <w:sz w:val="19"/>
              </w:rPr>
              <w:t>年度末に実施結果を取りまとめる。策定委員会への報告資料とする</w:t>
            </w:r>
          </w:p>
        </w:tc>
      </w:tr>
    </w:tbl>
    <w:p>
      <w:pPr>
        <w:ind w:left="227"/>
      </w:pPr>
      <w:r>
        <w:rPr>
          <w:rFonts w:ascii="游ゴシック" w:hAnsi="游ゴシック" w:eastAsia="游ゴシック"/>
          <w:sz w:val="18"/>
        </w:rPr>
        <w:t>※ 様式第4号には、国の評価指標が求める「対象者数」「点検対象とした月数」「件数」の3つの欄を設ける。件数の計上を年度末に遡って行うことができないためである。</w:t>
      </w:r>
    </w:p>
    <w:p>
      <w:pPr>
        <w:keepNext/>
        <w:spacing w:before="280" w:after="120"/>
      </w:pPr>
      <w:r>
        <w:rPr>
          <w:rFonts w:ascii="游ゴシック" w:hAnsi="游ゴシック" w:eastAsia="游ゴシック"/>
          <w:b/>
          <w:color w:val="1F3864"/>
          <w:sz w:val="26"/>
        </w:rPr>
        <w:t>9　有料老人ホーム等の入居者に係る点検</w:t>
      </w:r>
    </w:p>
    <w:p>
      <w:r>
        <w:rPr>
          <w:rFonts w:ascii="游ゴシック" w:hAnsi="游ゴシック" w:eastAsia="游ゴシック"/>
          <w:b w:val="0"/>
          <w:sz w:val="21"/>
        </w:rPr>
        <w:t>国の評価指標は、ケアプラン点検の実施に当たって有料老人ホームやサービス付き高齢者向け住宅の入居者に係るものも含めていることを評価する（配点8点、全国該当率61.3％）。この項目は、都道府県が家賃や介護保険外のサービス提供費用等について情報収集を行ったうえで、市町村がこれらの情報提供を受けるなどによりケアプラン点検を行っている場合に評価の対象とされる。</w:t>
      </w:r>
    </w:p>
    <w:p>
      <w:r>
        <w:rPr>
          <w:rFonts w:ascii="游ゴシック" w:hAnsi="游ゴシック" w:eastAsia="游ゴシック"/>
          <w:b w:val="0"/>
          <w:sz w:val="21"/>
        </w:rPr>
        <w:t>区域内には、住宅型有料老人ホームが9施設（定員計223人）、介護付有料老人ホームが3施設（定員計156人）、サービス付き高齢者向け住宅が2施設（66戸）ある。</w:t>
      </w:r>
    </w:p>
    <w:p>
      <w:pPr>
        <w:keepNext/>
        <w:spacing w:before="160" w:after="40"/>
      </w:pPr>
      <w:r>
        <w:rPr>
          <w:rFonts w:ascii="游ゴシック" w:hAnsi="游ゴシック" w:eastAsia="游ゴシック"/>
          <w:b/>
          <w:sz w:val="20"/>
        </w:rPr>
        <w:t>表11　区域内の有料老人ホーム・サービス付き高齢者向け住宅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721"/>
            <w:shd w:val="clear" w:color="auto" w:fill="1F3864"/>
            <w:vAlign w:val="center"/>
          </w:tcPr>
          <w:p>
            <w:pPr>
              <w:spacing w:after="0"/>
              <w:jc w:val="center"/>
            </w:pPr>
            <w:r>
              <w:rPr>
                <w:rFonts w:ascii="游ゴシック" w:hAnsi="游ゴシック" w:eastAsia="游ゴシック"/>
                <w:b/>
                <w:color w:val="FFFFFF"/>
                <w:sz w:val="19"/>
              </w:rPr>
              <w:t>区分</w:t>
            </w:r>
          </w:p>
        </w:tc>
        <w:tc>
          <w:tcPr>
            <w:tcW w:type="dxa" w:w="1020"/>
            <w:shd w:val="clear" w:color="auto" w:fill="1F3864"/>
            <w:vAlign w:val="center"/>
          </w:tcPr>
          <w:p>
            <w:pPr>
              <w:spacing w:after="0"/>
              <w:jc w:val="center"/>
            </w:pPr>
            <w:r>
              <w:rPr>
                <w:rFonts w:ascii="游ゴシック" w:hAnsi="游ゴシック" w:eastAsia="游ゴシック"/>
                <w:b/>
                <w:color w:val="FFFFFF"/>
                <w:sz w:val="19"/>
              </w:rPr>
              <w:t>施設数</w:t>
            </w:r>
          </w:p>
        </w:tc>
        <w:tc>
          <w:tcPr>
            <w:tcW w:type="dxa" w:w="1361"/>
            <w:shd w:val="clear" w:color="auto" w:fill="1F3864"/>
            <w:vAlign w:val="center"/>
          </w:tcPr>
          <w:p>
            <w:pPr>
              <w:spacing w:after="0"/>
              <w:jc w:val="center"/>
            </w:pPr>
            <w:r>
              <w:rPr>
                <w:rFonts w:ascii="游ゴシック" w:hAnsi="游ゴシック" w:eastAsia="游ゴシック"/>
                <w:b/>
                <w:color w:val="FFFFFF"/>
                <w:sz w:val="19"/>
              </w:rPr>
              <w:t>定員・戸数</w:t>
            </w:r>
          </w:p>
        </w:tc>
        <w:tc>
          <w:tcPr>
            <w:tcW w:type="dxa" w:w="4649"/>
            <w:shd w:val="clear" w:color="auto" w:fill="1F3864"/>
            <w:vAlign w:val="center"/>
          </w:tcPr>
          <w:p>
            <w:pPr>
              <w:spacing w:after="0"/>
              <w:jc w:val="center"/>
            </w:pPr>
            <w:r>
              <w:rPr>
                <w:rFonts w:ascii="游ゴシック" w:hAnsi="游ゴシック" w:eastAsia="游ゴシック"/>
                <w:b/>
                <w:color w:val="FFFFFF"/>
                <w:sz w:val="19"/>
              </w:rPr>
              <w:t>点検における取扱い</w:t>
            </w:r>
          </w:p>
        </w:tc>
      </w:tr>
      <w:tr>
        <w:trPr>
          <w:cantSplit/>
        </w:trPr>
        <w:tc>
          <w:tcPr>
            <w:tcW w:type="dxa" w:w="2721"/>
            <w:vAlign w:val="center"/>
          </w:tcPr>
          <w:p>
            <w:pPr>
              <w:spacing w:after="0"/>
            </w:pPr>
            <w:r>
              <w:rPr>
                <w:rFonts w:ascii="游ゴシック" w:hAnsi="游ゴシック" w:eastAsia="游ゴシック"/>
                <w:b w:val="0"/>
                <w:sz w:val="19"/>
              </w:rPr>
              <w:t>住宅型有料老人ホーム</w:t>
            </w:r>
          </w:p>
        </w:tc>
        <w:tc>
          <w:tcPr>
            <w:tcW w:type="dxa" w:w="1020"/>
            <w:vAlign w:val="center"/>
          </w:tcPr>
          <w:p>
            <w:pPr>
              <w:spacing w:after="0"/>
              <w:jc w:val="center"/>
            </w:pPr>
            <w:r>
              <w:rPr>
                <w:rFonts w:ascii="游ゴシック" w:hAnsi="游ゴシック" w:eastAsia="游ゴシック"/>
                <w:b w:val="0"/>
                <w:sz w:val="19"/>
              </w:rPr>
              <w:t>9</w:t>
            </w:r>
          </w:p>
        </w:tc>
        <w:tc>
          <w:tcPr>
            <w:tcW w:type="dxa" w:w="1361"/>
            <w:vAlign w:val="center"/>
          </w:tcPr>
          <w:p>
            <w:pPr>
              <w:spacing w:after="0"/>
              <w:jc w:val="center"/>
            </w:pPr>
            <w:r>
              <w:rPr>
                <w:rFonts w:ascii="游ゴシック" w:hAnsi="游ゴシック" w:eastAsia="游ゴシック"/>
                <w:b w:val="0"/>
                <w:sz w:val="19"/>
              </w:rPr>
              <w:t>223人</w:t>
            </w:r>
          </w:p>
        </w:tc>
        <w:tc>
          <w:tcPr>
            <w:tcW w:type="dxa" w:w="4649"/>
            <w:vAlign w:val="center"/>
          </w:tcPr>
          <w:p>
            <w:pPr>
              <w:spacing w:after="0"/>
            </w:pPr>
            <w:r>
              <w:rPr>
                <w:rFonts w:ascii="游ゴシック" w:hAnsi="游ゴシック" w:eastAsia="游ゴシック"/>
                <w:b w:val="0"/>
                <w:sz w:val="19"/>
              </w:rPr>
              <w:t>入居者に係る居宅サービス計画を点検の対象に含める</w:t>
            </w:r>
          </w:p>
        </w:tc>
      </w:tr>
      <w:tr>
        <w:trPr>
          <w:cantSplit/>
        </w:trPr>
        <w:tc>
          <w:tcPr>
            <w:tcW w:type="dxa" w:w="2721"/>
            <w:shd w:val="clear" w:color="auto" w:fill="F2F5FA"/>
            <w:vAlign w:val="center"/>
          </w:tcPr>
          <w:p>
            <w:pPr>
              <w:spacing w:after="0"/>
            </w:pPr>
            <w:r>
              <w:rPr>
                <w:rFonts w:ascii="游ゴシック" w:hAnsi="游ゴシック" w:eastAsia="游ゴシック"/>
                <w:b w:val="0"/>
                <w:sz w:val="19"/>
              </w:rPr>
              <w:t>介護付有料老人ホーム</w:t>
            </w:r>
          </w:p>
        </w:tc>
        <w:tc>
          <w:tcPr>
            <w:tcW w:type="dxa" w:w="1020"/>
            <w:shd w:val="clear" w:color="auto" w:fill="F2F5FA"/>
            <w:vAlign w:val="center"/>
          </w:tcPr>
          <w:p>
            <w:pPr>
              <w:spacing w:after="0"/>
              <w:jc w:val="center"/>
            </w:pPr>
            <w:r>
              <w:rPr>
                <w:rFonts w:ascii="游ゴシック" w:hAnsi="游ゴシック" w:eastAsia="游ゴシック"/>
                <w:b w:val="0"/>
                <w:sz w:val="19"/>
              </w:rPr>
              <w:t>3</w:t>
            </w:r>
          </w:p>
        </w:tc>
        <w:tc>
          <w:tcPr>
            <w:tcW w:type="dxa" w:w="1361"/>
            <w:shd w:val="clear" w:color="auto" w:fill="F2F5FA"/>
            <w:vAlign w:val="center"/>
          </w:tcPr>
          <w:p>
            <w:pPr>
              <w:spacing w:after="0"/>
              <w:jc w:val="center"/>
            </w:pPr>
            <w:r>
              <w:rPr>
                <w:rFonts w:ascii="游ゴシック" w:hAnsi="游ゴシック" w:eastAsia="游ゴシック"/>
                <w:b w:val="0"/>
                <w:sz w:val="19"/>
              </w:rPr>
              <w:t>156人</w:t>
            </w:r>
          </w:p>
        </w:tc>
        <w:tc>
          <w:tcPr>
            <w:tcW w:type="dxa" w:w="4649"/>
            <w:shd w:val="clear" w:color="auto" w:fill="F2F5FA"/>
            <w:vAlign w:val="center"/>
          </w:tcPr>
          <w:p>
            <w:pPr>
              <w:spacing w:after="0"/>
            </w:pPr>
            <w:r>
              <w:rPr>
                <w:rFonts w:ascii="游ゴシック" w:hAnsi="游ゴシック" w:eastAsia="游ゴシック"/>
                <w:b w:val="0"/>
                <w:sz w:val="19"/>
              </w:rPr>
              <w:t>特定施設入居者生活介護であり居宅サービス計画の対象外。特定施設サービス計画の確認は別に行う</w:t>
            </w:r>
          </w:p>
        </w:tc>
      </w:tr>
      <w:tr>
        <w:trPr>
          <w:cantSplit/>
        </w:trPr>
        <w:tc>
          <w:tcPr>
            <w:tcW w:type="dxa" w:w="2721"/>
            <w:vAlign w:val="center"/>
          </w:tcPr>
          <w:p>
            <w:pPr>
              <w:spacing w:after="0"/>
            </w:pPr>
            <w:r>
              <w:rPr>
                <w:rFonts w:ascii="游ゴシック" w:hAnsi="游ゴシック" w:eastAsia="游ゴシック"/>
                <w:b w:val="0"/>
                <w:sz w:val="19"/>
              </w:rPr>
              <w:t>サービス付き高齢者向け住宅</w:t>
            </w:r>
          </w:p>
        </w:tc>
        <w:tc>
          <w:tcPr>
            <w:tcW w:type="dxa" w:w="1020"/>
            <w:vAlign w:val="center"/>
          </w:tcPr>
          <w:p>
            <w:pPr>
              <w:spacing w:after="0"/>
              <w:jc w:val="center"/>
            </w:pPr>
            <w:r>
              <w:rPr>
                <w:rFonts w:ascii="游ゴシック" w:hAnsi="游ゴシック" w:eastAsia="游ゴシック"/>
                <w:b w:val="0"/>
                <w:sz w:val="19"/>
              </w:rPr>
              <w:t>2</w:t>
            </w:r>
          </w:p>
        </w:tc>
        <w:tc>
          <w:tcPr>
            <w:tcW w:type="dxa" w:w="1361"/>
            <w:vAlign w:val="center"/>
          </w:tcPr>
          <w:p>
            <w:pPr>
              <w:spacing w:after="0"/>
              <w:jc w:val="center"/>
            </w:pPr>
            <w:r>
              <w:rPr>
                <w:rFonts w:ascii="游ゴシック" w:hAnsi="游ゴシック" w:eastAsia="游ゴシック"/>
                <w:b w:val="0"/>
                <w:sz w:val="19"/>
              </w:rPr>
              <w:t>66戸</w:t>
            </w:r>
          </w:p>
        </w:tc>
        <w:tc>
          <w:tcPr>
            <w:tcW w:type="dxa" w:w="4649"/>
            <w:vAlign w:val="center"/>
          </w:tcPr>
          <w:p>
            <w:pPr>
              <w:spacing w:after="0"/>
            </w:pPr>
            <w:r>
              <w:rPr>
                <w:rFonts w:ascii="游ゴシック" w:hAnsi="游ゴシック" w:eastAsia="游ゴシック"/>
                <w:b w:val="0"/>
                <w:sz w:val="19"/>
              </w:rPr>
              <w:t>入居者に係る居宅サービス計画を点検の対象に含める</w:t>
            </w:r>
          </w:p>
        </w:tc>
      </w:tr>
    </w:tbl>
    <w:p>
      <w:pPr>
        <w:spacing w:before="40"/>
        <w:jc w:val="right"/>
      </w:pPr>
      <w:r>
        <w:rPr>
          <w:rFonts w:ascii="游ゴシック" w:hAnsi="游ゴシック" w:eastAsia="游ゴシック"/>
          <w:sz w:val="17"/>
        </w:rPr>
        <w:t>資料：北海道 届出済有料老人ホーム一覧（令和8年7月1日現在）、住所地特例適用施設一覧（令和8年6月30日現在）</w:t>
      </w:r>
    </w:p>
    <w:p>
      <w:r>
        <w:rPr>
          <w:rFonts w:ascii="游ゴシック" w:hAnsi="游ゴシック" w:eastAsia="游ゴシック"/>
          <w:b w:val="0"/>
          <w:sz w:val="21"/>
        </w:rPr>
        <w:t>北海道への情報提供の依頼は、次の手順による。</w:t>
      </w:r>
    </w:p>
    <w:p>
      <w:r>
        <w:rPr>
          <w:rFonts w:ascii="游ゴシック" w:hAnsi="游ゴシック" w:eastAsia="游ゴシック"/>
          <w:b w:val="0"/>
          <w:sz w:val="20"/>
        </w:rPr>
        <w:t>依頼に当たっては、北海道側の評価指標との関係を併せてお示しする。令和8年度の評価指標（都道府県分）は、目標Ⅱの活動指標群において「管内市町村のケアプラン点検の実施割合」を評価しており（最大12点）、管内市町村の実施状況が北海道の得点となる仕組みである。また体制・取組指標群（最大64点）は、「ケアプラン等の点検について、専門的知識を有する者への委嘱等により、保険者における点検事務の強化を図るほか、点検に携わる職員に対して『ケアプラン点検支援マニュアル』及び同マニュアルの附属資料である『ケアプラン点検の基礎知識〜これからケアプラン点検に臨む保険者職員の参考書〜』の活用方法や具体的な点検方法等に関する研修や実地支援等を行うこと」を評価の対象としている。本広域連合が令和9年度に点検に着手することは、北海道の評価においても得点となる。</w:t>
      </w:r>
    </w:p>
    <w:p>
      <w:r>
        <w:rPr>
          <w:rFonts w:ascii="游ゴシック" w:hAnsi="游ゴシック" w:eastAsia="游ゴシック"/>
          <w:b w:val="0"/>
          <w:sz w:val="20"/>
        </w:rPr>
        <w:t>したがって、次の3件は、本広域連合が支援を受ける関係であると同時に、北海道の評価指標に対応する取組でもある。この点を明示したうえで依頼する。</w:t>
      </w:r>
    </w:p>
    <w:p>
      <w:pPr>
        <w:ind w:left="340" w:hanging="340"/>
      </w:pPr>
      <w:r>
        <w:rPr>
          <w:rFonts w:ascii="游ゴシック" w:hAnsi="游ゴシック" w:eastAsia="游ゴシック"/>
          <w:sz w:val="21"/>
        </w:rPr>
        <w:t>・令和9年4月に、北海道上川総合振興局を通じて、区域内の有料老人ホーム及びサービス付き高齢者向け住宅に係る家賃、管理費、食費及び介護保険外のサービス提供費用の情報について提供を依頼する。</w:t>
      </w:r>
    </w:p>
    <w:p>
      <w:pPr>
        <w:ind w:left="340" w:hanging="340"/>
      </w:pPr>
      <w:r>
        <w:rPr>
          <w:rFonts w:ascii="游ゴシック" w:hAnsi="游ゴシック" w:eastAsia="游ゴシック"/>
          <w:sz w:val="21"/>
        </w:rPr>
        <w:t>・点検に携わる職員に対する研修及び実地支援を依頼する（都道府県分 目標Ⅱ（ⅰ）1エ）。</w:t>
      </w:r>
    </w:p>
    <w:p>
      <w:pPr>
        <w:ind w:left="340" w:hanging="340"/>
      </w:pPr>
      <w:r>
        <w:rPr>
          <w:rFonts w:ascii="游ゴシック" w:hAnsi="游ゴシック" w:eastAsia="游ゴシック"/>
          <w:sz w:val="21"/>
        </w:rPr>
        <w:t>・専門的知識を有する者の委嘱による点検事務の強化について、北海道による支援の可否を確認する（同上。職能団体への委託と併せて第11節で検討する）。</w:t>
      </w:r>
    </w:p>
    <w:p>
      <w:pPr>
        <w:ind w:left="340" w:hanging="340"/>
      </w:pPr>
      <w:r>
        <w:rPr>
          <w:rFonts w:ascii="游ゴシック" w:hAnsi="游ゴシック" w:eastAsia="游ゴシック"/>
          <w:sz w:val="21"/>
        </w:rPr>
        <w:t>・提供を受けた情報と、当該入居者の居宅サービス計画及び給付実績を突き合わせ、支給限度基準額の利用割合、同一法人のサービスへの偏り、介護保険外のサービスとの区分を確認する。</w:t>
      </w:r>
    </w:p>
    <w:p>
      <w:pPr>
        <w:ind w:left="340" w:hanging="340"/>
      </w:pPr>
      <w:r>
        <w:rPr>
          <w:rFonts w:ascii="游ゴシック" w:hAnsi="游ゴシック" w:eastAsia="游ゴシック"/>
          <w:sz w:val="21"/>
        </w:rPr>
        <w:t>・区域外の有料老人ホーム等に入居している被保険者については、実態について情報収集を行い、必要に応じ北海道や当該市町村と連携して対応できる体制を整える。</w:t>
      </w:r>
    </w:p>
    <w:p>
      <w:pPr>
        <w:ind w:left="227"/>
      </w:pPr>
      <w:r>
        <w:rPr>
          <w:rFonts w:ascii="游ゴシック" w:hAnsi="游ゴシック" w:eastAsia="游ゴシック"/>
          <w:sz w:val="18"/>
        </w:rPr>
        <w:t>※ 北海道が家賃等の情報収集を行っていない場合は、この項目は評価の対象とならない。北海道の情報収集の状況は、令和9年4月の依頼に併せて確認する。この確認は確認事項として管理する。</w:t>
        <w:br/>
        <w:t>なお令和8年度の評価指標（都道府県分）には、家賃等の情報収集を評価する項目がない。都道府県の側にこの取組を行う制度上の誘因がないため、情報収集が行われていない可能性がある。この場合、本項目（配点8点）の取得は困難であり、区域外の有料老人ホーム等に入居している被保険者への対応体制の構築（次の項）により対応する。</w:t>
      </w:r>
    </w:p>
    <w:p>
      <w:pPr>
        <w:keepNext/>
        <w:spacing w:before="280" w:after="120"/>
      </w:pPr>
      <w:r>
        <w:rPr>
          <w:rFonts w:ascii="游ゴシック" w:hAnsi="游ゴシック" w:eastAsia="游ゴシック"/>
          <w:b/>
          <w:color w:val="1F3864"/>
          <w:sz w:val="26"/>
        </w:rPr>
        <w:t>10　リハビリテーション専門職等の関与</w:t>
      </w:r>
    </w:p>
    <w:p>
      <w:r>
        <w:rPr>
          <w:rFonts w:ascii="游ゴシック" w:hAnsi="游ゴシック" w:eastAsia="游ゴシック"/>
          <w:b w:val="0"/>
          <w:sz w:val="21"/>
        </w:rPr>
        <w:t>国の評価指標は、福祉用具の貸与後にリハビリテーション専門職等が用具の適切な利用がなされているかどうかを点検する仕組み（配点8点）と、福祉用具購入費・住宅改修費の申請内容についてリハビリテーション専門職等がその妥当性を検討する仕組み（配点8点）を評価する。3町の令和8年度の状況は次のとおりであり、東川町は2項目とも0点である。</w:t>
      </w:r>
    </w:p>
    <w:p>
      <w:pPr>
        <w:keepNext/>
        <w:spacing w:before="160" w:after="40"/>
      </w:pPr>
      <w:r>
        <w:rPr>
          <w:rFonts w:ascii="游ゴシック" w:hAnsi="游ゴシック" w:eastAsia="游ゴシック"/>
          <w:b/>
          <w:sz w:val="20"/>
        </w:rPr>
        <w:t>表12　リハビリテーション専門職等の関与に係る評価の状況（令和8年度）</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3969"/>
            <w:shd w:val="clear" w:color="auto" w:fill="1F3864"/>
            <w:vAlign w:val="center"/>
          </w:tcPr>
          <w:p>
            <w:pPr>
              <w:spacing w:after="0"/>
              <w:jc w:val="center"/>
            </w:pPr>
            <w:r>
              <w:rPr>
                <w:rFonts w:ascii="游ゴシック" w:hAnsi="游ゴシック" w:eastAsia="游ゴシック"/>
                <w:b/>
                <w:color w:val="FFFFFF"/>
                <w:sz w:val="19"/>
              </w:rPr>
              <w:t>評価指標</w:t>
            </w:r>
          </w:p>
        </w:tc>
        <w:tc>
          <w:tcPr>
            <w:tcW w:type="dxa" w:w="907"/>
            <w:shd w:val="clear" w:color="auto" w:fill="1F3864"/>
            <w:vAlign w:val="center"/>
          </w:tcPr>
          <w:p>
            <w:pPr>
              <w:spacing w:after="0"/>
              <w:jc w:val="center"/>
            </w:pPr>
            <w:r>
              <w:rPr>
                <w:rFonts w:ascii="游ゴシック" w:hAnsi="游ゴシック" w:eastAsia="游ゴシック"/>
                <w:b/>
                <w:color w:val="FFFFFF"/>
                <w:sz w:val="19"/>
              </w:rPr>
              <w:t>配点</w:t>
            </w:r>
          </w:p>
        </w:tc>
        <w:tc>
          <w:tcPr>
            <w:tcW w:type="dxa" w:w="1361"/>
            <w:shd w:val="clear" w:color="auto" w:fill="1F3864"/>
            <w:vAlign w:val="center"/>
          </w:tcPr>
          <w:p>
            <w:pPr>
              <w:spacing w:after="0"/>
              <w:jc w:val="center"/>
            </w:pPr>
            <w:r>
              <w:rPr>
                <w:rFonts w:ascii="游ゴシック" w:hAnsi="游ゴシック" w:eastAsia="游ゴシック"/>
                <w:b/>
                <w:color w:val="FFFFFF"/>
                <w:sz w:val="19"/>
              </w:rPr>
              <w:t>全国該当率</w:t>
            </w:r>
          </w:p>
        </w:tc>
        <w:tc>
          <w:tcPr>
            <w:tcW w:type="dxa" w:w="1134"/>
            <w:shd w:val="clear" w:color="auto" w:fill="1F3864"/>
            <w:vAlign w:val="center"/>
          </w:tcPr>
          <w:p>
            <w:pPr>
              <w:spacing w:after="0"/>
              <w:jc w:val="center"/>
            </w:pPr>
            <w:r>
              <w:rPr>
                <w:rFonts w:ascii="游ゴシック" w:hAnsi="游ゴシック" w:eastAsia="游ゴシック"/>
                <w:b/>
                <w:color w:val="FFFFFF"/>
                <w:sz w:val="19"/>
              </w:rPr>
              <w:t>東川町</w:t>
            </w:r>
          </w:p>
        </w:tc>
        <w:tc>
          <w:tcPr>
            <w:tcW w:type="dxa" w:w="1134"/>
            <w:shd w:val="clear" w:color="auto" w:fill="1F3864"/>
            <w:vAlign w:val="center"/>
          </w:tcPr>
          <w:p>
            <w:pPr>
              <w:spacing w:after="0"/>
              <w:jc w:val="center"/>
            </w:pPr>
            <w:r>
              <w:rPr>
                <w:rFonts w:ascii="游ゴシック" w:hAnsi="游ゴシック" w:eastAsia="游ゴシック"/>
                <w:b/>
                <w:color w:val="FFFFFF"/>
                <w:sz w:val="19"/>
              </w:rPr>
              <w:t>美瑛町</w:t>
            </w:r>
          </w:p>
        </w:tc>
        <w:tc>
          <w:tcPr>
            <w:tcW w:type="dxa" w:w="1247"/>
            <w:shd w:val="clear" w:color="auto" w:fill="1F3864"/>
            <w:vAlign w:val="center"/>
          </w:tcPr>
          <w:p>
            <w:pPr>
              <w:spacing w:after="0"/>
              <w:jc w:val="center"/>
            </w:pPr>
            <w:r>
              <w:rPr>
                <w:rFonts w:ascii="游ゴシック" w:hAnsi="游ゴシック" w:eastAsia="游ゴシック"/>
                <w:b/>
                <w:color w:val="FFFFFF"/>
                <w:sz w:val="19"/>
              </w:rPr>
              <w:t>東神楽町</w:t>
            </w:r>
          </w:p>
        </w:tc>
      </w:tr>
      <w:tr>
        <w:trPr>
          <w:cantSplit/>
        </w:trPr>
        <w:tc>
          <w:tcPr>
            <w:tcW w:type="dxa" w:w="3969"/>
            <w:vAlign w:val="center"/>
          </w:tcPr>
          <w:p>
            <w:pPr>
              <w:spacing w:after="0"/>
            </w:pPr>
            <w:r>
              <w:rPr>
                <w:rFonts w:ascii="游ゴシック" w:hAnsi="游ゴシック" w:eastAsia="游ゴシック"/>
                <w:b w:val="0"/>
                <w:sz w:val="19"/>
              </w:rPr>
              <w:t>エ　福祉用具の貸与後の点検の仕組み</w:t>
            </w:r>
          </w:p>
        </w:tc>
        <w:tc>
          <w:tcPr>
            <w:tcW w:type="dxa" w:w="907"/>
            <w:vAlign w:val="center"/>
          </w:tcPr>
          <w:p>
            <w:pPr>
              <w:spacing w:after="0"/>
              <w:jc w:val="center"/>
            </w:pPr>
            <w:r>
              <w:rPr>
                <w:rFonts w:ascii="游ゴシック" w:hAnsi="游ゴシック" w:eastAsia="游ゴシック"/>
                <w:b w:val="0"/>
                <w:sz w:val="19"/>
              </w:rPr>
              <w:t>8</w:t>
            </w:r>
          </w:p>
        </w:tc>
        <w:tc>
          <w:tcPr>
            <w:tcW w:type="dxa" w:w="1361"/>
            <w:vAlign w:val="center"/>
          </w:tcPr>
          <w:p>
            <w:pPr>
              <w:spacing w:after="0"/>
              <w:jc w:val="center"/>
            </w:pPr>
            <w:r>
              <w:rPr>
                <w:rFonts w:ascii="游ゴシック" w:hAnsi="游ゴシック" w:eastAsia="游ゴシック"/>
                <w:b w:val="0"/>
                <w:sz w:val="19"/>
              </w:rPr>
              <w:t>47.3％</w:t>
            </w:r>
          </w:p>
        </w:tc>
        <w:tc>
          <w:tcPr>
            <w:tcW w:type="dxa" w:w="1134"/>
            <w:vAlign w:val="center"/>
          </w:tcPr>
          <w:p>
            <w:pPr>
              <w:spacing w:after="0"/>
              <w:jc w:val="center"/>
            </w:pPr>
            <w:r>
              <w:rPr>
                <w:rFonts w:ascii="游ゴシック" w:hAnsi="游ゴシック" w:eastAsia="游ゴシック"/>
                <w:b w:val="0"/>
                <w:sz w:val="19"/>
              </w:rPr>
              <w:t>0点</w:t>
            </w:r>
          </w:p>
        </w:tc>
        <w:tc>
          <w:tcPr>
            <w:tcW w:type="dxa" w:w="1134"/>
            <w:vAlign w:val="center"/>
          </w:tcPr>
          <w:p>
            <w:pPr>
              <w:spacing w:after="0"/>
              <w:jc w:val="center"/>
            </w:pPr>
            <w:r>
              <w:rPr>
                <w:rFonts w:ascii="游ゴシック" w:hAnsi="游ゴシック" w:eastAsia="游ゴシック"/>
                <w:b w:val="0"/>
                <w:sz w:val="19"/>
              </w:rPr>
              <w:t>8点</w:t>
            </w:r>
          </w:p>
        </w:tc>
        <w:tc>
          <w:tcPr>
            <w:tcW w:type="dxa" w:w="1247"/>
            <w:vAlign w:val="center"/>
          </w:tcPr>
          <w:p>
            <w:pPr>
              <w:spacing w:after="0"/>
              <w:jc w:val="center"/>
            </w:pPr>
            <w:r>
              <w:rPr>
                <w:rFonts w:ascii="游ゴシック" w:hAnsi="游ゴシック" w:eastAsia="游ゴシック"/>
                <w:b w:val="0"/>
                <w:sz w:val="19"/>
              </w:rPr>
              <w:t>0点</w:t>
            </w:r>
          </w:p>
        </w:tc>
      </w:tr>
      <w:tr>
        <w:trPr>
          <w:cantSplit/>
        </w:trPr>
        <w:tc>
          <w:tcPr>
            <w:tcW w:type="dxa" w:w="3969"/>
            <w:shd w:val="clear" w:color="auto" w:fill="F2F5FA"/>
            <w:vAlign w:val="center"/>
          </w:tcPr>
          <w:p>
            <w:pPr>
              <w:spacing w:after="0"/>
            </w:pPr>
            <w:r>
              <w:rPr>
                <w:rFonts w:ascii="游ゴシック" w:hAnsi="游ゴシック" w:eastAsia="游ゴシック"/>
                <w:b w:val="0"/>
                <w:sz w:val="19"/>
              </w:rPr>
              <w:t>オ　福祉用具購入費・住宅改修費の申請内容の検討の仕組み</w:t>
            </w:r>
          </w:p>
        </w:tc>
        <w:tc>
          <w:tcPr>
            <w:tcW w:type="dxa" w:w="907"/>
            <w:shd w:val="clear" w:color="auto" w:fill="F2F5FA"/>
            <w:vAlign w:val="center"/>
          </w:tcPr>
          <w:p>
            <w:pPr>
              <w:spacing w:after="0"/>
              <w:jc w:val="center"/>
            </w:pPr>
            <w:r>
              <w:rPr>
                <w:rFonts w:ascii="游ゴシック" w:hAnsi="游ゴシック" w:eastAsia="游ゴシック"/>
                <w:b w:val="0"/>
                <w:sz w:val="19"/>
              </w:rPr>
              <w:t>8</w:t>
            </w:r>
          </w:p>
        </w:tc>
        <w:tc>
          <w:tcPr>
            <w:tcW w:type="dxa" w:w="1361"/>
            <w:shd w:val="clear" w:color="auto" w:fill="F2F5FA"/>
            <w:vAlign w:val="center"/>
          </w:tcPr>
          <w:p>
            <w:pPr>
              <w:spacing w:after="0"/>
              <w:jc w:val="center"/>
            </w:pPr>
            <w:r>
              <w:rPr>
                <w:rFonts w:ascii="游ゴシック" w:hAnsi="游ゴシック" w:eastAsia="游ゴシック"/>
                <w:b w:val="0"/>
                <w:sz w:val="19"/>
              </w:rPr>
              <w:t>65.1％</w:t>
            </w:r>
          </w:p>
        </w:tc>
        <w:tc>
          <w:tcPr>
            <w:tcW w:type="dxa" w:w="1134"/>
            <w:shd w:val="clear" w:color="auto" w:fill="F2F5FA"/>
            <w:vAlign w:val="center"/>
          </w:tcPr>
          <w:p>
            <w:pPr>
              <w:spacing w:after="0"/>
              <w:jc w:val="center"/>
            </w:pPr>
            <w:r>
              <w:rPr>
                <w:rFonts w:ascii="游ゴシック" w:hAnsi="游ゴシック" w:eastAsia="游ゴシック"/>
                <w:b w:val="0"/>
                <w:sz w:val="19"/>
              </w:rPr>
              <w:t>0点</w:t>
            </w:r>
          </w:p>
        </w:tc>
        <w:tc>
          <w:tcPr>
            <w:tcW w:type="dxa" w:w="1134"/>
            <w:shd w:val="clear" w:color="auto" w:fill="F2F5FA"/>
            <w:vAlign w:val="center"/>
          </w:tcPr>
          <w:p>
            <w:pPr>
              <w:spacing w:after="0"/>
              <w:jc w:val="center"/>
            </w:pPr>
            <w:r>
              <w:rPr>
                <w:rFonts w:ascii="游ゴシック" w:hAnsi="游ゴシック" w:eastAsia="游ゴシック"/>
                <w:b w:val="0"/>
                <w:sz w:val="19"/>
              </w:rPr>
              <w:t>8点</w:t>
            </w:r>
          </w:p>
        </w:tc>
        <w:tc>
          <w:tcPr>
            <w:tcW w:type="dxa" w:w="1247"/>
            <w:shd w:val="clear" w:color="auto" w:fill="F2F5FA"/>
            <w:vAlign w:val="center"/>
          </w:tcPr>
          <w:p>
            <w:pPr>
              <w:spacing w:after="0"/>
              <w:jc w:val="center"/>
            </w:pPr>
            <w:r>
              <w:rPr>
                <w:rFonts w:ascii="游ゴシック" w:hAnsi="游ゴシック" w:eastAsia="游ゴシック"/>
                <w:b w:val="0"/>
                <w:sz w:val="19"/>
              </w:rPr>
              <w:t>8点</w:t>
            </w:r>
          </w:p>
        </w:tc>
      </w:tr>
    </w:tbl>
    <w:p>
      <w:pPr>
        <w:spacing w:before="40"/>
        <w:jc w:val="right"/>
      </w:pPr>
      <w:r>
        <w:rPr>
          <w:rFonts w:ascii="游ゴシック" w:hAnsi="游ゴシック" w:eastAsia="游ゴシック"/>
          <w:sz w:val="17"/>
        </w:rPr>
        <w:t>資料：令和8年度 保険者機能強化推進交付金等の評価結果（厚生労働省公表資料）</w:t>
      </w:r>
    </w:p>
    <w:p>
      <w:r>
        <w:rPr>
          <w:rFonts w:ascii="游ゴシック" w:hAnsi="游ゴシック" w:eastAsia="游ゴシック"/>
          <w:b w:val="0"/>
          <w:sz w:val="21"/>
        </w:rPr>
        <w:t>評価指標は、リハビリテーション専門職等の関与について、関係団体や都道府県・近隣市町村による広域団体等と連携して関与する仕組みがある場合も対象に含むとしている。また、住宅改修費の申請内容の検討に係るリハビリテーション専門職等には、建築専門職及び福祉住環境コーディネーター検定試験二級以上を含むとしている。広域連合単独で専門職を確保することは難しいため、次の方法により関与の仕組みを整える。</w:t>
      </w:r>
    </w:p>
    <w:p>
      <w:pPr>
        <w:ind w:left="340" w:hanging="340"/>
      </w:pPr>
      <w:r>
        <w:rPr>
          <w:rFonts w:ascii="游ゴシック" w:hAnsi="游ゴシック" w:eastAsia="游ゴシック"/>
          <w:sz w:val="21"/>
        </w:rPr>
        <w:t>・区域内の介護老人保健施設・医療機関の理学療法士・作業療法士に、地域ケア会議への参加を通じて関与を求める。</w:t>
      </w:r>
    </w:p>
    <w:p>
      <w:pPr>
        <w:ind w:left="340" w:hanging="340"/>
      </w:pPr>
      <w:r>
        <w:rPr>
          <w:rFonts w:ascii="游ゴシック" w:hAnsi="游ゴシック" w:eastAsia="游ゴシック"/>
          <w:sz w:val="21"/>
        </w:rPr>
        <w:t>・北海道理学療法士会・北海道作業療法士会の上川支部に協力を依頼する。</w:t>
      </w:r>
    </w:p>
    <w:p>
      <w:pPr>
        <w:ind w:left="340" w:hanging="340"/>
      </w:pPr>
      <w:r>
        <w:rPr>
          <w:rFonts w:ascii="游ゴシック" w:hAnsi="游ゴシック" w:eastAsia="游ゴシック"/>
          <w:sz w:val="21"/>
        </w:rPr>
        <w:t>・住宅改修費については、3町の建築部門の職員又は福祉住環境コーディネーター検定試験二級以上の資格を有する職員の関与を求める。</w:t>
      </w:r>
    </w:p>
    <w:p>
      <w:pPr>
        <w:ind w:left="340" w:hanging="340"/>
      </w:pPr>
      <w:r>
        <w:rPr>
          <w:rFonts w:ascii="游ゴシック" w:hAnsi="游ゴシック" w:eastAsia="游ゴシック"/>
          <w:sz w:val="21"/>
        </w:rPr>
        <w:t>・旭川市及び近隣市町村と、専門職の派遣について協議する。</w:t>
      </w:r>
    </w:p>
    <w:p>
      <w:pPr>
        <w:ind w:left="227"/>
      </w:pPr>
      <w:r>
        <w:rPr>
          <w:rFonts w:ascii="游ゴシック" w:hAnsi="游ゴシック" w:eastAsia="游ゴシック"/>
          <w:sz w:val="18"/>
        </w:rPr>
        <w:t>※ 美瑛町・東神楽町は、オ（福祉用具購入費・住宅改修費の申請内容の検討）ですでに8点を得ている。美瑛町はエ（福祉用具の貸与後の点検）でも8点を得ている。3町の取組の内容を持ち寄り、区域共通の仕組みとすることが近道である。取組の具体的な内容は3町にご確認をお願いする。</w:t>
      </w:r>
    </w:p>
    <w:p>
      <w:pPr>
        <w:keepNext/>
        <w:spacing w:before="280" w:after="120"/>
      </w:pPr>
      <w:r>
        <w:rPr>
          <w:rFonts w:ascii="游ゴシック" w:hAnsi="游ゴシック" w:eastAsia="游ゴシック"/>
          <w:b/>
          <w:color w:val="1F3864"/>
          <w:sz w:val="26"/>
        </w:rPr>
        <w:t>11　実施体制</w:t>
      </w:r>
    </w:p>
    <w:p>
      <w:pPr>
        <w:keepNext/>
        <w:spacing w:before="160" w:after="40"/>
      </w:pPr>
      <w:r>
        <w:rPr>
          <w:rFonts w:ascii="游ゴシック" w:hAnsi="游ゴシック" w:eastAsia="游ゴシック"/>
          <w:b/>
          <w:sz w:val="20"/>
        </w:rPr>
        <w:t>表13　役割分担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9"/>
              </w:rPr>
              <w:t>主体</w:t>
            </w:r>
          </w:p>
        </w:tc>
        <w:tc>
          <w:tcPr>
            <w:tcW w:type="dxa" w:w="7483"/>
            <w:shd w:val="clear" w:color="auto" w:fill="1F3864"/>
            <w:vAlign w:val="center"/>
          </w:tcPr>
          <w:p>
            <w:pPr>
              <w:spacing w:after="0"/>
              <w:jc w:val="center"/>
            </w:pPr>
            <w:r>
              <w:rPr>
                <w:rFonts w:ascii="游ゴシック" w:hAnsi="游ゴシック" w:eastAsia="游ゴシック"/>
                <w:b/>
                <w:color w:val="FFFFFF"/>
                <w:sz w:val="19"/>
              </w:rPr>
              <w:t>役割</w:t>
            </w:r>
          </w:p>
        </w:tc>
      </w:tr>
      <w:tr>
        <w:trPr>
          <w:cantSplit/>
        </w:trPr>
        <w:tc>
          <w:tcPr>
            <w:tcW w:type="dxa" w:w="2268"/>
            <w:vAlign w:val="center"/>
          </w:tcPr>
          <w:p>
            <w:pPr>
              <w:spacing w:after="0"/>
            </w:pPr>
            <w:r>
              <w:rPr>
                <w:rFonts w:ascii="游ゴシック" w:hAnsi="游ゴシック" w:eastAsia="游ゴシック"/>
                <w:b/>
                <w:sz w:val="19"/>
              </w:rPr>
              <w:t>広域連合</w:t>
            </w:r>
          </w:p>
        </w:tc>
        <w:tc>
          <w:tcPr>
            <w:tcW w:type="dxa" w:w="7483"/>
            <w:vAlign w:val="center"/>
          </w:tcPr>
          <w:p>
            <w:pPr>
              <w:spacing w:after="0"/>
            </w:pPr>
            <w:r>
              <w:rPr>
                <w:rFonts w:ascii="游ゴシック" w:hAnsi="游ゴシック" w:eastAsia="游ゴシック"/>
                <w:b w:val="0"/>
                <w:sz w:val="19"/>
              </w:rPr>
              <w:t>点検計画の作成、国保連の帳票の出力と対象の抽出、点検の実施、結果の通知、改善状況の確認、実施結果の取りまとめと公表、策定委員会への報告</w:t>
            </w:r>
          </w:p>
        </w:tc>
      </w:tr>
      <w:tr>
        <w:trPr>
          <w:cantSplit/>
        </w:trPr>
        <w:tc>
          <w:tcPr>
            <w:tcW w:type="dxa" w:w="2268"/>
            <w:shd w:val="clear" w:color="auto" w:fill="F2F5FA"/>
            <w:vAlign w:val="center"/>
          </w:tcPr>
          <w:p>
            <w:pPr>
              <w:spacing w:after="0"/>
            </w:pPr>
            <w:r>
              <w:rPr>
                <w:rFonts w:ascii="游ゴシック" w:hAnsi="游ゴシック" w:eastAsia="游ゴシック"/>
                <w:b/>
                <w:sz w:val="19"/>
              </w:rPr>
              <w:t>構成3町（介護保険担当）</w:t>
            </w:r>
          </w:p>
        </w:tc>
        <w:tc>
          <w:tcPr>
            <w:tcW w:type="dxa" w:w="7483"/>
            <w:shd w:val="clear" w:color="auto" w:fill="F2F5FA"/>
            <w:vAlign w:val="center"/>
          </w:tcPr>
          <w:p>
            <w:pPr>
              <w:spacing w:after="0"/>
            </w:pPr>
            <w:r>
              <w:rPr>
                <w:rFonts w:ascii="游ゴシック" w:hAnsi="游ゴシック" w:eastAsia="游ゴシック"/>
                <w:b w:val="0"/>
                <w:sz w:val="19"/>
              </w:rPr>
              <w:t>対象事業所との連絡調整、書面点検への同席、町の実情に応じた情報の提供</w:t>
            </w:r>
          </w:p>
        </w:tc>
      </w:tr>
      <w:tr>
        <w:trPr>
          <w:cantSplit/>
        </w:trPr>
        <w:tc>
          <w:tcPr>
            <w:tcW w:type="dxa" w:w="2268"/>
            <w:vAlign w:val="center"/>
          </w:tcPr>
          <w:p>
            <w:pPr>
              <w:spacing w:after="0"/>
            </w:pPr>
            <w:r>
              <w:rPr>
                <w:rFonts w:ascii="游ゴシック" w:hAnsi="游ゴシック" w:eastAsia="游ゴシック"/>
                <w:b/>
                <w:sz w:val="19"/>
              </w:rPr>
              <w:t>地域包括支援センター</w:t>
            </w:r>
          </w:p>
        </w:tc>
        <w:tc>
          <w:tcPr>
            <w:tcW w:type="dxa" w:w="7483"/>
            <w:vAlign w:val="center"/>
          </w:tcPr>
          <w:p>
            <w:pPr>
              <w:spacing w:after="0"/>
            </w:pPr>
            <w:r>
              <w:rPr>
                <w:rFonts w:ascii="游ゴシック" w:hAnsi="游ゴシック" w:eastAsia="游ゴシック"/>
                <w:b w:val="0"/>
                <w:sz w:val="19"/>
              </w:rPr>
              <w:t>介護予防サービス計画に係る点検、地域ケア会議を通じた点検の視点の共有</w:t>
            </w:r>
          </w:p>
        </w:tc>
      </w:tr>
      <w:tr>
        <w:trPr>
          <w:cantSplit/>
        </w:trPr>
        <w:tc>
          <w:tcPr>
            <w:tcW w:type="dxa" w:w="2268"/>
            <w:shd w:val="clear" w:color="auto" w:fill="F2F5FA"/>
            <w:vAlign w:val="center"/>
          </w:tcPr>
          <w:p>
            <w:pPr>
              <w:spacing w:after="0"/>
            </w:pPr>
            <w:r>
              <w:rPr>
                <w:rFonts w:ascii="游ゴシック" w:hAnsi="游ゴシック" w:eastAsia="游ゴシック"/>
                <w:b/>
                <w:sz w:val="19"/>
              </w:rPr>
              <w:t>リハビリテーション専門職等</w:t>
            </w:r>
          </w:p>
        </w:tc>
        <w:tc>
          <w:tcPr>
            <w:tcW w:type="dxa" w:w="7483"/>
            <w:shd w:val="clear" w:color="auto" w:fill="F2F5FA"/>
            <w:vAlign w:val="center"/>
          </w:tcPr>
          <w:p>
            <w:pPr>
              <w:spacing w:after="0"/>
            </w:pPr>
            <w:r>
              <w:rPr>
                <w:rFonts w:ascii="游ゴシック" w:hAnsi="游ゴシック" w:eastAsia="游ゴシック"/>
                <w:b w:val="0"/>
                <w:sz w:val="19"/>
              </w:rPr>
              <w:t>福祉用具・住宅改修に係る妥当性の検討、地域ケア会議での助言</w:t>
            </w:r>
          </w:p>
        </w:tc>
      </w:tr>
      <w:tr>
        <w:trPr>
          <w:cantSplit/>
        </w:trPr>
        <w:tc>
          <w:tcPr>
            <w:tcW w:type="dxa" w:w="2268"/>
            <w:vAlign w:val="center"/>
          </w:tcPr>
          <w:p>
            <w:pPr>
              <w:spacing w:after="0"/>
            </w:pPr>
            <w:r>
              <w:rPr>
                <w:rFonts w:ascii="游ゴシック" w:hAnsi="游ゴシック" w:eastAsia="游ゴシック"/>
                <w:b/>
                <w:sz w:val="19"/>
              </w:rPr>
              <w:t>北海道（上川総合振興局）</w:t>
            </w:r>
          </w:p>
        </w:tc>
        <w:tc>
          <w:tcPr>
            <w:tcW w:type="dxa" w:w="7483"/>
            <w:vAlign w:val="center"/>
          </w:tcPr>
          <w:p>
            <w:pPr>
              <w:spacing w:after="0"/>
            </w:pPr>
            <w:r>
              <w:rPr>
                <w:rFonts w:ascii="游ゴシック" w:hAnsi="游ゴシック" w:eastAsia="游ゴシック"/>
                <w:b w:val="0"/>
                <w:sz w:val="19"/>
              </w:rPr>
              <w:t>有料老人ホーム等の家賃等の情報の提供、指定権者としての指導・監査</w:t>
            </w:r>
          </w:p>
        </w:tc>
      </w:tr>
      <w:tr>
        <w:trPr>
          <w:cantSplit/>
        </w:trPr>
        <w:tc>
          <w:tcPr>
            <w:tcW w:type="dxa" w:w="2268"/>
            <w:shd w:val="clear" w:color="auto" w:fill="F2F5FA"/>
            <w:vAlign w:val="center"/>
          </w:tcPr>
          <w:p>
            <w:pPr>
              <w:spacing w:after="0"/>
            </w:pPr>
            <w:r>
              <w:rPr>
                <w:rFonts w:ascii="游ゴシック" w:hAnsi="游ゴシック" w:eastAsia="游ゴシック"/>
                <w:b/>
                <w:sz w:val="19"/>
              </w:rPr>
              <w:t>介護保険事業計画策定委員会</w:t>
            </w:r>
          </w:p>
        </w:tc>
        <w:tc>
          <w:tcPr>
            <w:tcW w:type="dxa" w:w="7483"/>
            <w:shd w:val="clear" w:color="auto" w:fill="F2F5FA"/>
            <w:vAlign w:val="center"/>
          </w:tcPr>
          <w:p>
            <w:pPr>
              <w:spacing w:after="0"/>
            </w:pPr>
            <w:r>
              <w:rPr>
                <w:rFonts w:ascii="游ゴシック" w:hAnsi="游ゴシック" w:eastAsia="游ゴシック"/>
                <w:b w:val="0"/>
                <w:sz w:val="19"/>
              </w:rPr>
              <w:t>実施結果の検証、改善・見直しに関する意見</w:t>
            </w:r>
          </w:p>
        </w:tc>
      </w:tr>
    </w:tbl>
    <w:p>
      <w:r>
        <w:rPr>
          <w:rFonts w:ascii="游ゴシック" w:hAnsi="游ゴシック" w:eastAsia="游ゴシック"/>
          <w:b w:val="0"/>
          <w:sz w:val="21"/>
        </w:rPr>
        <w:t>点検を行う職員は、あらかじめ北海道又は国民健康保険中央会が実施するケアプラン点検に関する研修を受講する。</w:t>
      </w:r>
    </w:p>
    <w:p>
      <w:r>
        <w:rPr>
          <w:rFonts w:ascii="游ゴシック" w:hAnsi="游ゴシック" w:eastAsia="游ゴシック"/>
          <w:b w:val="0"/>
          <w:sz w:val="21"/>
        </w:rPr>
      </w:r>
    </w:p>
    <w:p>
      <w:r>
        <w:rPr>
          <w:rFonts w:ascii="游ゴシック" w:hAnsi="游ゴシック" w:eastAsia="游ゴシック"/>
          <w:b/>
          <w:sz w:val="21"/>
        </w:rPr>
        <w:t>【広域連合が自ら行う以外の実施方法】</w:t>
      </w:r>
    </w:p>
    <w:p>
      <w:r>
        <w:rPr>
          <w:rFonts w:ascii="游ゴシック" w:hAnsi="游ゴシック" w:eastAsia="游ゴシック"/>
          <w:b w:val="0"/>
          <w:sz w:val="21"/>
        </w:rPr>
        <w:t>適正化計画指針は、点検の手法について、保険者が自ら点検を実施するだけではなく、地域の介護支援専門員同士、あるいは主任介護支援専門員や介護支援専門員の職能団体によるケアプランの点検の機会を保険者として設けることや、職能団体に点検を委託することも有効であるとしている。区域内の介護支援専門員数を踏まえ、次の3つを併用する。</w:t>
      </w:r>
    </w:p>
    <w:p>
      <w:pPr>
        <w:keepNext/>
        <w:spacing w:before="160" w:after="40"/>
      </w:pPr>
      <w:r>
        <w:rPr>
          <w:rFonts w:ascii="游ゴシック" w:hAnsi="游ゴシック" w:eastAsia="游ゴシック"/>
          <w:b/>
          <w:sz w:val="20"/>
        </w:rPr>
        <w:t>表14　実施方法の組合せ</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154"/>
            <w:shd w:val="clear" w:color="auto" w:fill="1F3864"/>
            <w:vAlign w:val="center"/>
          </w:tcPr>
          <w:p>
            <w:pPr>
              <w:spacing w:after="0"/>
              <w:jc w:val="center"/>
            </w:pPr>
            <w:r>
              <w:rPr>
                <w:rFonts w:ascii="游ゴシック" w:hAnsi="游ゴシック" w:eastAsia="游ゴシック"/>
                <w:b/>
                <w:color w:val="FFFFFF"/>
                <w:sz w:val="19"/>
              </w:rPr>
              <w:t>方法</w:t>
            </w:r>
          </w:p>
        </w:tc>
        <w:tc>
          <w:tcPr>
            <w:tcW w:type="dxa" w:w="3855"/>
            <w:shd w:val="clear" w:color="auto" w:fill="1F3864"/>
            <w:vAlign w:val="center"/>
          </w:tcPr>
          <w:p>
            <w:pPr>
              <w:spacing w:after="0"/>
              <w:jc w:val="center"/>
            </w:pPr>
            <w:r>
              <w:rPr>
                <w:rFonts w:ascii="游ゴシック" w:hAnsi="游ゴシック" w:eastAsia="游ゴシック"/>
                <w:b/>
                <w:color w:val="FFFFFF"/>
                <w:sz w:val="19"/>
              </w:rPr>
              <w:t>内容</w:t>
            </w:r>
          </w:p>
        </w:tc>
        <w:tc>
          <w:tcPr>
            <w:tcW w:type="dxa" w:w="3742"/>
            <w:shd w:val="clear" w:color="auto" w:fill="1F3864"/>
            <w:vAlign w:val="center"/>
          </w:tcPr>
          <w:p>
            <w:pPr>
              <w:spacing w:after="0"/>
              <w:jc w:val="center"/>
            </w:pPr>
            <w:r>
              <w:rPr>
                <w:rFonts w:ascii="游ゴシック" w:hAnsi="游ゴシック" w:eastAsia="游ゴシック"/>
                <w:b/>
                <w:color w:val="FFFFFF"/>
                <w:sz w:val="19"/>
              </w:rPr>
              <w:t>第10期での位置づけ</w:t>
            </w:r>
          </w:p>
        </w:tc>
      </w:tr>
      <w:tr>
        <w:trPr>
          <w:cantSplit/>
        </w:trPr>
        <w:tc>
          <w:tcPr>
            <w:tcW w:type="dxa" w:w="2154"/>
            <w:vAlign w:val="center"/>
          </w:tcPr>
          <w:p>
            <w:pPr>
              <w:spacing w:after="0"/>
            </w:pPr>
            <w:r>
              <w:rPr>
                <w:rFonts w:ascii="游ゴシック" w:hAnsi="游ゴシック" w:eastAsia="游ゴシック"/>
                <w:b/>
                <w:sz w:val="19"/>
              </w:rPr>
              <w:t>広域連合による点検</w:t>
            </w:r>
          </w:p>
        </w:tc>
        <w:tc>
          <w:tcPr>
            <w:tcW w:type="dxa" w:w="3855"/>
            <w:vAlign w:val="center"/>
          </w:tcPr>
          <w:p>
            <w:pPr>
              <w:spacing w:after="0"/>
            </w:pPr>
            <w:r>
              <w:rPr>
                <w:rFonts w:ascii="游ゴシック" w:hAnsi="游ゴシック" w:eastAsia="游ゴシック"/>
                <w:b w:val="0"/>
                <w:sz w:val="19"/>
              </w:rPr>
              <w:t>広域連合の職員が書面点検・訪問点検を行う</w:t>
            </w:r>
          </w:p>
        </w:tc>
        <w:tc>
          <w:tcPr>
            <w:tcW w:type="dxa" w:w="3742"/>
            <w:vAlign w:val="center"/>
          </w:tcPr>
          <w:p>
            <w:pPr>
              <w:spacing w:after="0"/>
            </w:pPr>
            <w:r>
              <w:rPr>
                <w:rFonts w:ascii="游ゴシック" w:hAnsi="游ゴシック" w:eastAsia="游ゴシック"/>
                <w:b w:val="0"/>
                <w:sz w:val="19"/>
              </w:rPr>
              <w:t>令和9年度から実施する。件数の中心となる</w:t>
            </w:r>
          </w:p>
        </w:tc>
      </w:tr>
      <w:tr>
        <w:trPr>
          <w:cantSplit/>
        </w:trPr>
        <w:tc>
          <w:tcPr>
            <w:tcW w:type="dxa" w:w="2154"/>
            <w:shd w:val="clear" w:color="auto" w:fill="F2F5FA"/>
            <w:vAlign w:val="center"/>
          </w:tcPr>
          <w:p>
            <w:pPr>
              <w:spacing w:after="0"/>
            </w:pPr>
            <w:r>
              <w:rPr>
                <w:rFonts w:ascii="游ゴシック" w:hAnsi="游ゴシック" w:eastAsia="游ゴシック"/>
                <w:b/>
                <w:sz w:val="19"/>
              </w:rPr>
              <w:t>介護支援専門員同士による点検の機会</w:t>
            </w:r>
          </w:p>
        </w:tc>
        <w:tc>
          <w:tcPr>
            <w:tcW w:type="dxa" w:w="3855"/>
            <w:shd w:val="clear" w:color="auto" w:fill="F2F5FA"/>
            <w:vAlign w:val="center"/>
          </w:tcPr>
          <w:p>
            <w:pPr>
              <w:spacing w:after="0"/>
            </w:pPr>
            <w:r>
              <w:rPr>
                <w:rFonts w:ascii="游ゴシック" w:hAnsi="游ゴシック" w:eastAsia="游ゴシック"/>
                <w:b w:val="0"/>
                <w:sz w:val="19"/>
              </w:rPr>
              <w:t>主任介護支援専門員が助言者となり、複数の事業所の介護支援専門員が相互に点検する場を広域連合が設ける</w:t>
            </w:r>
          </w:p>
        </w:tc>
        <w:tc>
          <w:tcPr>
            <w:tcW w:type="dxa" w:w="3742"/>
            <w:shd w:val="clear" w:color="auto" w:fill="F2F5FA"/>
            <w:vAlign w:val="center"/>
          </w:tcPr>
          <w:p>
            <w:pPr>
              <w:spacing w:after="0"/>
            </w:pPr>
            <w:r>
              <w:rPr>
                <w:rFonts w:ascii="游ゴシック" w:hAnsi="游ゴシック" w:eastAsia="游ゴシック"/>
                <w:b w:val="0"/>
                <w:sz w:val="19"/>
              </w:rPr>
              <w:t>集団点検（第6節）として実施する。広域連合が場を設けるため、点検の実施として計上できる</w:t>
            </w:r>
          </w:p>
        </w:tc>
      </w:tr>
      <w:tr>
        <w:trPr>
          <w:cantSplit/>
        </w:trPr>
        <w:tc>
          <w:tcPr>
            <w:tcW w:type="dxa" w:w="2154"/>
            <w:vAlign w:val="center"/>
          </w:tcPr>
          <w:p>
            <w:pPr>
              <w:spacing w:after="0"/>
            </w:pPr>
            <w:r>
              <w:rPr>
                <w:rFonts w:ascii="游ゴシック" w:hAnsi="游ゴシック" w:eastAsia="游ゴシック"/>
                <w:b/>
                <w:sz w:val="19"/>
              </w:rPr>
              <w:t>職能団体への委託</w:t>
            </w:r>
          </w:p>
        </w:tc>
        <w:tc>
          <w:tcPr>
            <w:tcW w:type="dxa" w:w="3855"/>
            <w:vAlign w:val="center"/>
          </w:tcPr>
          <w:p>
            <w:pPr>
              <w:spacing w:after="0"/>
            </w:pPr>
            <w:r>
              <w:rPr>
                <w:rFonts w:ascii="游ゴシック" w:hAnsi="游ゴシック" w:eastAsia="游ゴシック"/>
                <w:b w:val="0"/>
                <w:sz w:val="19"/>
              </w:rPr>
              <w:t>北海道介護支援専門員協会等に点検を委託する</w:t>
            </w:r>
          </w:p>
        </w:tc>
        <w:tc>
          <w:tcPr>
            <w:tcW w:type="dxa" w:w="3742"/>
            <w:vAlign w:val="center"/>
          </w:tcPr>
          <w:p>
            <w:pPr>
              <w:spacing w:after="0"/>
            </w:pPr>
            <w:r>
              <w:rPr>
                <w:rFonts w:ascii="游ゴシック" w:hAnsi="游ゴシック" w:eastAsia="游ゴシック"/>
                <w:b w:val="0"/>
                <w:sz w:val="19"/>
              </w:rPr>
              <w:t>職員体制の制約が生じた場合の選択肢として置く。委託の可否・費用は令和9年度に確認する［要確認］</w:t>
            </w:r>
          </w:p>
        </w:tc>
      </w:tr>
    </w:tbl>
    <w:p>
      <w:pPr>
        <w:keepNext/>
        <w:spacing w:before="280" w:after="120"/>
      </w:pPr>
      <w:r>
        <w:rPr>
          <w:rFonts w:ascii="游ゴシック" w:hAnsi="游ゴシック" w:eastAsia="游ゴシック"/>
          <w:b/>
          <w:color w:val="1F3864"/>
          <w:sz w:val="26"/>
        </w:rPr>
        <w:t>12　評価指標と公表</w:t>
      </w:r>
    </w:p>
    <w:p>
      <w:r>
        <w:rPr>
          <w:rFonts w:ascii="游ゴシック" w:hAnsi="游ゴシック" w:eastAsia="游ゴシック"/>
          <w:b w:val="0"/>
          <w:sz w:val="21"/>
        </w:rPr>
        <w:t>国の評価指標は、介護給付費の適正化方策について、評価指標を定めること（配点8点）、実績を踏まえて毎年度課題の分析・改善・見直しを行うこと（配点8点）、指標の達成状況を含む取組の成果を公表すること（配点8点）を求めている。評価指標は、点検件数などの定量的に把握可能なアウトプットで差し支えないとされている。この3項目は3町とも0点であり、本要領により満たす。</w:t>
      </w:r>
    </w:p>
    <w:p>
      <w:pPr>
        <w:keepNext/>
        <w:spacing w:before="160" w:after="40"/>
      </w:pPr>
      <w:r>
        <w:rPr>
          <w:rFonts w:ascii="游ゴシック" w:hAnsi="游ゴシック" w:eastAsia="游ゴシック"/>
          <w:b/>
          <w:sz w:val="20"/>
        </w:rPr>
        <w:t>表15　ケアプラン点検の評価指標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3969"/>
            <w:shd w:val="clear" w:color="auto" w:fill="1F3864"/>
            <w:vAlign w:val="center"/>
          </w:tcPr>
          <w:p>
            <w:pPr>
              <w:spacing w:after="0"/>
              <w:jc w:val="center"/>
            </w:pPr>
            <w:r>
              <w:rPr>
                <w:rFonts w:ascii="游ゴシック" w:hAnsi="游ゴシック" w:eastAsia="游ゴシック"/>
                <w:b/>
                <w:color w:val="FFFFFF"/>
                <w:sz w:val="19"/>
              </w:rPr>
              <w:t>指標</w:t>
            </w:r>
          </w:p>
        </w:tc>
        <w:tc>
          <w:tcPr>
            <w:tcW w:type="dxa" w:w="1361"/>
            <w:shd w:val="clear" w:color="auto" w:fill="1F3864"/>
            <w:vAlign w:val="center"/>
          </w:tcPr>
          <w:p>
            <w:pPr>
              <w:spacing w:after="0"/>
              <w:jc w:val="center"/>
            </w:pPr>
            <w:r>
              <w:rPr>
                <w:rFonts w:ascii="游ゴシック" w:hAnsi="游ゴシック" w:eastAsia="游ゴシック"/>
                <w:b/>
                <w:color w:val="FFFFFF"/>
                <w:sz w:val="19"/>
              </w:rPr>
              <w:t>区分</w:t>
            </w:r>
          </w:p>
        </w:tc>
        <w:tc>
          <w:tcPr>
            <w:tcW w:type="dxa" w:w="1474"/>
            <w:shd w:val="clear" w:color="auto" w:fill="1F3864"/>
            <w:vAlign w:val="center"/>
          </w:tcPr>
          <w:p>
            <w:pPr>
              <w:spacing w:after="0"/>
              <w:jc w:val="center"/>
            </w:pPr>
            <w:r>
              <w:rPr>
                <w:rFonts w:ascii="游ゴシック" w:hAnsi="游ゴシック" w:eastAsia="游ゴシック"/>
                <w:b/>
                <w:color w:val="FFFFFF"/>
                <w:sz w:val="19"/>
              </w:rPr>
              <w:t>令和9年度</w:t>
            </w:r>
          </w:p>
        </w:tc>
        <w:tc>
          <w:tcPr>
            <w:tcW w:type="dxa" w:w="1474"/>
            <w:shd w:val="clear" w:color="auto" w:fill="1F3864"/>
            <w:vAlign w:val="center"/>
          </w:tcPr>
          <w:p>
            <w:pPr>
              <w:spacing w:after="0"/>
              <w:jc w:val="center"/>
            </w:pPr>
            <w:r>
              <w:rPr>
                <w:rFonts w:ascii="游ゴシック" w:hAnsi="游ゴシック" w:eastAsia="游ゴシック"/>
                <w:b/>
                <w:color w:val="FFFFFF"/>
                <w:sz w:val="19"/>
              </w:rPr>
              <w:t>令和10年度</w:t>
            </w:r>
          </w:p>
        </w:tc>
        <w:tc>
          <w:tcPr>
            <w:tcW w:type="dxa" w:w="1474"/>
            <w:shd w:val="clear" w:color="auto" w:fill="1F3864"/>
            <w:vAlign w:val="center"/>
          </w:tcPr>
          <w:p>
            <w:pPr>
              <w:spacing w:after="0"/>
              <w:jc w:val="center"/>
            </w:pPr>
            <w:r>
              <w:rPr>
                <w:rFonts w:ascii="游ゴシック" w:hAnsi="游ゴシック" w:eastAsia="游ゴシック"/>
                <w:b/>
                <w:color w:val="FFFFFF"/>
                <w:sz w:val="19"/>
              </w:rPr>
              <w:t>令和11年度</w:t>
            </w:r>
          </w:p>
        </w:tc>
      </w:tr>
      <w:tr>
        <w:trPr>
          <w:cantSplit/>
        </w:trPr>
        <w:tc>
          <w:tcPr>
            <w:tcW w:type="dxa" w:w="3969"/>
            <w:vAlign w:val="center"/>
          </w:tcPr>
          <w:p>
            <w:pPr>
              <w:spacing w:after="0"/>
            </w:pPr>
            <w:r>
              <w:rPr>
                <w:rFonts w:ascii="游ゴシック" w:hAnsi="游ゴシック" w:eastAsia="游ゴシック"/>
                <w:b w:val="0"/>
                <w:sz w:val="19"/>
              </w:rPr>
              <w:t>点検実施件数</w:t>
            </w:r>
          </w:p>
        </w:tc>
        <w:tc>
          <w:tcPr>
            <w:tcW w:type="dxa" w:w="1361"/>
            <w:vAlign w:val="center"/>
          </w:tcPr>
          <w:p>
            <w:pPr>
              <w:spacing w:after="0"/>
              <w:jc w:val="center"/>
            </w:pPr>
            <w:r>
              <w:rPr>
                <w:rFonts w:ascii="游ゴシック" w:hAnsi="游ゴシック" w:eastAsia="游ゴシック"/>
                <w:b w:val="0"/>
                <w:sz w:val="19"/>
              </w:rPr>
              <w:t>アウトプット</w:t>
            </w:r>
          </w:p>
        </w:tc>
        <w:tc>
          <w:tcPr>
            <w:tcW w:type="dxa" w:w="1474"/>
            <w:vAlign w:val="center"/>
          </w:tcPr>
          <w:p>
            <w:pPr>
              <w:spacing w:after="0"/>
              <w:jc w:val="center"/>
            </w:pPr>
            <w:r>
              <w:rPr>
                <w:rFonts w:ascii="游ゴシック" w:hAnsi="游ゴシック" w:eastAsia="游ゴシック"/>
                <w:b w:val="0"/>
                <w:sz w:val="19"/>
              </w:rPr>
              <w:t>264件</w:t>
            </w:r>
          </w:p>
        </w:tc>
        <w:tc>
          <w:tcPr>
            <w:tcW w:type="dxa" w:w="1474"/>
            <w:vAlign w:val="center"/>
          </w:tcPr>
          <w:p>
            <w:pPr>
              <w:spacing w:after="0"/>
              <w:jc w:val="center"/>
            </w:pPr>
            <w:r>
              <w:rPr>
                <w:rFonts w:ascii="游ゴシック" w:hAnsi="游ゴシック" w:eastAsia="游ゴシック"/>
                <w:b w:val="0"/>
                <w:sz w:val="19"/>
              </w:rPr>
              <w:t>396件</w:t>
            </w:r>
          </w:p>
        </w:tc>
        <w:tc>
          <w:tcPr>
            <w:tcW w:type="dxa" w:w="1474"/>
            <w:vAlign w:val="center"/>
          </w:tcPr>
          <w:p>
            <w:pPr>
              <w:spacing w:after="0"/>
              <w:jc w:val="center"/>
            </w:pPr>
            <w:r>
              <w:rPr>
                <w:rFonts w:ascii="游ゴシック" w:hAnsi="游ゴシック" w:eastAsia="游ゴシック"/>
                <w:b w:val="0"/>
                <w:sz w:val="19"/>
              </w:rPr>
              <w:t>528件</w:t>
            </w:r>
          </w:p>
        </w:tc>
      </w:tr>
      <w:tr>
        <w:trPr>
          <w:cantSplit/>
        </w:trPr>
        <w:tc>
          <w:tcPr>
            <w:tcW w:type="dxa" w:w="3969"/>
            <w:shd w:val="clear" w:color="auto" w:fill="F2F5FA"/>
            <w:vAlign w:val="center"/>
          </w:tcPr>
          <w:p>
            <w:pPr>
              <w:spacing w:after="0"/>
            </w:pPr>
            <w:r>
              <w:rPr>
                <w:rFonts w:ascii="游ゴシック" w:hAnsi="游ゴシック" w:eastAsia="游ゴシック"/>
                <w:b w:val="0"/>
                <w:sz w:val="19"/>
              </w:rPr>
              <w:t>点検実施事業所数</w:t>
            </w:r>
          </w:p>
        </w:tc>
        <w:tc>
          <w:tcPr>
            <w:tcW w:type="dxa" w:w="1361"/>
            <w:shd w:val="clear" w:color="auto" w:fill="F2F5FA"/>
            <w:vAlign w:val="center"/>
          </w:tcPr>
          <w:p>
            <w:pPr>
              <w:spacing w:after="0"/>
              <w:jc w:val="center"/>
            </w:pPr>
            <w:r>
              <w:rPr>
                <w:rFonts w:ascii="游ゴシック" w:hAnsi="游ゴシック" w:eastAsia="游ゴシック"/>
                <w:b w:val="0"/>
                <w:sz w:val="19"/>
              </w:rPr>
              <w:t>アウトプット</w:t>
            </w:r>
          </w:p>
        </w:tc>
        <w:tc>
          <w:tcPr>
            <w:tcW w:type="dxa" w:w="1474"/>
            <w:shd w:val="clear" w:color="auto" w:fill="F2F5FA"/>
            <w:vAlign w:val="center"/>
          </w:tcPr>
          <w:p>
            <w:pPr>
              <w:spacing w:after="0"/>
              <w:jc w:val="center"/>
            </w:pPr>
            <w:r>
              <w:rPr>
                <w:rFonts w:ascii="游ゴシック" w:hAnsi="游ゴシック" w:eastAsia="游ゴシック"/>
                <w:b w:val="0"/>
                <w:sz w:val="19"/>
              </w:rPr>
              <w:t>11事業所</w:t>
            </w:r>
          </w:p>
        </w:tc>
        <w:tc>
          <w:tcPr>
            <w:tcW w:type="dxa" w:w="1474"/>
            <w:shd w:val="clear" w:color="auto" w:fill="F2F5FA"/>
            <w:vAlign w:val="center"/>
          </w:tcPr>
          <w:p>
            <w:pPr>
              <w:spacing w:after="0"/>
              <w:jc w:val="center"/>
            </w:pPr>
            <w:r>
              <w:rPr>
                <w:rFonts w:ascii="游ゴシック" w:hAnsi="游ゴシック" w:eastAsia="游ゴシック"/>
                <w:b w:val="0"/>
                <w:sz w:val="19"/>
              </w:rPr>
              <w:t>11事業所</w:t>
            </w:r>
          </w:p>
        </w:tc>
        <w:tc>
          <w:tcPr>
            <w:tcW w:type="dxa" w:w="1474"/>
            <w:shd w:val="clear" w:color="auto" w:fill="F2F5FA"/>
            <w:vAlign w:val="center"/>
          </w:tcPr>
          <w:p>
            <w:pPr>
              <w:spacing w:after="0"/>
              <w:jc w:val="center"/>
            </w:pPr>
            <w:r>
              <w:rPr>
                <w:rFonts w:ascii="游ゴシック" w:hAnsi="游ゴシック" w:eastAsia="游ゴシック"/>
                <w:b w:val="0"/>
                <w:sz w:val="19"/>
              </w:rPr>
              <w:t>11事業所</w:t>
            </w:r>
          </w:p>
        </w:tc>
      </w:tr>
      <w:tr>
        <w:trPr>
          <w:cantSplit/>
        </w:trPr>
        <w:tc>
          <w:tcPr>
            <w:tcW w:type="dxa" w:w="3969"/>
            <w:vAlign w:val="center"/>
          </w:tcPr>
          <w:p>
            <w:pPr>
              <w:spacing w:after="0"/>
            </w:pPr>
            <w:r>
              <w:rPr>
                <w:rFonts w:ascii="游ゴシック" w:hAnsi="游ゴシック" w:eastAsia="游ゴシック"/>
                <w:b w:val="0"/>
                <w:sz w:val="19"/>
              </w:rPr>
              <w:t>改善率（区分Cのうち改善が確認できた割合）</w:t>
            </w:r>
          </w:p>
        </w:tc>
        <w:tc>
          <w:tcPr>
            <w:tcW w:type="dxa" w:w="1361"/>
            <w:vAlign w:val="center"/>
          </w:tcPr>
          <w:p>
            <w:pPr>
              <w:spacing w:after="0"/>
              <w:jc w:val="center"/>
            </w:pPr>
            <w:r>
              <w:rPr>
                <w:rFonts w:ascii="游ゴシック" w:hAnsi="游ゴシック" w:eastAsia="游ゴシック"/>
                <w:b w:val="0"/>
                <w:sz w:val="19"/>
              </w:rPr>
              <w:t>アウトカム</w:t>
            </w:r>
          </w:p>
        </w:tc>
        <w:tc>
          <w:tcPr>
            <w:tcW w:type="dxa" w:w="1474"/>
            <w:vAlign w:val="center"/>
          </w:tcPr>
          <w:p>
            <w:pPr>
              <w:spacing w:after="0"/>
              <w:jc w:val="center"/>
            </w:pPr>
            <w:r>
              <w:rPr>
                <w:rFonts w:ascii="游ゴシック" w:hAnsi="游ゴシック" w:eastAsia="游ゴシック"/>
                <w:b w:val="0"/>
                <w:sz w:val="19"/>
              </w:rPr>
              <w:t>80％</w:t>
            </w:r>
          </w:p>
        </w:tc>
        <w:tc>
          <w:tcPr>
            <w:tcW w:type="dxa" w:w="1474"/>
            <w:vAlign w:val="center"/>
          </w:tcPr>
          <w:p>
            <w:pPr>
              <w:spacing w:after="0"/>
              <w:jc w:val="center"/>
            </w:pPr>
            <w:r>
              <w:rPr>
                <w:rFonts w:ascii="游ゴシック" w:hAnsi="游ゴシック" w:eastAsia="游ゴシック"/>
                <w:b w:val="0"/>
                <w:sz w:val="19"/>
              </w:rPr>
              <w:t>85％</w:t>
            </w:r>
          </w:p>
        </w:tc>
        <w:tc>
          <w:tcPr>
            <w:tcW w:type="dxa" w:w="1474"/>
            <w:vAlign w:val="center"/>
          </w:tcPr>
          <w:p>
            <w:pPr>
              <w:spacing w:after="0"/>
              <w:jc w:val="center"/>
            </w:pPr>
            <w:r>
              <w:rPr>
                <w:rFonts w:ascii="游ゴシック" w:hAnsi="游ゴシック" w:eastAsia="游ゴシック"/>
                <w:b w:val="0"/>
                <w:sz w:val="19"/>
              </w:rPr>
              <w:t>90％</w:t>
            </w:r>
          </w:p>
        </w:tc>
      </w:tr>
      <w:tr>
        <w:trPr>
          <w:cantSplit/>
        </w:trPr>
        <w:tc>
          <w:tcPr>
            <w:tcW w:type="dxa" w:w="3969"/>
            <w:shd w:val="clear" w:color="auto" w:fill="F2F5FA"/>
            <w:vAlign w:val="center"/>
          </w:tcPr>
          <w:p>
            <w:pPr>
              <w:spacing w:after="0"/>
            </w:pPr>
            <w:r>
              <w:rPr>
                <w:rFonts w:ascii="游ゴシック" w:hAnsi="游ゴシック" w:eastAsia="游ゴシック"/>
                <w:b w:val="0"/>
                <w:sz w:val="19"/>
              </w:rPr>
              <w:t>再指摘率（前年度と同一の事項を再び指摘した割合）</w:t>
            </w:r>
          </w:p>
        </w:tc>
        <w:tc>
          <w:tcPr>
            <w:tcW w:type="dxa" w:w="1361"/>
            <w:shd w:val="clear" w:color="auto" w:fill="F2F5FA"/>
            <w:vAlign w:val="center"/>
          </w:tcPr>
          <w:p>
            <w:pPr>
              <w:spacing w:after="0"/>
              <w:jc w:val="center"/>
            </w:pPr>
            <w:r>
              <w:rPr>
                <w:rFonts w:ascii="游ゴシック" w:hAnsi="游ゴシック" w:eastAsia="游ゴシック"/>
                <w:b w:val="0"/>
                <w:sz w:val="19"/>
              </w:rPr>
              <w:t>アウトカム</w:t>
            </w:r>
          </w:p>
        </w:tc>
        <w:tc>
          <w:tcPr>
            <w:tcW w:type="dxa" w:w="1474"/>
            <w:shd w:val="clear" w:color="auto" w:fill="F2F5FA"/>
            <w:vAlign w:val="center"/>
          </w:tcPr>
          <w:p>
            <w:pPr>
              <w:spacing w:after="0"/>
              <w:jc w:val="center"/>
            </w:pPr>
            <w:r>
              <w:rPr>
                <w:rFonts w:ascii="游ゴシック" w:hAnsi="游ゴシック" w:eastAsia="游ゴシック"/>
                <w:b w:val="0"/>
                <w:sz w:val="19"/>
              </w:rPr>
              <w:t>―</w:t>
            </w:r>
          </w:p>
        </w:tc>
        <w:tc>
          <w:tcPr>
            <w:tcW w:type="dxa" w:w="1474"/>
            <w:shd w:val="clear" w:color="auto" w:fill="F2F5FA"/>
            <w:vAlign w:val="center"/>
          </w:tcPr>
          <w:p>
            <w:pPr>
              <w:spacing w:after="0"/>
              <w:jc w:val="center"/>
            </w:pPr>
            <w:r>
              <w:rPr>
                <w:rFonts w:ascii="游ゴシック" w:hAnsi="游ゴシック" w:eastAsia="游ゴシック"/>
                <w:b w:val="0"/>
                <w:sz w:val="19"/>
              </w:rPr>
              <w:t>20％以下</w:t>
            </w:r>
          </w:p>
        </w:tc>
        <w:tc>
          <w:tcPr>
            <w:tcW w:type="dxa" w:w="1474"/>
            <w:shd w:val="clear" w:color="auto" w:fill="F2F5FA"/>
            <w:vAlign w:val="center"/>
          </w:tcPr>
          <w:p>
            <w:pPr>
              <w:spacing w:after="0"/>
              <w:jc w:val="center"/>
            </w:pPr>
            <w:r>
              <w:rPr>
                <w:rFonts w:ascii="游ゴシック" w:hAnsi="游ゴシック" w:eastAsia="游ゴシック"/>
                <w:b w:val="0"/>
                <w:sz w:val="19"/>
              </w:rPr>
              <w:t>15％以下</w:t>
            </w:r>
          </w:p>
        </w:tc>
      </w:tr>
      <w:tr>
        <w:trPr>
          <w:cantSplit/>
        </w:trPr>
        <w:tc>
          <w:tcPr>
            <w:tcW w:type="dxa" w:w="3969"/>
            <w:vAlign w:val="center"/>
          </w:tcPr>
          <w:p>
            <w:pPr>
              <w:spacing w:after="0"/>
            </w:pPr>
            <w:r>
              <w:rPr>
                <w:rFonts w:ascii="游ゴシック" w:hAnsi="游ゴシック" w:eastAsia="游ゴシック"/>
                <w:b w:val="0"/>
                <w:sz w:val="19"/>
              </w:rPr>
              <w:t>主要3事業の実施率</w:t>
            </w:r>
          </w:p>
        </w:tc>
        <w:tc>
          <w:tcPr>
            <w:tcW w:type="dxa" w:w="1361"/>
            <w:vAlign w:val="center"/>
          </w:tcPr>
          <w:p>
            <w:pPr>
              <w:spacing w:after="0"/>
              <w:jc w:val="center"/>
            </w:pPr>
            <w:r>
              <w:rPr>
                <w:rFonts w:ascii="游ゴシック" w:hAnsi="游ゴシック" w:eastAsia="游ゴシック"/>
                <w:b w:val="0"/>
                <w:sz w:val="19"/>
              </w:rPr>
              <w:t>アウトカム</w:t>
            </w:r>
          </w:p>
        </w:tc>
        <w:tc>
          <w:tcPr>
            <w:tcW w:type="dxa" w:w="1474"/>
            <w:vAlign w:val="center"/>
          </w:tcPr>
          <w:p>
            <w:pPr>
              <w:spacing w:after="0"/>
              <w:jc w:val="center"/>
            </w:pPr>
            <w:r>
              <w:rPr>
                <w:rFonts w:ascii="游ゴシック" w:hAnsi="游ゴシック" w:eastAsia="游ゴシック"/>
                <w:b w:val="0"/>
                <w:sz w:val="19"/>
              </w:rPr>
              <w:t>100％</w:t>
            </w:r>
          </w:p>
        </w:tc>
        <w:tc>
          <w:tcPr>
            <w:tcW w:type="dxa" w:w="1474"/>
            <w:vAlign w:val="center"/>
          </w:tcPr>
          <w:p>
            <w:pPr>
              <w:spacing w:after="0"/>
              <w:jc w:val="center"/>
            </w:pPr>
            <w:r>
              <w:rPr>
                <w:rFonts w:ascii="游ゴシック" w:hAnsi="游ゴシック" w:eastAsia="游ゴシック"/>
                <w:b w:val="0"/>
                <w:sz w:val="19"/>
              </w:rPr>
              <w:t>100％</w:t>
            </w:r>
          </w:p>
        </w:tc>
        <w:tc>
          <w:tcPr>
            <w:tcW w:type="dxa" w:w="1474"/>
            <w:vAlign w:val="center"/>
          </w:tcPr>
          <w:p>
            <w:pPr>
              <w:spacing w:after="0"/>
              <w:jc w:val="center"/>
            </w:pPr>
            <w:r>
              <w:rPr>
                <w:rFonts w:ascii="游ゴシック" w:hAnsi="游ゴシック" w:eastAsia="游ゴシック"/>
                <w:b w:val="0"/>
                <w:sz w:val="19"/>
              </w:rPr>
              <w:t>100％</w:t>
            </w:r>
          </w:p>
        </w:tc>
      </w:tr>
    </w:tbl>
    <w:p>
      <w:pPr>
        <w:ind w:left="227"/>
      </w:pPr>
      <w:r>
        <w:rPr>
          <w:rFonts w:ascii="游ゴシック" w:hAnsi="游ゴシック" w:eastAsia="游ゴシック"/>
          <w:sz w:val="18"/>
        </w:rPr>
        <w:t>※ 改善率・再指摘率の目標値は受託者の案である。初年度の実績を見て、令和10年度に見直す。［要協議］</w:t>
      </w:r>
    </w:p>
    <w:p>
      <w:r>
        <w:rPr>
          <w:rFonts w:ascii="游ゴシック" w:hAnsi="游ゴシック" w:eastAsia="游ゴシック"/>
          <w:b w:val="0"/>
          <w:sz w:val="21"/>
        </w:rPr>
        <w:t>実施結果は、毎年度、策定委員会に報告して検証を受けたうえで、広域連合のホームページに掲載して公表する。公表は、評価指標の達成状況を含むものとする。</w:t>
      </w:r>
    </w:p>
    <w:p>
      <w:pPr>
        <w:keepNext/>
        <w:spacing w:before="280" w:after="120"/>
      </w:pPr>
      <w:r>
        <w:rPr>
          <w:rFonts w:ascii="游ゴシック" w:hAnsi="游ゴシック" w:eastAsia="游ゴシック"/>
          <w:b/>
          <w:color w:val="1F3864"/>
          <w:sz w:val="26"/>
        </w:rPr>
        <w:t>13　交付金の評価指標との対応</w:t>
      </w:r>
    </w:p>
    <w:p>
      <w:pPr>
        <w:keepNext/>
        <w:spacing w:before="160" w:after="40"/>
      </w:pPr>
      <w:r>
        <w:rPr>
          <w:rFonts w:ascii="游ゴシック" w:hAnsi="游ゴシック" w:eastAsia="游ゴシック"/>
          <w:b/>
          <w:sz w:val="20"/>
        </w:rPr>
        <w:t>表16　交付金の評価指標と本要領の対応（令和8年度評価指標・目標Ⅱ）</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9"/>
              </w:rPr>
              <w:t>評価指標</w:t>
            </w:r>
          </w:p>
        </w:tc>
        <w:tc>
          <w:tcPr>
            <w:tcW w:type="dxa" w:w="794"/>
            <w:shd w:val="clear" w:color="auto" w:fill="1F3864"/>
            <w:vAlign w:val="center"/>
          </w:tcPr>
          <w:p>
            <w:pPr>
              <w:spacing w:after="0"/>
              <w:jc w:val="center"/>
            </w:pPr>
            <w:r>
              <w:rPr>
                <w:rFonts w:ascii="游ゴシック" w:hAnsi="游ゴシック" w:eastAsia="游ゴシック"/>
                <w:b/>
                <w:color w:val="FFFFFF"/>
                <w:sz w:val="19"/>
              </w:rPr>
              <w:t>配点</w:t>
            </w:r>
          </w:p>
        </w:tc>
        <w:tc>
          <w:tcPr>
            <w:tcW w:type="dxa" w:w="1134"/>
            <w:shd w:val="clear" w:color="auto" w:fill="1F3864"/>
            <w:vAlign w:val="center"/>
          </w:tcPr>
          <w:p>
            <w:pPr>
              <w:spacing w:after="0"/>
              <w:jc w:val="center"/>
            </w:pPr>
            <w:r>
              <w:rPr>
                <w:rFonts w:ascii="游ゴシック" w:hAnsi="游ゴシック" w:eastAsia="游ゴシック"/>
                <w:b/>
                <w:color w:val="FFFFFF"/>
                <w:sz w:val="19"/>
              </w:rPr>
              <w:t>全国該当率</w:t>
            </w:r>
          </w:p>
        </w:tc>
        <w:tc>
          <w:tcPr>
            <w:tcW w:type="dxa" w:w="1474"/>
            <w:shd w:val="clear" w:color="auto" w:fill="1F3864"/>
            <w:vAlign w:val="center"/>
          </w:tcPr>
          <w:p>
            <w:pPr>
              <w:spacing w:after="0"/>
              <w:jc w:val="center"/>
            </w:pPr>
            <w:r>
              <w:rPr>
                <w:rFonts w:ascii="游ゴシック" w:hAnsi="游ゴシック" w:eastAsia="游ゴシック"/>
                <w:b/>
                <w:color w:val="FFFFFF"/>
                <w:sz w:val="19"/>
              </w:rPr>
              <w:t>3町の得点</w:t>
              <w:br/>
              <w:t>東川／美瑛／東神楽</w:t>
            </w:r>
          </w:p>
        </w:tc>
        <w:tc>
          <w:tcPr>
            <w:tcW w:type="dxa" w:w="3742"/>
            <w:shd w:val="clear" w:color="auto" w:fill="1F3864"/>
            <w:vAlign w:val="center"/>
          </w:tcPr>
          <w:p>
            <w:pPr>
              <w:spacing w:after="0"/>
              <w:jc w:val="center"/>
            </w:pPr>
            <w:r>
              <w:rPr>
                <w:rFonts w:ascii="游ゴシック" w:hAnsi="游ゴシック" w:eastAsia="游ゴシック"/>
                <w:b/>
                <w:color w:val="FFFFFF"/>
                <w:sz w:val="19"/>
              </w:rPr>
              <w:t>本要領での対応</w:t>
            </w:r>
          </w:p>
        </w:tc>
      </w:tr>
      <w:tr>
        <w:trPr>
          <w:cantSplit/>
        </w:trPr>
        <w:tc>
          <w:tcPr>
            <w:tcW w:type="dxa" w:w="2608"/>
            <w:vAlign w:val="center"/>
          </w:tcPr>
          <w:p>
            <w:pPr>
              <w:spacing w:after="0"/>
            </w:pPr>
            <w:r>
              <w:rPr>
                <w:rFonts w:ascii="游ゴシック" w:hAnsi="游ゴシック" w:eastAsia="游ゴシック"/>
                <w:b w:val="0"/>
                <w:sz w:val="19"/>
              </w:rPr>
              <w:t>方策 ア</w:t>
            </w:r>
          </w:p>
        </w:tc>
        <w:tc>
          <w:tcPr>
            <w:tcW w:type="dxa" w:w="794"/>
            <w:vAlign w:val="center"/>
          </w:tcPr>
          <w:p>
            <w:pPr>
              <w:spacing w:after="0"/>
              <w:jc w:val="center"/>
            </w:pPr>
            <w:r>
              <w:rPr>
                <w:rFonts w:ascii="游ゴシック" w:hAnsi="游ゴシック" w:eastAsia="游ゴシック"/>
                <w:b w:val="0"/>
                <w:sz w:val="19"/>
              </w:rPr>
              <w:t>8</w:t>
            </w:r>
          </w:p>
        </w:tc>
        <w:tc>
          <w:tcPr>
            <w:tcW w:type="dxa" w:w="1134"/>
            <w:vAlign w:val="center"/>
          </w:tcPr>
          <w:p>
            <w:pPr>
              <w:spacing w:after="0"/>
              <w:jc w:val="center"/>
            </w:pPr>
            <w:r>
              <w:rPr>
                <w:rFonts w:ascii="游ゴシック" w:hAnsi="游ゴシック" w:eastAsia="游ゴシック"/>
                <w:b w:val="0"/>
                <w:sz w:val="19"/>
              </w:rPr>
              <w:t>90.2％</w:t>
            </w:r>
          </w:p>
        </w:tc>
        <w:tc>
          <w:tcPr>
            <w:tcW w:type="dxa" w:w="1474"/>
            <w:vAlign w:val="center"/>
          </w:tcPr>
          <w:p>
            <w:pPr>
              <w:spacing w:after="0"/>
              <w:jc w:val="center"/>
            </w:pPr>
            <w:r>
              <w:rPr>
                <w:rFonts w:ascii="游ゴシック" w:hAnsi="游ゴシック" w:eastAsia="游ゴシック"/>
                <w:b w:val="0"/>
                <w:sz w:val="19"/>
              </w:rPr>
              <w:t>8／8／8</w:t>
            </w:r>
          </w:p>
        </w:tc>
        <w:tc>
          <w:tcPr>
            <w:tcW w:type="dxa" w:w="3742"/>
            <w:vAlign w:val="center"/>
          </w:tcPr>
          <w:p>
            <w:pPr>
              <w:spacing w:after="0"/>
            </w:pPr>
            <w:r>
              <w:rPr>
                <w:rFonts w:ascii="游ゴシック" w:hAnsi="游ゴシック" w:eastAsia="游ゴシック"/>
                <w:b w:val="0"/>
                <w:sz w:val="19"/>
              </w:rPr>
              <w:t>策定済み（第9期計画に記載）</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方策 イ</w:t>
            </w:r>
          </w:p>
        </w:tc>
        <w:tc>
          <w:tcPr>
            <w:tcW w:type="dxa" w:w="794"/>
            <w:shd w:val="clear" w:color="auto" w:fill="F2F5FA"/>
            <w:vAlign w:val="center"/>
          </w:tcPr>
          <w:p>
            <w:pPr>
              <w:spacing w:after="0"/>
              <w:jc w:val="center"/>
            </w:pPr>
            <w:r>
              <w:rPr>
                <w:rFonts w:ascii="游ゴシック" w:hAnsi="游ゴシック" w:eastAsia="游ゴシック"/>
                <w:b w:val="0"/>
                <w:sz w:val="19"/>
              </w:rPr>
              <w:t>8</w:t>
            </w:r>
          </w:p>
        </w:tc>
        <w:tc>
          <w:tcPr>
            <w:tcW w:type="dxa" w:w="1134"/>
            <w:shd w:val="clear" w:color="auto" w:fill="F2F5FA"/>
            <w:vAlign w:val="center"/>
          </w:tcPr>
          <w:p>
            <w:pPr>
              <w:spacing w:after="0"/>
              <w:jc w:val="center"/>
            </w:pPr>
            <w:r>
              <w:rPr>
                <w:rFonts w:ascii="游ゴシック" w:hAnsi="游ゴシック" w:eastAsia="游ゴシック"/>
                <w:b w:val="0"/>
                <w:sz w:val="19"/>
              </w:rPr>
              <w:t>85.3％</w:t>
            </w:r>
          </w:p>
        </w:tc>
        <w:tc>
          <w:tcPr>
            <w:tcW w:type="dxa" w:w="1474"/>
            <w:shd w:val="clear" w:color="auto" w:fill="F2F5FA"/>
            <w:vAlign w:val="center"/>
          </w:tcPr>
          <w:p>
            <w:pPr>
              <w:spacing w:after="0"/>
              <w:jc w:val="center"/>
            </w:pPr>
            <w:r>
              <w:rPr>
                <w:rFonts w:ascii="游ゴシック" w:hAnsi="游ゴシック" w:eastAsia="游ゴシック"/>
                <w:b w:val="0"/>
                <w:sz w:val="19"/>
              </w:rPr>
              <w:t>0／0／0</w:t>
            </w:r>
          </w:p>
        </w:tc>
        <w:tc>
          <w:tcPr>
            <w:tcW w:type="dxa" w:w="3742"/>
            <w:shd w:val="clear" w:color="auto" w:fill="F2F5FA"/>
            <w:vAlign w:val="center"/>
          </w:tcPr>
          <w:p>
            <w:pPr>
              <w:spacing w:after="0"/>
            </w:pPr>
            <w:r>
              <w:rPr>
                <w:rFonts w:ascii="游ゴシック" w:hAnsi="游ゴシック" w:eastAsia="游ゴシック"/>
                <w:b w:val="0"/>
                <w:sz w:val="19"/>
              </w:rPr>
              <w:t>第12節の評価指標により満たす</w:t>
            </w:r>
          </w:p>
        </w:tc>
      </w:tr>
      <w:tr>
        <w:trPr>
          <w:cantSplit/>
        </w:trPr>
        <w:tc>
          <w:tcPr>
            <w:tcW w:type="dxa" w:w="2608"/>
            <w:vAlign w:val="center"/>
          </w:tcPr>
          <w:p>
            <w:pPr>
              <w:spacing w:after="0"/>
            </w:pPr>
            <w:r>
              <w:rPr>
                <w:rFonts w:ascii="游ゴシック" w:hAnsi="游ゴシック" w:eastAsia="游ゴシック"/>
                <w:b w:val="0"/>
                <w:sz w:val="19"/>
              </w:rPr>
              <w:t>方策 ウ</w:t>
            </w:r>
          </w:p>
        </w:tc>
        <w:tc>
          <w:tcPr>
            <w:tcW w:type="dxa" w:w="794"/>
            <w:vAlign w:val="center"/>
          </w:tcPr>
          <w:p>
            <w:pPr>
              <w:spacing w:after="0"/>
              <w:jc w:val="center"/>
            </w:pPr>
            <w:r>
              <w:rPr>
                <w:rFonts w:ascii="游ゴシック" w:hAnsi="游ゴシック" w:eastAsia="游ゴシック"/>
                <w:b w:val="0"/>
                <w:sz w:val="19"/>
              </w:rPr>
              <w:t>8</w:t>
            </w:r>
          </w:p>
        </w:tc>
        <w:tc>
          <w:tcPr>
            <w:tcW w:type="dxa" w:w="1134"/>
            <w:vAlign w:val="center"/>
          </w:tcPr>
          <w:p>
            <w:pPr>
              <w:spacing w:after="0"/>
              <w:jc w:val="center"/>
            </w:pPr>
            <w:r>
              <w:rPr>
                <w:rFonts w:ascii="游ゴシック" w:hAnsi="游ゴシック" w:eastAsia="游ゴシック"/>
                <w:b w:val="0"/>
                <w:sz w:val="19"/>
              </w:rPr>
              <w:t>76.3％</w:t>
            </w:r>
          </w:p>
        </w:tc>
        <w:tc>
          <w:tcPr>
            <w:tcW w:type="dxa" w:w="1474"/>
            <w:vAlign w:val="center"/>
          </w:tcPr>
          <w:p>
            <w:pPr>
              <w:spacing w:after="0"/>
              <w:jc w:val="center"/>
            </w:pPr>
            <w:r>
              <w:rPr>
                <w:rFonts w:ascii="游ゴシック" w:hAnsi="游ゴシック" w:eastAsia="游ゴシック"/>
                <w:b w:val="0"/>
                <w:sz w:val="19"/>
              </w:rPr>
              <w:t>0／0／0</w:t>
            </w:r>
          </w:p>
        </w:tc>
        <w:tc>
          <w:tcPr>
            <w:tcW w:type="dxa" w:w="3742"/>
            <w:vAlign w:val="center"/>
          </w:tcPr>
          <w:p>
            <w:pPr>
              <w:spacing w:after="0"/>
            </w:pPr>
            <w:r>
              <w:rPr>
                <w:rFonts w:ascii="游ゴシック" w:hAnsi="游ゴシック" w:eastAsia="游ゴシック"/>
                <w:b w:val="0"/>
                <w:sz w:val="19"/>
              </w:rPr>
              <w:t>第6節の年間の工程（3月の取りまとめ）により満たす</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方策 エ</w:t>
            </w:r>
          </w:p>
        </w:tc>
        <w:tc>
          <w:tcPr>
            <w:tcW w:type="dxa" w:w="794"/>
            <w:shd w:val="clear" w:color="auto" w:fill="F2F5FA"/>
            <w:vAlign w:val="center"/>
          </w:tcPr>
          <w:p>
            <w:pPr>
              <w:spacing w:after="0"/>
              <w:jc w:val="center"/>
            </w:pPr>
            <w:r>
              <w:rPr>
                <w:rFonts w:ascii="游ゴシック" w:hAnsi="游ゴシック" w:eastAsia="游ゴシック"/>
                <w:b w:val="0"/>
                <w:sz w:val="19"/>
              </w:rPr>
              <w:t>8</w:t>
            </w:r>
          </w:p>
        </w:tc>
        <w:tc>
          <w:tcPr>
            <w:tcW w:type="dxa" w:w="1134"/>
            <w:shd w:val="clear" w:color="auto" w:fill="F2F5FA"/>
            <w:vAlign w:val="center"/>
          </w:tcPr>
          <w:p>
            <w:pPr>
              <w:spacing w:after="0"/>
              <w:jc w:val="center"/>
            </w:pPr>
            <w:r>
              <w:rPr>
                <w:rFonts w:ascii="游ゴシック" w:hAnsi="游ゴシック" w:eastAsia="游ゴシック"/>
                <w:b w:val="0"/>
                <w:sz w:val="19"/>
              </w:rPr>
              <w:t>62.1％</w:t>
            </w:r>
          </w:p>
        </w:tc>
        <w:tc>
          <w:tcPr>
            <w:tcW w:type="dxa" w:w="1474"/>
            <w:shd w:val="clear" w:color="auto" w:fill="F2F5FA"/>
            <w:vAlign w:val="center"/>
          </w:tcPr>
          <w:p>
            <w:pPr>
              <w:spacing w:after="0"/>
              <w:jc w:val="center"/>
            </w:pPr>
            <w:r>
              <w:rPr>
                <w:rFonts w:ascii="游ゴシック" w:hAnsi="游ゴシック" w:eastAsia="游ゴシック"/>
                <w:b w:val="0"/>
                <w:sz w:val="19"/>
              </w:rPr>
              <w:t>0／0／0</w:t>
            </w:r>
          </w:p>
        </w:tc>
        <w:tc>
          <w:tcPr>
            <w:tcW w:type="dxa" w:w="3742"/>
            <w:shd w:val="clear" w:color="auto" w:fill="F2F5FA"/>
            <w:vAlign w:val="center"/>
          </w:tcPr>
          <w:p>
            <w:pPr>
              <w:spacing w:after="0"/>
            </w:pPr>
            <w:r>
              <w:rPr>
                <w:rFonts w:ascii="游ゴシック" w:hAnsi="游ゴシック" w:eastAsia="游ゴシック"/>
                <w:b w:val="0"/>
                <w:sz w:val="19"/>
              </w:rPr>
              <w:t>第12節の公表により満たす</w:t>
            </w:r>
          </w:p>
        </w:tc>
      </w:tr>
      <w:tr>
        <w:trPr>
          <w:cantSplit/>
        </w:trPr>
        <w:tc>
          <w:tcPr>
            <w:tcW w:type="dxa" w:w="2608"/>
            <w:vAlign w:val="center"/>
          </w:tcPr>
          <w:p>
            <w:pPr>
              <w:spacing w:after="0"/>
            </w:pPr>
            <w:r>
              <w:rPr>
                <w:rFonts w:ascii="游ゴシック" w:hAnsi="游ゴシック" w:eastAsia="游ゴシック"/>
                <w:b w:val="0"/>
                <w:sz w:val="19"/>
              </w:rPr>
              <w:t>事業 ア</w:t>
            </w:r>
          </w:p>
        </w:tc>
        <w:tc>
          <w:tcPr>
            <w:tcW w:type="dxa" w:w="794"/>
            <w:vAlign w:val="center"/>
          </w:tcPr>
          <w:p>
            <w:pPr>
              <w:spacing w:after="0"/>
              <w:jc w:val="center"/>
            </w:pPr>
            <w:r>
              <w:rPr>
                <w:rFonts w:ascii="游ゴシック" w:hAnsi="游ゴシック" w:eastAsia="游ゴシック"/>
                <w:b w:val="0"/>
                <w:sz w:val="19"/>
              </w:rPr>
              <w:t>6</w:t>
            </w:r>
          </w:p>
        </w:tc>
        <w:tc>
          <w:tcPr>
            <w:tcW w:type="dxa" w:w="1134"/>
            <w:vAlign w:val="center"/>
          </w:tcPr>
          <w:p>
            <w:pPr>
              <w:spacing w:after="0"/>
              <w:jc w:val="center"/>
            </w:pPr>
            <w:r>
              <w:rPr>
                <w:rFonts w:ascii="游ゴシック" w:hAnsi="游ゴシック" w:eastAsia="游ゴシック"/>
                <w:b w:val="0"/>
                <w:sz w:val="19"/>
              </w:rPr>
              <w:t>96.9％</w:t>
            </w:r>
          </w:p>
        </w:tc>
        <w:tc>
          <w:tcPr>
            <w:tcW w:type="dxa" w:w="1474"/>
            <w:vAlign w:val="center"/>
          </w:tcPr>
          <w:p>
            <w:pPr>
              <w:spacing w:after="0"/>
              <w:jc w:val="center"/>
            </w:pPr>
            <w:r>
              <w:rPr>
                <w:rFonts w:ascii="游ゴシック" w:hAnsi="游ゴシック" w:eastAsia="游ゴシック"/>
                <w:b w:val="0"/>
                <w:sz w:val="19"/>
              </w:rPr>
              <w:t>0／0／0</w:t>
            </w:r>
          </w:p>
        </w:tc>
        <w:tc>
          <w:tcPr>
            <w:tcW w:type="dxa" w:w="3742"/>
            <w:vAlign w:val="center"/>
          </w:tcPr>
          <w:p>
            <w:pPr>
              <w:spacing w:after="0"/>
            </w:pPr>
            <w:r>
              <w:rPr>
                <w:rFonts w:ascii="游ゴシック" w:hAnsi="游ゴシック" w:eastAsia="游ゴシック"/>
                <w:b w:val="0"/>
                <w:sz w:val="19"/>
              </w:rPr>
              <w:t>本要領により主要3事業がそろう</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事業 イ ①</w:t>
            </w:r>
          </w:p>
        </w:tc>
        <w:tc>
          <w:tcPr>
            <w:tcW w:type="dxa" w:w="794"/>
            <w:shd w:val="clear" w:color="auto" w:fill="F2F5FA"/>
            <w:vAlign w:val="center"/>
          </w:tcPr>
          <w:p>
            <w:pPr>
              <w:spacing w:after="0"/>
              <w:jc w:val="center"/>
            </w:pPr>
            <w:r>
              <w:rPr>
                <w:rFonts w:ascii="游ゴシック" w:hAnsi="游ゴシック" w:eastAsia="游ゴシック"/>
                <w:b w:val="0"/>
                <w:sz w:val="19"/>
              </w:rPr>
              <w:t>2</w:t>
            </w:r>
          </w:p>
        </w:tc>
        <w:tc>
          <w:tcPr>
            <w:tcW w:type="dxa" w:w="1134"/>
            <w:shd w:val="clear" w:color="auto" w:fill="F2F5FA"/>
            <w:vAlign w:val="center"/>
          </w:tcPr>
          <w:p>
            <w:pPr>
              <w:spacing w:after="0"/>
              <w:jc w:val="center"/>
            </w:pPr>
            <w:r>
              <w:rPr>
                <w:rFonts w:ascii="游ゴシック" w:hAnsi="游ゴシック" w:eastAsia="游ゴシック"/>
                <w:b w:val="0"/>
                <w:sz w:val="19"/>
              </w:rPr>
              <w:t>97.4％</w:t>
            </w:r>
          </w:p>
        </w:tc>
        <w:tc>
          <w:tcPr>
            <w:tcW w:type="dxa" w:w="1474"/>
            <w:shd w:val="clear" w:color="auto" w:fill="F2F5FA"/>
            <w:vAlign w:val="center"/>
          </w:tcPr>
          <w:p>
            <w:pPr>
              <w:spacing w:after="0"/>
              <w:jc w:val="center"/>
            </w:pPr>
            <w:r>
              <w:rPr>
                <w:rFonts w:ascii="游ゴシック" w:hAnsi="游ゴシック" w:eastAsia="游ゴシック"/>
                <w:b w:val="0"/>
                <w:sz w:val="19"/>
              </w:rPr>
              <w:t>2／2／2</w:t>
            </w:r>
          </w:p>
        </w:tc>
        <w:tc>
          <w:tcPr>
            <w:tcW w:type="dxa" w:w="3742"/>
            <w:shd w:val="clear" w:color="auto" w:fill="F2F5FA"/>
            <w:vAlign w:val="center"/>
          </w:tcPr>
          <w:p>
            <w:pPr>
              <w:spacing w:after="0"/>
            </w:pPr>
            <w:r>
              <w:rPr>
                <w:rFonts w:ascii="游ゴシック" w:hAnsi="游ゴシック" w:eastAsia="游ゴシック"/>
                <w:b w:val="0"/>
                <w:sz w:val="19"/>
              </w:rPr>
              <w:t>実施済み（縦覧点検4帳票）</w:t>
            </w:r>
          </w:p>
        </w:tc>
      </w:tr>
      <w:tr>
        <w:trPr>
          <w:cantSplit/>
        </w:trPr>
        <w:tc>
          <w:tcPr>
            <w:tcW w:type="dxa" w:w="2608"/>
            <w:vAlign w:val="center"/>
          </w:tcPr>
          <w:p>
            <w:pPr>
              <w:spacing w:after="0"/>
            </w:pPr>
            <w:r>
              <w:rPr>
                <w:rFonts w:ascii="游ゴシック" w:hAnsi="游ゴシック" w:eastAsia="游ゴシック"/>
                <w:b w:val="0"/>
                <w:sz w:val="19"/>
              </w:rPr>
              <w:t>事業 ②</w:t>
            </w:r>
          </w:p>
        </w:tc>
        <w:tc>
          <w:tcPr>
            <w:tcW w:type="dxa" w:w="794"/>
            <w:vAlign w:val="center"/>
          </w:tcPr>
          <w:p>
            <w:pPr>
              <w:spacing w:after="0"/>
              <w:jc w:val="center"/>
            </w:pPr>
            <w:r>
              <w:rPr>
                <w:rFonts w:ascii="游ゴシック" w:hAnsi="游ゴシック" w:eastAsia="游ゴシック"/>
                <w:b w:val="0"/>
                <w:sz w:val="19"/>
              </w:rPr>
              <w:t>2</w:t>
            </w:r>
          </w:p>
        </w:tc>
        <w:tc>
          <w:tcPr>
            <w:tcW w:type="dxa" w:w="1134"/>
            <w:vAlign w:val="center"/>
          </w:tcPr>
          <w:p>
            <w:pPr>
              <w:spacing w:after="0"/>
              <w:jc w:val="center"/>
            </w:pPr>
            <w:r>
              <w:rPr>
                <w:rFonts w:ascii="游ゴシック" w:hAnsi="游ゴシック" w:eastAsia="游ゴシック"/>
                <w:b w:val="0"/>
                <w:sz w:val="19"/>
              </w:rPr>
              <w:t>95.9％</w:t>
            </w:r>
          </w:p>
        </w:tc>
        <w:tc>
          <w:tcPr>
            <w:tcW w:type="dxa" w:w="1474"/>
            <w:vAlign w:val="center"/>
          </w:tcPr>
          <w:p>
            <w:pPr>
              <w:spacing w:after="0"/>
              <w:jc w:val="center"/>
            </w:pPr>
            <w:r>
              <w:rPr>
                <w:rFonts w:ascii="游ゴシック" w:hAnsi="游ゴシック" w:eastAsia="游ゴシック"/>
                <w:b w:val="0"/>
                <w:sz w:val="19"/>
              </w:rPr>
              <w:t>2／2／2</w:t>
            </w:r>
          </w:p>
        </w:tc>
        <w:tc>
          <w:tcPr>
            <w:tcW w:type="dxa" w:w="3742"/>
            <w:vAlign w:val="center"/>
          </w:tcPr>
          <w:p>
            <w:pPr>
              <w:spacing w:after="0"/>
            </w:pPr>
            <w:r>
              <w:rPr>
                <w:rFonts w:ascii="游ゴシック" w:hAnsi="游ゴシック" w:eastAsia="游ゴシック"/>
                <w:b w:val="0"/>
                <w:sz w:val="19"/>
              </w:rPr>
              <w:t>実施済み（縦覧点検4帳票）</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事業 ③</w:t>
            </w:r>
          </w:p>
        </w:tc>
        <w:tc>
          <w:tcPr>
            <w:tcW w:type="dxa" w:w="794"/>
            <w:shd w:val="clear" w:color="auto" w:fill="F2F5FA"/>
            <w:vAlign w:val="center"/>
          </w:tcPr>
          <w:p>
            <w:pPr>
              <w:spacing w:after="0"/>
              <w:jc w:val="center"/>
            </w:pPr>
            <w:r>
              <w:rPr>
                <w:rFonts w:ascii="游ゴシック" w:hAnsi="游ゴシック" w:eastAsia="游ゴシック"/>
                <w:b w:val="0"/>
                <w:sz w:val="19"/>
              </w:rPr>
              <w:t>2</w:t>
            </w:r>
          </w:p>
        </w:tc>
        <w:tc>
          <w:tcPr>
            <w:tcW w:type="dxa" w:w="1134"/>
            <w:shd w:val="clear" w:color="auto" w:fill="F2F5FA"/>
            <w:vAlign w:val="center"/>
          </w:tcPr>
          <w:p>
            <w:pPr>
              <w:spacing w:after="0"/>
              <w:jc w:val="center"/>
            </w:pPr>
            <w:r>
              <w:rPr>
                <w:rFonts w:ascii="游ゴシック" w:hAnsi="游ゴシック" w:eastAsia="游ゴシック"/>
                <w:b w:val="0"/>
                <w:sz w:val="19"/>
              </w:rPr>
              <w:t>91.7％</w:t>
            </w:r>
          </w:p>
        </w:tc>
        <w:tc>
          <w:tcPr>
            <w:tcW w:type="dxa" w:w="1474"/>
            <w:shd w:val="clear" w:color="auto" w:fill="F2F5FA"/>
            <w:vAlign w:val="center"/>
          </w:tcPr>
          <w:p>
            <w:pPr>
              <w:spacing w:after="0"/>
              <w:jc w:val="center"/>
            </w:pPr>
            <w:r>
              <w:rPr>
                <w:rFonts w:ascii="游ゴシック" w:hAnsi="游ゴシック" w:eastAsia="游ゴシック"/>
                <w:b w:val="0"/>
                <w:sz w:val="19"/>
              </w:rPr>
              <w:t>2／2／2</w:t>
            </w:r>
          </w:p>
        </w:tc>
        <w:tc>
          <w:tcPr>
            <w:tcW w:type="dxa" w:w="3742"/>
            <w:shd w:val="clear" w:color="auto" w:fill="F2F5FA"/>
            <w:vAlign w:val="center"/>
          </w:tcPr>
          <w:p>
            <w:pPr>
              <w:spacing w:after="0"/>
            </w:pPr>
            <w:r>
              <w:rPr>
                <w:rFonts w:ascii="游ゴシック" w:hAnsi="游ゴシック" w:eastAsia="游ゴシック"/>
                <w:b w:val="0"/>
                <w:sz w:val="19"/>
              </w:rPr>
              <w:t>実施済み（縦覧点検4帳票）</w:t>
            </w:r>
          </w:p>
        </w:tc>
      </w:tr>
      <w:tr>
        <w:trPr>
          <w:cantSplit/>
        </w:trPr>
        <w:tc>
          <w:tcPr>
            <w:tcW w:type="dxa" w:w="2608"/>
            <w:vAlign w:val="center"/>
          </w:tcPr>
          <w:p>
            <w:pPr>
              <w:spacing w:after="0"/>
            </w:pPr>
            <w:r>
              <w:rPr>
                <w:rFonts w:ascii="游ゴシック" w:hAnsi="游ゴシック" w:eastAsia="游ゴシック"/>
                <w:b w:val="0"/>
                <w:sz w:val="19"/>
              </w:rPr>
              <w:t>事業 ウ</w:t>
            </w:r>
          </w:p>
        </w:tc>
        <w:tc>
          <w:tcPr>
            <w:tcW w:type="dxa" w:w="794"/>
            <w:vAlign w:val="center"/>
          </w:tcPr>
          <w:p>
            <w:pPr>
              <w:spacing w:after="0"/>
              <w:jc w:val="center"/>
            </w:pPr>
            <w:r>
              <w:rPr>
                <w:rFonts w:ascii="游ゴシック" w:hAnsi="游ゴシック" w:eastAsia="游ゴシック"/>
                <w:b w:val="0"/>
                <w:sz w:val="19"/>
              </w:rPr>
              <w:t>8</w:t>
            </w:r>
          </w:p>
        </w:tc>
        <w:tc>
          <w:tcPr>
            <w:tcW w:type="dxa" w:w="1134"/>
            <w:vAlign w:val="center"/>
          </w:tcPr>
          <w:p>
            <w:pPr>
              <w:spacing w:after="0"/>
              <w:jc w:val="center"/>
            </w:pPr>
            <w:r>
              <w:rPr>
                <w:rFonts w:ascii="游ゴシック" w:hAnsi="游ゴシック" w:eastAsia="游ゴシック"/>
                <w:b w:val="0"/>
                <w:sz w:val="19"/>
              </w:rPr>
              <w:t>61.3％</w:t>
            </w:r>
          </w:p>
        </w:tc>
        <w:tc>
          <w:tcPr>
            <w:tcW w:type="dxa" w:w="1474"/>
            <w:vAlign w:val="center"/>
          </w:tcPr>
          <w:p>
            <w:pPr>
              <w:spacing w:after="0"/>
              <w:jc w:val="center"/>
            </w:pPr>
            <w:r>
              <w:rPr>
                <w:rFonts w:ascii="游ゴシック" w:hAnsi="游ゴシック" w:eastAsia="游ゴシック"/>
                <w:b w:val="0"/>
                <w:sz w:val="19"/>
              </w:rPr>
              <w:t>0／0／0</w:t>
            </w:r>
          </w:p>
        </w:tc>
        <w:tc>
          <w:tcPr>
            <w:tcW w:type="dxa" w:w="3742"/>
            <w:vAlign w:val="center"/>
          </w:tcPr>
          <w:p>
            <w:pPr>
              <w:spacing w:after="0"/>
            </w:pPr>
            <w:r>
              <w:rPr>
                <w:rFonts w:ascii="游ゴシック" w:hAnsi="游ゴシック" w:eastAsia="游ゴシック"/>
                <w:b w:val="0"/>
                <w:sz w:val="19"/>
              </w:rPr>
              <w:t>第9節により満たす</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事業 エ</w:t>
            </w:r>
          </w:p>
        </w:tc>
        <w:tc>
          <w:tcPr>
            <w:tcW w:type="dxa" w:w="794"/>
            <w:shd w:val="clear" w:color="auto" w:fill="F2F5FA"/>
            <w:vAlign w:val="center"/>
          </w:tcPr>
          <w:p>
            <w:pPr>
              <w:spacing w:after="0"/>
              <w:jc w:val="center"/>
            </w:pPr>
            <w:r>
              <w:rPr>
                <w:rFonts w:ascii="游ゴシック" w:hAnsi="游ゴシック" w:eastAsia="游ゴシック"/>
                <w:b w:val="0"/>
                <w:sz w:val="19"/>
              </w:rPr>
              <w:t>8</w:t>
            </w:r>
          </w:p>
        </w:tc>
        <w:tc>
          <w:tcPr>
            <w:tcW w:type="dxa" w:w="1134"/>
            <w:shd w:val="clear" w:color="auto" w:fill="F2F5FA"/>
            <w:vAlign w:val="center"/>
          </w:tcPr>
          <w:p>
            <w:pPr>
              <w:spacing w:after="0"/>
              <w:jc w:val="center"/>
            </w:pPr>
            <w:r>
              <w:rPr>
                <w:rFonts w:ascii="游ゴシック" w:hAnsi="游ゴシック" w:eastAsia="游ゴシック"/>
                <w:b w:val="0"/>
                <w:sz w:val="19"/>
              </w:rPr>
              <w:t>47.3％</w:t>
            </w:r>
          </w:p>
        </w:tc>
        <w:tc>
          <w:tcPr>
            <w:tcW w:type="dxa" w:w="1474"/>
            <w:shd w:val="clear" w:color="auto" w:fill="F2F5FA"/>
            <w:vAlign w:val="center"/>
          </w:tcPr>
          <w:p>
            <w:pPr>
              <w:spacing w:after="0"/>
              <w:jc w:val="center"/>
            </w:pPr>
            <w:r>
              <w:rPr>
                <w:rFonts w:ascii="游ゴシック" w:hAnsi="游ゴシック" w:eastAsia="游ゴシック"/>
                <w:b w:val="0"/>
                <w:sz w:val="19"/>
              </w:rPr>
              <w:t>0／8／0</w:t>
            </w:r>
          </w:p>
        </w:tc>
        <w:tc>
          <w:tcPr>
            <w:tcW w:type="dxa" w:w="3742"/>
            <w:shd w:val="clear" w:color="auto" w:fill="F2F5FA"/>
            <w:vAlign w:val="center"/>
          </w:tcPr>
          <w:p>
            <w:pPr>
              <w:spacing w:after="0"/>
            </w:pPr>
            <w:r>
              <w:rPr>
                <w:rFonts w:ascii="游ゴシック" w:hAnsi="游ゴシック" w:eastAsia="游ゴシック"/>
                <w:b w:val="0"/>
                <w:sz w:val="19"/>
              </w:rPr>
              <w:t>第10節により満たす</w:t>
            </w:r>
          </w:p>
        </w:tc>
      </w:tr>
      <w:tr>
        <w:trPr>
          <w:cantSplit/>
        </w:trPr>
        <w:tc>
          <w:tcPr>
            <w:tcW w:type="dxa" w:w="2608"/>
            <w:vAlign w:val="center"/>
          </w:tcPr>
          <w:p>
            <w:pPr>
              <w:spacing w:after="0"/>
            </w:pPr>
            <w:r>
              <w:rPr>
                <w:rFonts w:ascii="游ゴシック" w:hAnsi="游ゴシック" w:eastAsia="游ゴシック"/>
                <w:b w:val="0"/>
                <w:sz w:val="19"/>
              </w:rPr>
              <w:t>事業 オ</w:t>
            </w:r>
          </w:p>
        </w:tc>
        <w:tc>
          <w:tcPr>
            <w:tcW w:type="dxa" w:w="794"/>
            <w:vAlign w:val="center"/>
          </w:tcPr>
          <w:p>
            <w:pPr>
              <w:spacing w:after="0"/>
              <w:jc w:val="center"/>
            </w:pPr>
            <w:r>
              <w:rPr>
                <w:rFonts w:ascii="游ゴシック" w:hAnsi="游ゴシック" w:eastAsia="游ゴシック"/>
                <w:b w:val="0"/>
                <w:sz w:val="19"/>
              </w:rPr>
              <w:t>8</w:t>
            </w:r>
          </w:p>
        </w:tc>
        <w:tc>
          <w:tcPr>
            <w:tcW w:type="dxa" w:w="1134"/>
            <w:vAlign w:val="center"/>
          </w:tcPr>
          <w:p>
            <w:pPr>
              <w:spacing w:after="0"/>
              <w:jc w:val="center"/>
            </w:pPr>
            <w:r>
              <w:rPr>
                <w:rFonts w:ascii="游ゴシック" w:hAnsi="游ゴシック" w:eastAsia="游ゴシック"/>
                <w:b w:val="0"/>
                <w:sz w:val="19"/>
              </w:rPr>
              <w:t>65.1％</w:t>
            </w:r>
          </w:p>
        </w:tc>
        <w:tc>
          <w:tcPr>
            <w:tcW w:type="dxa" w:w="1474"/>
            <w:vAlign w:val="center"/>
          </w:tcPr>
          <w:p>
            <w:pPr>
              <w:spacing w:after="0"/>
              <w:jc w:val="center"/>
            </w:pPr>
            <w:r>
              <w:rPr>
                <w:rFonts w:ascii="游ゴシック" w:hAnsi="游ゴシック" w:eastAsia="游ゴシック"/>
                <w:b w:val="0"/>
                <w:sz w:val="19"/>
              </w:rPr>
              <w:t>0／8／8</w:t>
            </w:r>
          </w:p>
        </w:tc>
        <w:tc>
          <w:tcPr>
            <w:tcW w:type="dxa" w:w="3742"/>
            <w:vAlign w:val="center"/>
          </w:tcPr>
          <w:p>
            <w:pPr>
              <w:spacing w:after="0"/>
            </w:pPr>
            <w:r>
              <w:rPr>
                <w:rFonts w:ascii="游ゴシック" w:hAnsi="游ゴシック" w:eastAsia="游ゴシック"/>
                <w:b w:val="0"/>
                <w:sz w:val="19"/>
              </w:rPr>
              <w:t>第10節により満たす</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活動 ケアプラン点検の実施割合（ア〜エ）</w:t>
            </w:r>
          </w:p>
        </w:tc>
        <w:tc>
          <w:tcPr>
            <w:tcW w:type="dxa" w:w="794"/>
            <w:shd w:val="clear" w:color="auto" w:fill="F2F5FA"/>
            <w:vAlign w:val="center"/>
          </w:tcPr>
          <w:p>
            <w:pPr>
              <w:spacing w:after="0"/>
              <w:jc w:val="center"/>
            </w:pPr>
            <w:r>
              <w:rPr>
                <w:rFonts w:ascii="游ゴシック" w:hAnsi="游ゴシック" w:eastAsia="游ゴシック"/>
                <w:b w:val="0"/>
                <w:sz w:val="19"/>
              </w:rPr>
              <w:t>16</w:t>
            </w:r>
          </w:p>
        </w:tc>
        <w:tc>
          <w:tcPr>
            <w:tcW w:type="dxa" w:w="1134"/>
            <w:shd w:val="clear" w:color="auto" w:fill="F2F5FA"/>
            <w:vAlign w:val="center"/>
          </w:tcPr>
          <w:p>
            <w:pPr>
              <w:spacing w:after="0"/>
              <w:jc w:val="center"/>
            </w:pPr>
            <w:r>
              <w:rPr>
                <w:rFonts w:ascii="游ゴシック" w:hAnsi="游ゴシック" w:eastAsia="游ゴシック"/>
                <w:b w:val="0"/>
                <w:sz w:val="19"/>
              </w:rPr>
              <w:t>10.1〜70.0％</w:t>
            </w:r>
          </w:p>
        </w:tc>
        <w:tc>
          <w:tcPr>
            <w:tcW w:type="dxa" w:w="1474"/>
            <w:shd w:val="clear" w:color="auto" w:fill="F2F5FA"/>
            <w:vAlign w:val="center"/>
          </w:tcPr>
          <w:p>
            <w:pPr>
              <w:spacing w:after="0"/>
              <w:jc w:val="center"/>
            </w:pPr>
            <w:r>
              <w:rPr>
                <w:rFonts w:ascii="游ゴシック" w:hAnsi="游ゴシック" w:eastAsia="游ゴシック"/>
                <w:b w:val="0"/>
                <w:sz w:val="19"/>
              </w:rPr>
              <w:t>0／0／0</w:t>
            </w:r>
          </w:p>
        </w:tc>
        <w:tc>
          <w:tcPr>
            <w:tcW w:type="dxa" w:w="3742"/>
            <w:shd w:val="clear" w:color="auto" w:fill="F2F5FA"/>
            <w:vAlign w:val="center"/>
          </w:tcPr>
          <w:p>
            <w:pPr>
              <w:spacing w:after="0"/>
            </w:pPr>
            <w:r>
              <w:rPr>
                <w:rFonts w:ascii="游ゴシック" w:hAnsi="游ゴシック" w:eastAsia="游ゴシック"/>
                <w:b w:val="0"/>
                <w:sz w:val="19"/>
              </w:rPr>
              <w:t>第7節の件数により実施割合が算定される</w:t>
            </w:r>
          </w:p>
        </w:tc>
      </w:tr>
    </w:tbl>
    <w:p>
      <w:pPr>
        <w:spacing w:before="40"/>
        <w:jc w:val="right"/>
      </w:pPr>
      <w:r>
        <w:rPr>
          <w:rFonts w:ascii="游ゴシック" w:hAnsi="游ゴシック" w:eastAsia="游ゴシック"/>
          <w:sz w:val="17"/>
        </w:rPr>
        <w:t>資料：令和8年度 保険者機能強化推進交付金等に係る評価指標及び評価結果（厚生労働省公表資料）</w:t>
      </w:r>
    </w:p>
    <w:p>
      <w:r>
        <w:rPr>
          <w:rFonts w:ascii="游ゴシック" w:hAnsi="游ゴシック" w:eastAsia="游ゴシック"/>
          <w:b w:val="0"/>
          <w:sz w:val="21"/>
        </w:rPr>
        <w:t>本要領により対応する項目のうち、東川町が令和8年度に0点である項目の配点は合計70点である。美瑛町・東神楽町は事業エ・オの一部をすでに取得している。</w:t>
      </w:r>
    </w:p>
    <w:p>
      <w:pPr>
        <w:keepNext/>
        <w:spacing w:before="280" w:after="120"/>
      </w:pPr>
      <w:r>
        <w:rPr>
          <w:rFonts w:ascii="游ゴシック" w:hAnsi="游ゴシック" w:eastAsia="游ゴシック"/>
          <w:b/>
          <w:color w:val="1F3864"/>
          <w:sz w:val="26"/>
        </w:rPr>
        <w:t>14　確定を要する事項</w:t>
      </w:r>
    </w:p>
    <w:p>
      <w:pPr>
        <w:keepNext/>
        <w:spacing w:before="160" w:after="40"/>
      </w:pPr>
      <w:r>
        <w:rPr>
          <w:rFonts w:ascii="游ゴシック" w:hAnsi="游ゴシック" w:eastAsia="游ゴシック"/>
          <w:b/>
          <w:sz w:val="20"/>
        </w:rPr>
        <w:t>表17　確定を要する事項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680"/>
            <w:shd w:val="clear" w:color="auto" w:fill="1F3864"/>
            <w:vAlign w:val="center"/>
          </w:tcPr>
          <w:p>
            <w:pPr>
              <w:spacing w:after="0"/>
              <w:jc w:val="center"/>
            </w:pPr>
            <w:r>
              <w:rPr>
                <w:rFonts w:ascii="游ゴシック" w:hAnsi="游ゴシック" w:eastAsia="游ゴシック"/>
                <w:b/>
                <w:color w:val="FFFFFF"/>
                <w:sz w:val="19"/>
              </w:rPr>
              <w:t>No.</w:t>
            </w:r>
          </w:p>
        </w:tc>
        <w:tc>
          <w:tcPr>
            <w:tcW w:type="dxa" w:w="3175"/>
            <w:shd w:val="clear" w:color="auto" w:fill="1F3864"/>
            <w:vAlign w:val="center"/>
          </w:tcPr>
          <w:p>
            <w:pPr>
              <w:spacing w:after="0"/>
              <w:jc w:val="center"/>
            </w:pPr>
            <w:r>
              <w:rPr>
                <w:rFonts w:ascii="游ゴシック" w:hAnsi="游ゴシック" w:eastAsia="游ゴシック"/>
                <w:b/>
                <w:color w:val="FFFFFF"/>
                <w:sz w:val="19"/>
              </w:rPr>
              <w:t>事項</w:t>
            </w:r>
          </w:p>
        </w:tc>
        <w:tc>
          <w:tcPr>
            <w:tcW w:type="dxa" w:w="1701"/>
            <w:shd w:val="clear" w:color="auto" w:fill="1F3864"/>
            <w:vAlign w:val="center"/>
          </w:tcPr>
          <w:p>
            <w:pPr>
              <w:spacing w:after="0"/>
              <w:jc w:val="center"/>
            </w:pPr>
            <w:r>
              <w:rPr>
                <w:rFonts w:ascii="游ゴシック" w:hAnsi="游ゴシック" w:eastAsia="游ゴシック"/>
                <w:b/>
                <w:color w:val="FFFFFF"/>
                <w:sz w:val="19"/>
              </w:rPr>
              <w:t>確認先</w:t>
            </w:r>
          </w:p>
        </w:tc>
        <w:tc>
          <w:tcPr>
            <w:tcW w:type="dxa" w:w="4195"/>
            <w:shd w:val="clear" w:color="auto" w:fill="1F3864"/>
            <w:vAlign w:val="center"/>
          </w:tcPr>
          <w:p>
            <w:pPr>
              <w:spacing w:after="0"/>
              <w:jc w:val="center"/>
            </w:pPr>
            <w:r>
              <w:rPr>
                <w:rFonts w:ascii="游ゴシック" w:hAnsi="游ゴシック" w:eastAsia="游ゴシック"/>
                <w:b/>
                <w:color w:val="FFFFFF"/>
                <w:sz w:val="19"/>
              </w:rPr>
              <w:t>本要領での扱い</w:t>
            </w:r>
          </w:p>
        </w:tc>
      </w:tr>
      <w:tr>
        <w:trPr>
          <w:cantSplit/>
        </w:trPr>
        <w:tc>
          <w:tcPr>
            <w:tcW w:type="dxa" w:w="680"/>
            <w:vAlign w:val="center"/>
          </w:tcPr>
          <w:p>
            <w:pPr>
              <w:spacing w:after="0"/>
              <w:jc w:val="center"/>
            </w:pPr>
            <w:r>
              <w:rPr>
                <w:rFonts w:ascii="游ゴシック" w:hAnsi="游ゴシック" w:eastAsia="游ゴシック"/>
                <w:b w:val="0"/>
                <w:sz w:val="19"/>
              </w:rPr>
              <w:t>1</w:t>
            </w:r>
          </w:p>
        </w:tc>
        <w:tc>
          <w:tcPr>
            <w:tcW w:type="dxa" w:w="3175"/>
            <w:vAlign w:val="center"/>
          </w:tcPr>
          <w:p>
            <w:pPr>
              <w:spacing w:after="0"/>
            </w:pPr>
            <w:r>
              <w:rPr>
                <w:rFonts w:ascii="游ゴシック" w:hAnsi="游ゴシック" w:eastAsia="游ゴシック"/>
                <w:b w:val="0"/>
                <w:sz w:val="19"/>
              </w:rPr>
              <w:t>初年度の点検件数の目安（1事業所あたり4人・1人6か月分・計264件でよいか）</w:t>
            </w:r>
          </w:p>
        </w:tc>
        <w:tc>
          <w:tcPr>
            <w:tcW w:type="dxa" w:w="1701"/>
            <w:vAlign w:val="center"/>
          </w:tcPr>
          <w:p>
            <w:pPr>
              <w:spacing w:after="0"/>
            </w:pPr>
            <w:r>
              <w:rPr>
                <w:rFonts w:ascii="游ゴシック" w:hAnsi="游ゴシック" w:eastAsia="游ゴシック"/>
                <w:b w:val="0"/>
                <w:sz w:val="19"/>
              </w:rPr>
              <w:t>発注者・3町</w:t>
            </w:r>
          </w:p>
        </w:tc>
        <w:tc>
          <w:tcPr>
            <w:tcW w:type="dxa" w:w="4195"/>
            <w:vAlign w:val="center"/>
          </w:tcPr>
          <w:p>
            <w:pPr>
              <w:spacing w:after="0"/>
            </w:pPr>
            <w:r>
              <w:rPr>
                <w:rFonts w:ascii="游ゴシック" w:hAnsi="游ゴシック" w:eastAsia="游ゴシック"/>
                <w:b w:val="0"/>
                <w:sz w:val="19"/>
              </w:rPr>
              <w:t>受託者案を記載。策定委員会でご協議いただく</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9"/>
              </w:rPr>
              <w:t>2</w:t>
            </w:r>
          </w:p>
        </w:tc>
        <w:tc>
          <w:tcPr>
            <w:tcW w:type="dxa" w:w="3175"/>
            <w:shd w:val="clear" w:color="auto" w:fill="F2F5FA"/>
            <w:vAlign w:val="center"/>
          </w:tcPr>
          <w:p>
            <w:pPr>
              <w:spacing w:after="0"/>
            </w:pPr>
            <w:r>
              <w:rPr>
                <w:rFonts w:ascii="游ゴシック" w:hAnsi="游ゴシック" w:eastAsia="游ゴシック"/>
                <w:b w:val="0"/>
                <w:sz w:val="19"/>
              </w:rPr>
              <w:t>要介護認定の適正化の実施状況</w:t>
            </w:r>
          </w:p>
        </w:tc>
        <w:tc>
          <w:tcPr>
            <w:tcW w:type="dxa" w:w="1701"/>
            <w:shd w:val="clear" w:color="auto" w:fill="F2F5FA"/>
            <w:vAlign w:val="center"/>
          </w:tcPr>
          <w:p>
            <w:pPr>
              <w:spacing w:after="0"/>
            </w:pPr>
            <w:r>
              <w:rPr>
                <w:rFonts w:ascii="游ゴシック" w:hAnsi="游ゴシック" w:eastAsia="游ゴシック"/>
                <w:b w:val="0"/>
                <w:sz w:val="19"/>
              </w:rPr>
              <w:t>発注者・3町</w:t>
            </w:r>
          </w:p>
        </w:tc>
        <w:tc>
          <w:tcPr>
            <w:tcW w:type="dxa" w:w="4195"/>
            <w:shd w:val="clear" w:color="auto" w:fill="F2F5FA"/>
            <w:vAlign w:val="center"/>
          </w:tcPr>
          <w:p>
            <w:pPr>
              <w:spacing w:after="0"/>
            </w:pPr>
            <w:r>
              <w:rPr>
                <w:rFonts w:ascii="游ゴシック" w:hAnsi="游ゴシック" w:eastAsia="游ゴシック"/>
                <w:b w:val="0"/>
                <w:sz w:val="19"/>
              </w:rPr>
              <w:t>主要3事業のひとつであるが、国の評価に単独の項目がなく公表資料からは確認できない。第1節の表で［要確認］としている</w:t>
            </w:r>
          </w:p>
        </w:tc>
      </w:tr>
      <w:tr>
        <w:trPr>
          <w:cantSplit/>
        </w:trPr>
        <w:tc>
          <w:tcPr>
            <w:tcW w:type="dxa" w:w="680"/>
            <w:vAlign w:val="center"/>
          </w:tcPr>
          <w:p>
            <w:pPr>
              <w:spacing w:after="0"/>
              <w:jc w:val="center"/>
            </w:pPr>
            <w:r>
              <w:rPr>
                <w:rFonts w:ascii="游ゴシック" w:hAnsi="游ゴシック" w:eastAsia="游ゴシック"/>
                <w:b w:val="0"/>
                <w:sz w:val="19"/>
              </w:rPr>
              <w:t>3</w:t>
            </w:r>
          </w:p>
        </w:tc>
        <w:tc>
          <w:tcPr>
            <w:tcW w:type="dxa" w:w="3175"/>
            <w:vAlign w:val="center"/>
          </w:tcPr>
          <w:p>
            <w:pPr>
              <w:spacing w:after="0"/>
            </w:pPr>
            <w:r>
              <w:rPr>
                <w:rFonts w:ascii="游ゴシック" w:hAnsi="游ゴシック" w:eastAsia="游ゴシック"/>
                <w:b w:val="0"/>
                <w:sz w:val="19"/>
              </w:rPr>
              <w:t>美瑛町の2事業所（社会資源一覧に掲載がないもの）の指定の状況</w:t>
            </w:r>
          </w:p>
        </w:tc>
        <w:tc>
          <w:tcPr>
            <w:tcW w:type="dxa" w:w="1701"/>
            <w:vAlign w:val="center"/>
          </w:tcPr>
          <w:p>
            <w:pPr>
              <w:spacing w:after="0"/>
            </w:pPr>
            <w:r>
              <w:rPr>
                <w:rFonts w:ascii="游ゴシック" w:hAnsi="游ゴシック" w:eastAsia="游ゴシック"/>
                <w:b w:val="0"/>
                <w:sz w:val="19"/>
              </w:rPr>
              <w:t>美瑛町</w:t>
            </w:r>
          </w:p>
        </w:tc>
        <w:tc>
          <w:tcPr>
            <w:tcW w:type="dxa" w:w="4195"/>
            <w:vAlign w:val="center"/>
          </w:tcPr>
          <w:p>
            <w:pPr>
              <w:spacing w:after="0"/>
            </w:pPr>
            <w:r>
              <w:rPr>
                <w:rFonts w:ascii="游ゴシック" w:hAnsi="游ゴシック" w:eastAsia="游ゴシック"/>
                <w:b w:val="0"/>
                <w:sz w:val="19"/>
              </w:rPr>
              <w:t>第3節の注記のとおり、確認のうえ対象に加える</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9"/>
              </w:rPr>
              <w:t>4</w:t>
            </w:r>
          </w:p>
        </w:tc>
        <w:tc>
          <w:tcPr>
            <w:tcW w:type="dxa" w:w="3175"/>
            <w:shd w:val="clear" w:color="auto" w:fill="F2F5FA"/>
            <w:vAlign w:val="center"/>
          </w:tcPr>
          <w:p>
            <w:pPr>
              <w:spacing w:after="0"/>
            </w:pPr>
            <w:r>
              <w:rPr>
                <w:rFonts w:ascii="游ゴシック" w:hAnsi="游ゴシック" w:eastAsia="游ゴシック"/>
                <w:b w:val="0"/>
                <w:sz w:val="19"/>
              </w:rPr>
              <w:t>北海道による有料老人ホーム等の家賃等の情報収集の状況</w:t>
            </w:r>
          </w:p>
        </w:tc>
        <w:tc>
          <w:tcPr>
            <w:tcW w:type="dxa" w:w="1701"/>
            <w:shd w:val="clear" w:color="auto" w:fill="F2F5FA"/>
            <w:vAlign w:val="center"/>
          </w:tcPr>
          <w:p>
            <w:pPr>
              <w:spacing w:after="0"/>
            </w:pPr>
            <w:r>
              <w:rPr>
                <w:rFonts w:ascii="游ゴシック" w:hAnsi="游ゴシック" w:eastAsia="游ゴシック"/>
                <w:b w:val="0"/>
                <w:sz w:val="19"/>
              </w:rPr>
              <w:t>北海道上川総合振興局</w:t>
            </w:r>
          </w:p>
        </w:tc>
        <w:tc>
          <w:tcPr>
            <w:tcW w:type="dxa" w:w="4195"/>
            <w:shd w:val="clear" w:color="auto" w:fill="F2F5FA"/>
            <w:vAlign w:val="center"/>
          </w:tcPr>
          <w:p>
            <w:pPr>
              <w:spacing w:after="0"/>
            </w:pPr>
            <w:r>
              <w:rPr>
                <w:rFonts w:ascii="游ゴシック" w:hAnsi="游ゴシック" w:eastAsia="游ゴシック"/>
                <w:b w:val="0"/>
                <w:sz w:val="19"/>
              </w:rPr>
              <w:t>第9節の注記のとおり、令和9年4月の依頼に併せて確認する</w:t>
            </w:r>
          </w:p>
        </w:tc>
      </w:tr>
      <w:tr>
        <w:trPr>
          <w:cantSplit/>
        </w:trPr>
        <w:tc>
          <w:tcPr>
            <w:tcW w:type="dxa" w:w="680"/>
            <w:vAlign w:val="center"/>
          </w:tcPr>
          <w:p>
            <w:pPr>
              <w:spacing w:after="0"/>
              <w:jc w:val="center"/>
            </w:pPr>
            <w:r>
              <w:rPr>
                <w:rFonts w:ascii="游ゴシック" w:hAnsi="游ゴシック" w:eastAsia="游ゴシック"/>
                <w:b w:val="0"/>
                <w:sz w:val="19"/>
              </w:rPr>
              <w:t>5</w:t>
            </w:r>
          </w:p>
        </w:tc>
        <w:tc>
          <w:tcPr>
            <w:tcW w:type="dxa" w:w="3175"/>
            <w:vAlign w:val="center"/>
          </w:tcPr>
          <w:p>
            <w:pPr>
              <w:spacing w:after="0"/>
            </w:pPr>
            <w:r>
              <w:rPr>
                <w:rFonts w:ascii="游ゴシック" w:hAnsi="游ゴシック" w:eastAsia="游ゴシック"/>
                <w:b w:val="0"/>
                <w:sz w:val="19"/>
              </w:rPr>
              <w:t>美瑛町・東神楽町のリハビリテーション専門職等の関与の具体的な内容</w:t>
            </w:r>
          </w:p>
        </w:tc>
        <w:tc>
          <w:tcPr>
            <w:tcW w:type="dxa" w:w="1701"/>
            <w:vAlign w:val="center"/>
          </w:tcPr>
          <w:p>
            <w:pPr>
              <w:spacing w:after="0"/>
            </w:pPr>
            <w:r>
              <w:rPr>
                <w:rFonts w:ascii="游ゴシック" w:hAnsi="游ゴシック" w:eastAsia="游ゴシック"/>
                <w:b w:val="0"/>
                <w:sz w:val="19"/>
              </w:rPr>
              <w:t>美瑛町・東神楽町</w:t>
            </w:r>
          </w:p>
        </w:tc>
        <w:tc>
          <w:tcPr>
            <w:tcW w:type="dxa" w:w="4195"/>
            <w:vAlign w:val="center"/>
          </w:tcPr>
          <w:p>
            <w:pPr>
              <w:spacing w:after="0"/>
            </w:pPr>
            <w:r>
              <w:rPr>
                <w:rFonts w:ascii="游ゴシック" w:hAnsi="游ゴシック" w:eastAsia="游ゴシック"/>
                <w:b w:val="0"/>
                <w:sz w:val="19"/>
              </w:rPr>
              <w:t>第10節の注記のとおり、3町の取組を持ち寄って区域共通の仕組みとする</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9"/>
              </w:rPr>
              <w:t>6</w:t>
            </w:r>
          </w:p>
        </w:tc>
        <w:tc>
          <w:tcPr>
            <w:tcW w:type="dxa" w:w="3175"/>
            <w:shd w:val="clear" w:color="auto" w:fill="F2F5FA"/>
            <w:vAlign w:val="center"/>
          </w:tcPr>
          <w:p>
            <w:pPr>
              <w:spacing w:after="0"/>
            </w:pPr>
            <w:r>
              <w:rPr>
                <w:rFonts w:ascii="游ゴシック" w:hAnsi="游ゴシック" w:eastAsia="游ゴシック"/>
                <w:b w:val="0"/>
                <w:sz w:val="19"/>
              </w:rPr>
              <w:t>改善率・再指摘率の目標値</w:t>
            </w:r>
          </w:p>
        </w:tc>
        <w:tc>
          <w:tcPr>
            <w:tcW w:type="dxa" w:w="1701"/>
            <w:shd w:val="clear" w:color="auto" w:fill="F2F5FA"/>
            <w:vAlign w:val="center"/>
          </w:tcPr>
          <w:p>
            <w:pPr>
              <w:spacing w:after="0"/>
            </w:pPr>
            <w:r>
              <w:rPr>
                <w:rFonts w:ascii="游ゴシック" w:hAnsi="游ゴシック" w:eastAsia="游ゴシック"/>
                <w:b w:val="0"/>
                <w:sz w:val="19"/>
              </w:rPr>
              <w:t>発注者・3町</w:t>
            </w:r>
          </w:p>
        </w:tc>
        <w:tc>
          <w:tcPr>
            <w:tcW w:type="dxa" w:w="4195"/>
            <w:shd w:val="clear" w:color="auto" w:fill="F2F5FA"/>
            <w:vAlign w:val="center"/>
          </w:tcPr>
          <w:p>
            <w:pPr>
              <w:spacing w:after="0"/>
            </w:pPr>
            <w:r>
              <w:rPr>
                <w:rFonts w:ascii="游ゴシック" w:hAnsi="游ゴシック" w:eastAsia="游ゴシック"/>
                <w:b w:val="0"/>
                <w:sz w:val="19"/>
              </w:rPr>
              <w:t>受託者案を記載。初年度の実績を見て見直す</w:t>
            </w:r>
          </w:p>
        </w:tc>
      </w:tr>
      <w:tr>
        <w:trPr>
          <w:cantSplit/>
        </w:trPr>
        <w:tc>
          <w:tcPr>
            <w:tcW w:type="dxa" w:w="680"/>
            <w:vAlign w:val="center"/>
          </w:tcPr>
          <w:p>
            <w:pPr>
              <w:spacing w:after="0"/>
              <w:jc w:val="center"/>
            </w:pPr>
            <w:r>
              <w:rPr>
                <w:rFonts w:ascii="游ゴシック" w:hAnsi="游ゴシック" w:eastAsia="游ゴシック"/>
                <w:b w:val="0"/>
                <w:sz w:val="19"/>
              </w:rPr>
              <w:t>7</w:t>
            </w:r>
          </w:p>
        </w:tc>
        <w:tc>
          <w:tcPr>
            <w:tcW w:type="dxa" w:w="3175"/>
            <w:vAlign w:val="center"/>
          </w:tcPr>
          <w:p>
            <w:pPr>
              <w:spacing w:after="0"/>
            </w:pPr>
            <w:r>
              <w:rPr>
                <w:rFonts w:ascii="游ゴシック" w:hAnsi="游ゴシック" w:eastAsia="游ゴシック"/>
                <w:b w:val="0"/>
                <w:sz w:val="19"/>
              </w:rPr>
              <w:t>様式第1号〜第7号の確定</w:t>
            </w:r>
          </w:p>
        </w:tc>
        <w:tc>
          <w:tcPr>
            <w:tcW w:type="dxa" w:w="1701"/>
            <w:vAlign w:val="center"/>
          </w:tcPr>
          <w:p>
            <w:pPr>
              <w:spacing w:after="0"/>
            </w:pPr>
            <w:r>
              <w:rPr>
                <w:rFonts w:ascii="游ゴシック" w:hAnsi="游ゴシック" w:eastAsia="游ゴシック"/>
                <w:b w:val="0"/>
                <w:sz w:val="19"/>
              </w:rPr>
              <w:t>発注者・3町</w:t>
            </w:r>
          </w:p>
        </w:tc>
        <w:tc>
          <w:tcPr>
            <w:tcW w:type="dxa" w:w="4195"/>
            <w:vAlign w:val="center"/>
          </w:tcPr>
          <w:p>
            <w:pPr>
              <w:spacing w:after="0"/>
            </w:pPr>
            <w:r>
              <w:rPr>
                <w:rFonts w:ascii="游ゴシック" w:hAnsi="游ゴシック" w:eastAsia="游ゴシック"/>
                <w:b w:val="0"/>
                <w:sz w:val="19"/>
              </w:rPr>
              <w:t>令和9年度当初に別紙として確定する</w:t>
            </w:r>
          </w:p>
        </w:tc>
      </w:tr>
    </w:tbl>
    <w:p>
      <w:r>
        <w:rPr>
          <w:rFonts w:ascii="游ゴシック" w:hAnsi="游ゴシック" w:eastAsia="游ゴシック"/>
          <w:b w:val="0"/>
          <w:sz w:val="21"/>
        </w:rPr>
      </w:r>
    </w:p>
    <w:p>
      <w:pPr>
        <w:ind w:left="227"/>
      </w:pPr>
      <w:r>
        <w:rPr>
          <w:rFonts w:ascii="游ゴシック" w:hAnsi="游ゴシック" w:eastAsia="游ゴシック"/>
          <w:sz w:val="18"/>
        </w:rPr>
        <w:t>※ この要領は案である。策定委員会及び構成3町のご意見を踏まえて確定し、令和9年度当初に施行することを想定している。</w:t>
      </w:r>
    </w:p>
    <w:p>
      <w:pPr>
        <w:ind w:left="227"/>
      </w:pPr>
      <w:r>
        <w:rPr>
          <w:rFonts w:ascii="游ゴシック" w:hAnsi="游ゴシック" w:eastAsia="游ゴシック"/>
          <w:sz w:val="18"/>
        </w:rPr>
        <w:t>※ 本要領に記載した交付金の評価結果・全国該当率は、すべて厚生労働省の公表資料によるものである。給付実績は大雪地区広域連合の給付費データ集計の集計値による。個人が特定される情報は収録していない。</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