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游ゴシック" w:hAnsi="游ゴシック" w:eastAsia="游ゴシック"/>
          <w:sz w:val="24"/>
        </w:rPr>
        <w:t>大雪地区広域連合　第10期介護保険事業計画策定支援業務</w:t>
      </w:r>
    </w:p>
    <w:p>
      <w:pPr>
        <w:spacing w:after="40"/>
        <w:jc w:val="center"/>
      </w:pPr>
      <w:r>
        <w:rPr>
          <w:rFonts w:ascii="游ゴシック" w:hAnsi="游ゴシック" w:eastAsia="游ゴシック"/>
          <w:b/>
          <w:color w:val="1F3864"/>
          <w:sz w:val="36"/>
        </w:rPr>
        <w:t>第9期計画の評価・検証　中間報告</w:t>
      </w:r>
    </w:p>
    <w:p>
      <w:pPr>
        <w:jc w:val="center"/>
      </w:pPr>
      <w:r>
        <w:rPr>
          <w:rFonts w:ascii="游ゴシック" w:hAnsi="游ゴシック" w:eastAsia="游ゴシック"/>
          <w:sz w:val="22"/>
        </w:rPr>
        <w:t>令和8年8月</w:t>
      </w:r>
    </w:p>
    <w:p>
      <w:r>
        <w:rPr>
          <w:rFonts w:ascii="游ゴシック" w:hAnsi="游ゴシック" w:eastAsia="游ゴシック"/>
          <w:b w:val="0"/>
          <w:sz w:val="21"/>
        </w:rPr>
      </w:r>
    </w:p>
    <w:p>
      <w:pPr>
        <w:pStyle w:val="Heading1"/>
        <w:keepNext/>
        <w:spacing w:before="280" w:after="120"/>
      </w:pPr>
      <w:r>
        <w:rPr>
          <w:rFonts w:ascii="游ゴシック" w:hAnsi="游ゴシック" w:eastAsia="游ゴシック"/>
          <w:b/>
          <w:color w:val="1F3864"/>
          <w:sz w:val="26"/>
        </w:rPr>
        <w:t>第1節　本報告の位置づけ</w:t>
      </w:r>
    </w:p>
    <w:p>
      <w:r>
        <w:rPr>
          <w:rFonts w:ascii="游ゴシック" w:hAnsi="游ゴシック" w:eastAsia="游ゴシック"/>
          <w:b w:val="0"/>
          <w:sz w:val="21"/>
        </w:rPr>
        <w:t>業務仕様書５の令和8年8月の工程は「業務着手、キックオフ会議、第9期計画の評価・検証開始、各種資料整理」であり、工程末に提出する成果物として「第9期計画の評価・検証の中間報告」が定められています。</w:t>
      </w:r>
    </w:p>
    <w:p>
      <w:r>
        <w:rPr>
          <w:rFonts w:ascii="游ゴシック" w:hAnsi="游ゴシック" w:eastAsia="游ゴシック"/>
          <w:b w:val="0"/>
          <w:sz w:val="21"/>
        </w:rPr>
        <w:t>本報告は、令和8年8月6日のキックオフ会議を踏まえ、構成3町のデータを標準化したうえで計画の施策へ反映する内容を確認・共有していただくとともに、現段階における受託者の業務の進捗をご報告するものです。</w:t>
      </w:r>
    </w:p>
    <w:p>
      <w:r>
        <w:rPr>
          <w:rFonts w:ascii="游ゴシック" w:hAnsi="游ゴシック" w:eastAsia="游ゴシック"/>
          <w:b w:val="0"/>
          <w:sz w:val="20"/>
        </w:rPr>
        <w:t>受託者が現時点までに終えている業務は、次の5件です。</w:t>
      </w:r>
    </w:p>
    <w:p>
      <w:pPr>
        <w:ind w:left="340" w:hanging="340"/>
      </w:pPr>
      <w:r>
        <w:rPr>
          <w:rFonts w:ascii="游ゴシック" w:hAnsi="游ゴシック" w:eastAsia="游ゴシック"/>
          <w:sz w:val="21"/>
        </w:rPr>
        <w:t>・実施済み4調査（在宅生活改善調査、居所変更実態調査、介護人材実態調査、健康とくらしの調査〈介護予防・日常生活圏域ニーズ調査〉）の集計と分析</w:t>
      </w:r>
    </w:p>
    <w:p>
      <w:pPr>
        <w:ind w:left="340" w:hanging="340"/>
      </w:pPr>
      <w:r>
        <w:rPr>
          <w:rFonts w:ascii="游ゴシック" w:hAnsi="游ゴシック" w:eastAsia="游ゴシック"/>
          <w:sz w:val="21"/>
        </w:rPr>
        <w:t>・第9期計画の評価（代表KPI、施策体系、保険者機能強化推進交付金）</w:t>
      </w:r>
    </w:p>
    <w:p>
      <w:pPr>
        <w:ind w:left="340" w:hanging="340"/>
      </w:pPr>
      <w:r>
        <w:rPr>
          <w:rFonts w:ascii="游ゴシック" w:hAnsi="游ゴシック" w:eastAsia="游ゴシック"/>
          <w:sz w:val="21"/>
        </w:rPr>
        <w:t>・将来推計の第1段階（人口・認定者数）及び第2段階（サービス見込量）</w:t>
      </w:r>
    </w:p>
    <w:p>
      <w:pPr>
        <w:ind w:left="340" w:hanging="340"/>
      </w:pPr>
      <w:r>
        <w:rPr>
          <w:rFonts w:ascii="游ゴシック" w:hAnsi="游ゴシック" w:eastAsia="游ゴシック"/>
          <w:sz w:val="21"/>
        </w:rPr>
        <w:t>・将来推計の第3段階（給付費・保険料）の暫定算定。第9期の算定を再現すると公表値6,428円と一致する</w:t>
      </w:r>
    </w:p>
    <w:p>
      <w:pPr>
        <w:ind w:left="340" w:hanging="340"/>
      </w:pPr>
      <w:r>
        <w:rPr>
          <w:rFonts w:ascii="游ゴシック" w:hAnsi="游ゴシック" w:eastAsia="游ゴシック"/>
          <w:sz w:val="21"/>
        </w:rPr>
        <w:t>・計画素案（第1章から第6章及び資料編）並びに計画骨子案の作成</w:t>
      </w:r>
    </w:p>
    <w:p>
      <w:r>
        <w:rPr>
          <w:rFonts w:ascii="游ゴシック" w:hAnsi="游ゴシック" w:eastAsia="游ゴシック"/>
          <w:b w:val="0"/>
          <w:sz w:val="20"/>
        </w:rPr>
        <w:t>令和8年9月以降は、次の2件に着手します。いずれも下表の前提が整った時点からの着手となります。</w:t>
      </w:r>
    </w:p>
    <w:p>
      <w:pPr>
        <w:keepNext/>
        <w:spacing w:before="160" w:after="40"/>
      </w:pPr>
      <w:r>
        <w:rPr>
          <w:rFonts w:ascii="游ゴシック" w:hAnsi="游ゴシック" w:eastAsia="游ゴシック"/>
          <w:b/>
          <w:sz w:val="20"/>
        </w:rPr>
        <w:t>表1　令和8年9月以降に着手する作業と、その前提</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2992"/>
            <w:shd w:val="clear" w:color="auto" w:fill="1F3864"/>
            <w:vAlign w:val="center"/>
          </w:tcPr>
          <w:p>
            <w:pPr>
              <w:spacing w:after="0"/>
              <w:jc w:val="center"/>
            </w:pPr>
            <w:r>
              <w:rPr>
                <w:rFonts w:ascii="游ゴシック" w:hAnsi="游ゴシック" w:eastAsia="游ゴシック"/>
                <w:b/>
                <w:color w:val="FFFFFF"/>
                <w:sz w:val="19"/>
              </w:rPr>
              <w:t>作業</w:t>
            </w:r>
          </w:p>
        </w:tc>
        <w:tc>
          <w:tcPr>
            <w:tcW w:type="dxa" w:w="4765"/>
            <w:shd w:val="clear" w:color="auto" w:fill="1F3864"/>
            <w:vAlign w:val="center"/>
          </w:tcPr>
          <w:p>
            <w:pPr>
              <w:spacing w:after="0"/>
              <w:jc w:val="center"/>
            </w:pPr>
            <w:r>
              <w:rPr>
                <w:rFonts w:ascii="游ゴシック" w:hAnsi="游ゴシック" w:eastAsia="游ゴシック"/>
                <w:b/>
                <w:color w:val="FFFFFF"/>
                <w:sz w:val="19"/>
              </w:rPr>
              <w:t>前提となる資料・ご決定</w:t>
            </w:r>
          </w:p>
        </w:tc>
        <w:tc>
          <w:tcPr>
            <w:tcW w:type="dxa" w:w="1995"/>
            <w:shd w:val="clear" w:color="auto" w:fill="1F3864"/>
            <w:vAlign w:val="center"/>
          </w:tcPr>
          <w:p>
            <w:pPr>
              <w:spacing w:after="0"/>
              <w:jc w:val="center"/>
            </w:pPr>
            <w:r>
              <w:rPr>
                <w:rFonts w:ascii="游ゴシック" w:hAnsi="游ゴシック" w:eastAsia="游ゴシック"/>
                <w:b/>
                <w:color w:val="FFFFFF"/>
                <w:sz w:val="19"/>
              </w:rPr>
              <w:t>完了の見込み</w:t>
            </w:r>
          </w:p>
        </w:tc>
      </w:tr>
      <w:tr>
        <w:trPr>
          <w:cantSplit/>
        </w:trPr>
        <w:tc>
          <w:tcPr>
            <w:tcW w:type="dxa" w:w="2992"/>
            <w:vAlign w:val="center"/>
          </w:tcPr>
          <w:p>
            <w:pPr>
              <w:spacing w:after="0"/>
            </w:pPr>
            <w:r>
              <w:rPr>
                <w:rFonts w:ascii="游ゴシック" w:hAnsi="游ゴシック" w:eastAsia="游ゴシック"/>
                <w:b/>
                <w:sz w:val="19"/>
              </w:rPr>
              <w:t>第9期計画のプロセス評価</w:t>
              <w:br/>
              <w:t>（令和6〜8年度の事業実績による）</w:t>
            </w:r>
          </w:p>
        </w:tc>
        <w:tc>
          <w:tcPr>
            <w:tcW w:type="dxa" w:w="4765"/>
            <w:vAlign w:val="center"/>
          </w:tcPr>
          <w:p>
            <w:pPr>
              <w:spacing w:after="0"/>
            </w:pPr>
            <w:r>
              <w:rPr>
                <w:rFonts w:ascii="游ゴシック" w:hAnsi="游ゴシック" w:eastAsia="游ゴシック"/>
                <w:b w:val="0"/>
                <w:sz w:val="19"/>
              </w:rPr>
              <w:t>資料No.13（施策・事業実績）の受領、又は決定5（暫定評価ルール）のご承認</w:t>
            </w:r>
          </w:p>
        </w:tc>
        <w:tc>
          <w:tcPr>
            <w:tcW w:type="dxa" w:w="1995"/>
            <w:vAlign w:val="center"/>
          </w:tcPr>
          <w:p>
            <w:pPr>
              <w:spacing w:after="0"/>
              <w:jc w:val="center"/>
            </w:pPr>
            <w:r>
              <w:rPr>
                <w:rFonts w:ascii="游ゴシック" w:hAnsi="游ゴシック" w:eastAsia="游ゴシック"/>
                <w:b w:val="0"/>
                <w:sz w:val="19"/>
              </w:rPr>
              <w:t>受領又はご承認から1か月</w:t>
            </w:r>
          </w:p>
        </w:tc>
      </w:tr>
      <w:tr>
        <w:trPr>
          <w:cantSplit/>
        </w:trPr>
        <w:tc>
          <w:tcPr>
            <w:tcW w:type="dxa" w:w="2992"/>
            <w:shd w:val="clear" w:color="auto" w:fill="F2F5FA"/>
            <w:vAlign w:val="center"/>
          </w:tcPr>
          <w:p>
            <w:pPr>
              <w:spacing w:after="0"/>
            </w:pPr>
            <w:r>
              <w:rPr>
                <w:rFonts w:ascii="游ゴシック" w:hAnsi="游ゴシック" w:eastAsia="游ゴシック"/>
                <w:b/>
                <w:sz w:val="19"/>
              </w:rPr>
              <w:t>将来推計 第3段階</w:t>
              <w:br/>
              <w:t>（給付費・保険料の算定）</w:t>
            </w:r>
          </w:p>
        </w:tc>
        <w:tc>
          <w:tcPr>
            <w:tcW w:type="dxa" w:w="4765"/>
            <w:shd w:val="clear" w:color="auto" w:fill="F2F5FA"/>
            <w:vAlign w:val="center"/>
          </w:tcPr>
          <w:p>
            <w:pPr>
              <w:spacing w:after="0"/>
            </w:pPr>
            <w:r>
              <w:rPr>
                <w:rFonts w:ascii="游ゴシック" w:hAnsi="游ゴシック" w:eastAsia="游ゴシック"/>
                <w:b w:val="0"/>
                <w:sz w:val="19"/>
              </w:rPr>
              <w:t>暫定の算定は令和8年8月31日に実施済み（基本ケース月額6,740円）。確定には、決定1（人口推計の基礎）及び決定2（認定率のシナリオ）のご決定、令和7年度末の基金残高、国の政令改正の告示を要する</w:t>
            </w:r>
          </w:p>
        </w:tc>
        <w:tc>
          <w:tcPr>
            <w:tcW w:type="dxa" w:w="1995"/>
            <w:shd w:val="clear" w:color="auto" w:fill="F2F5FA"/>
            <w:vAlign w:val="center"/>
          </w:tcPr>
          <w:p>
            <w:pPr>
              <w:spacing w:after="0"/>
              <w:jc w:val="center"/>
            </w:pPr>
            <w:r>
              <w:rPr>
                <w:rFonts w:ascii="游ゴシック" w:hAnsi="游ゴシック" w:eastAsia="游ゴシック"/>
                <w:b w:val="0"/>
                <w:sz w:val="19"/>
              </w:rPr>
              <w:t>令和8年12月</w:t>
            </w:r>
          </w:p>
        </w:tc>
      </w:tr>
    </w:tbl>
    <w:p>
      <w:r>
        <w:rPr>
          <w:rFonts w:ascii="游ゴシック" w:hAnsi="游ゴシック" w:eastAsia="游ゴシック"/>
          <w:b w:val="0"/>
          <w:sz w:val="20"/>
        </w:rPr>
        <w:t>これらを進めることにより、その後の構成3町のご意見の反映及び策定委員会でのご審議に必要な材料をお示しできるものと考えております。</w:t>
      </w:r>
    </w:p>
    <w:p>
      <w:r>
        <w:rPr>
          <w:rFonts w:ascii="游ゴシック" w:hAnsi="游ゴシック" w:eastAsia="游ゴシック"/>
          <w:b w:val="0"/>
          <w:sz w:val="20"/>
        </w:rPr>
        <w:t>あわせて、次の資料のご提供をお願い申し上げます。令和8年8月26日の進捗確認の打合せでご了承いただいたものです。</w:t>
      </w:r>
    </w:p>
    <w:p>
      <w:pPr>
        <w:keepNext/>
        <w:spacing w:before="160" w:after="40"/>
      </w:pPr>
      <w:r>
        <w:rPr>
          <w:rFonts w:ascii="游ゴシック" w:hAnsi="游ゴシック" w:eastAsia="游ゴシック"/>
          <w:b/>
          <w:sz w:val="20"/>
        </w:rPr>
        <w:t>表2　ご提供をお願いする資料（令和8年8月26日の打合せによる）</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2438"/>
            <w:shd w:val="clear" w:color="auto" w:fill="1F3864"/>
            <w:vAlign w:val="center"/>
          </w:tcPr>
          <w:p>
            <w:pPr>
              <w:spacing w:after="0"/>
              <w:jc w:val="center"/>
            </w:pPr>
            <w:r>
              <w:rPr>
                <w:rFonts w:ascii="游ゴシック" w:hAnsi="游ゴシック" w:eastAsia="游ゴシック"/>
                <w:b/>
                <w:color w:val="FFFFFF"/>
                <w:sz w:val="19"/>
              </w:rPr>
              <w:t>資料</w:t>
            </w:r>
          </w:p>
        </w:tc>
        <w:tc>
          <w:tcPr>
            <w:tcW w:type="dxa" w:w="1662"/>
            <w:shd w:val="clear" w:color="auto" w:fill="1F3864"/>
            <w:vAlign w:val="center"/>
          </w:tcPr>
          <w:p>
            <w:pPr>
              <w:spacing w:after="0"/>
              <w:jc w:val="center"/>
            </w:pPr>
            <w:r>
              <w:rPr>
                <w:rFonts w:ascii="游ゴシック" w:hAnsi="游ゴシック" w:eastAsia="游ゴシック"/>
                <w:b/>
                <w:color w:val="FFFFFF"/>
                <w:sz w:val="19"/>
              </w:rPr>
              <w:t>範囲</w:t>
            </w:r>
          </w:p>
        </w:tc>
        <w:tc>
          <w:tcPr>
            <w:tcW w:type="dxa" w:w="4211"/>
            <w:shd w:val="clear" w:color="auto" w:fill="1F3864"/>
            <w:vAlign w:val="center"/>
          </w:tcPr>
          <w:p>
            <w:pPr>
              <w:spacing w:after="0"/>
              <w:jc w:val="center"/>
            </w:pPr>
            <w:r>
              <w:rPr>
                <w:rFonts w:ascii="游ゴシック" w:hAnsi="游ゴシック" w:eastAsia="游ゴシック"/>
                <w:b/>
                <w:color w:val="FFFFFF"/>
                <w:sz w:val="19"/>
              </w:rPr>
              <w:t>用途</w:t>
            </w:r>
          </w:p>
        </w:tc>
        <w:tc>
          <w:tcPr>
            <w:tcW w:type="dxa" w:w="1441"/>
            <w:shd w:val="clear" w:color="auto" w:fill="1F3864"/>
            <w:vAlign w:val="center"/>
          </w:tcPr>
          <w:p>
            <w:pPr>
              <w:spacing w:after="0"/>
              <w:jc w:val="center"/>
            </w:pPr>
            <w:r>
              <w:rPr>
                <w:rFonts w:ascii="游ゴシック" w:hAnsi="游ゴシック" w:eastAsia="游ゴシック"/>
                <w:b/>
                <w:color w:val="FFFFFF"/>
                <w:sz w:val="19"/>
              </w:rPr>
              <w:t>時期</w:t>
            </w:r>
          </w:p>
        </w:tc>
      </w:tr>
      <w:tr>
        <w:trPr>
          <w:cantSplit/>
        </w:trPr>
        <w:tc>
          <w:tcPr>
            <w:tcW w:type="dxa" w:w="2438"/>
            <w:vAlign w:val="center"/>
          </w:tcPr>
          <w:p>
            <w:pPr>
              <w:spacing w:after="0"/>
            </w:pPr>
            <w:r>
              <w:rPr>
                <w:rFonts w:ascii="游ゴシック" w:hAnsi="游ゴシック" w:eastAsia="游ゴシック"/>
                <w:b/>
                <w:sz w:val="19"/>
              </w:rPr>
              <w:t>介護保険事業状況報告　年報</w:t>
            </w:r>
          </w:p>
        </w:tc>
        <w:tc>
          <w:tcPr>
            <w:tcW w:type="dxa" w:w="1662"/>
            <w:vAlign w:val="center"/>
          </w:tcPr>
          <w:p>
            <w:pPr>
              <w:spacing w:after="0"/>
              <w:jc w:val="center"/>
            </w:pPr>
            <w:r>
              <w:rPr>
                <w:rFonts w:ascii="游ゴシック" w:hAnsi="游ゴシック" w:eastAsia="游ゴシック"/>
                <w:b w:val="0"/>
                <w:sz w:val="19"/>
              </w:rPr>
              <w:t>令和6年度・令和7年度</w:t>
            </w:r>
          </w:p>
        </w:tc>
        <w:tc>
          <w:tcPr>
            <w:tcW w:type="dxa" w:w="4211"/>
            <w:vAlign w:val="center"/>
          </w:tcPr>
          <w:p>
            <w:pPr>
              <w:spacing w:after="0"/>
            </w:pPr>
            <w:r>
              <w:rPr>
                <w:rFonts w:ascii="游ゴシック" w:hAnsi="游ゴシック" w:eastAsia="游ゴシック"/>
                <w:b w:val="0"/>
                <w:sz w:val="19"/>
              </w:rPr>
              <w:t>第9期の通年の確定値。見える化は年度途中で締めた値を収録しており、4月から3月までの実績が確認できません</w:t>
            </w:r>
          </w:p>
        </w:tc>
        <w:tc>
          <w:tcPr>
            <w:tcW w:type="dxa" w:w="1441"/>
            <w:vAlign w:val="center"/>
          </w:tcPr>
          <w:p>
            <w:pPr>
              <w:spacing w:after="0"/>
              <w:jc w:val="center"/>
            </w:pPr>
            <w:r>
              <w:rPr>
                <w:rFonts w:ascii="游ゴシック" w:hAnsi="游ゴシック" w:eastAsia="游ゴシック"/>
                <w:b w:val="0"/>
                <w:sz w:val="19"/>
              </w:rPr>
              <w:t>受領次第</w:t>
            </w:r>
          </w:p>
        </w:tc>
      </w:tr>
      <w:tr>
        <w:trPr>
          <w:cantSplit/>
        </w:trPr>
        <w:tc>
          <w:tcPr>
            <w:tcW w:type="dxa" w:w="2438"/>
            <w:shd w:val="clear" w:color="auto" w:fill="F2F5FA"/>
            <w:vAlign w:val="center"/>
          </w:tcPr>
          <w:p>
            <w:pPr>
              <w:spacing w:after="0"/>
            </w:pPr>
            <w:r>
              <w:rPr>
                <w:rFonts w:ascii="游ゴシック" w:hAnsi="游ゴシック" w:eastAsia="游ゴシック"/>
                <w:b/>
                <w:sz w:val="19"/>
              </w:rPr>
              <w:t>同　月報</w:t>
            </w:r>
          </w:p>
        </w:tc>
        <w:tc>
          <w:tcPr>
            <w:tcW w:type="dxa" w:w="1662"/>
            <w:shd w:val="clear" w:color="auto" w:fill="F2F5FA"/>
            <w:vAlign w:val="center"/>
          </w:tcPr>
          <w:p>
            <w:pPr>
              <w:spacing w:after="0"/>
              <w:jc w:val="center"/>
            </w:pPr>
            <w:r>
              <w:rPr>
                <w:rFonts w:ascii="游ゴシック" w:hAnsi="游ゴシック" w:eastAsia="游ゴシック"/>
                <w:b w:val="0"/>
                <w:sz w:val="19"/>
              </w:rPr>
              <w:t>令和8年4月〜7月分</w:t>
            </w:r>
          </w:p>
        </w:tc>
        <w:tc>
          <w:tcPr>
            <w:tcW w:type="dxa" w:w="4211"/>
            <w:shd w:val="clear" w:color="auto" w:fill="F2F5FA"/>
            <w:vAlign w:val="center"/>
          </w:tcPr>
          <w:p>
            <w:pPr>
              <w:spacing w:after="0"/>
            </w:pPr>
            <w:r>
              <w:rPr>
                <w:rFonts w:ascii="游ゴシック" w:hAnsi="游ゴシック" w:eastAsia="游ゴシック"/>
                <w:b w:val="0"/>
                <w:sz w:val="19"/>
              </w:rPr>
              <w:t>令和8年度は年報が出ないため、月報により各月の推移を把握します</w:t>
            </w:r>
          </w:p>
        </w:tc>
        <w:tc>
          <w:tcPr>
            <w:tcW w:type="dxa" w:w="1441"/>
            <w:shd w:val="clear" w:color="auto" w:fill="F2F5FA"/>
            <w:vAlign w:val="center"/>
          </w:tcPr>
          <w:p>
            <w:pPr>
              <w:spacing w:after="0"/>
              <w:jc w:val="center"/>
            </w:pPr>
            <w:r>
              <w:rPr>
                <w:rFonts w:ascii="游ゴシック" w:hAnsi="游ゴシック" w:eastAsia="游ゴシック"/>
                <w:b w:val="0"/>
                <w:sz w:val="19"/>
              </w:rPr>
              <w:t>受領次第</w:t>
            </w:r>
          </w:p>
        </w:tc>
      </w:tr>
      <w:tr>
        <w:trPr>
          <w:cantSplit/>
        </w:trPr>
        <w:tc>
          <w:tcPr>
            <w:tcW w:type="dxa" w:w="2438"/>
            <w:vAlign w:val="center"/>
          </w:tcPr>
          <w:p>
            <w:pPr>
              <w:spacing w:after="0"/>
            </w:pPr>
            <w:r>
              <w:rPr>
                <w:rFonts w:ascii="游ゴシック" w:hAnsi="游ゴシック" w:eastAsia="游ゴシック"/>
                <w:b/>
                <w:sz w:val="19"/>
              </w:rPr>
              <w:t>給付実績データ</w:t>
              <w:br/>
              <w:t>（サービス別の利用者数・利用日数等）</w:t>
            </w:r>
          </w:p>
        </w:tc>
        <w:tc>
          <w:tcPr>
            <w:tcW w:type="dxa" w:w="1662"/>
            <w:vAlign w:val="center"/>
          </w:tcPr>
          <w:p>
            <w:pPr>
              <w:spacing w:after="0"/>
              <w:jc w:val="center"/>
            </w:pPr>
            <w:r>
              <w:rPr>
                <w:rFonts w:ascii="游ゴシック" w:hAnsi="游ゴシック" w:eastAsia="游ゴシック"/>
                <w:b w:val="0"/>
                <w:sz w:val="19"/>
              </w:rPr>
              <w:t>令和5年度〜令和7年度</w:t>
            </w:r>
          </w:p>
        </w:tc>
        <w:tc>
          <w:tcPr>
            <w:tcW w:type="dxa" w:w="4211"/>
            <w:vAlign w:val="center"/>
          </w:tcPr>
          <w:p>
            <w:pPr>
              <w:spacing w:after="0"/>
            </w:pPr>
            <w:r>
              <w:rPr>
                <w:rFonts w:ascii="游ゴシック" w:hAnsi="游ゴシック" w:eastAsia="游ゴシック"/>
                <w:b w:val="0"/>
                <w:sz w:val="19"/>
              </w:rPr>
              <w:t>サービス見込量の推定の基礎。月当たりの平均利用者数、利用者1人当たりの利用日数・回数</w:t>
            </w:r>
          </w:p>
        </w:tc>
        <w:tc>
          <w:tcPr>
            <w:tcW w:type="dxa" w:w="1441"/>
            <w:vAlign w:val="center"/>
          </w:tcPr>
          <w:p>
            <w:pPr>
              <w:spacing w:after="0"/>
              <w:jc w:val="center"/>
            </w:pPr>
            <w:r>
              <w:rPr>
                <w:rFonts w:ascii="游ゴシック" w:hAnsi="游ゴシック" w:eastAsia="游ゴシック"/>
                <w:b w:val="0"/>
                <w:sz w:val="19"/>
              </w:rPr>
              <w:t>令和8年8月31日</w:t>
            </w:r>
          </w:p>
        </w:tc>
      </w:tr>
    </w:tbl>
    <w:p>
      <w:pPr>
        <w:ind w:left="227"/>
      </w:pPr>
      <w:r>
        <w:rPr>
          <w:rFonts w:ascii="游ゴシック" w:hAnsi="游ゴシック" w:eastAsia="游ゴシック"/>
          <w:sz w:val="18"/>
        </w:rPr>
        <w:t>※ 令和8年度の実績は本業務の期間中には確定しません。同打合せにおいて、令和8年度分は月報により推移を把握したうえで、地域包括ケア「見える化」システムによる試算（人口、高齢化率、年齢区分別の認定率等）により推定する方針でご了承をいただきました。</w:t>
      </w:r>
    </w:p>
    <w:p>
      <w:r>
        <w:rPr>
          <w:rFonts w:ascii="游ゴシック" w:hAnsi="游ゴシック" w:eastAsia="游ゴシック"/>
          <w:b/>
          <w:sz w:val="21"/>
        </w:rPr>
        <w:t>本報告は、この中間報告として、評価・検証の開始段階における到達点と、評価を確定するために不足している資料・確認事項を示すものです。</w:t>
      </w:r>
    </w:p>
    <w:p>
      <w:pPr>
        <w:keepNext/>
        <w:spacing w:before="160" w:after="40"/>
      </w:pPr>
      <w:r>
        <w:rPr>
          <w:rFonts w:ascii="游ゴシック" w:hAnsi="游ゴシック" w:eastAsia="游ゴシック"/>
          <w:b/>
          <w:sz w:val="20"/>
        </w:rPr>
        <w:t>表3　本報告の範囲</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1361"/>
            <w:shd w:val="clear" w:color="auto" w:fill="1F3864"/>
            <w:vAlign w:val="center"/>
          </w:tcPr>
          <w:p>
            <w:pPr>
              <w:spacing w:after="0"/>
              <w:jc w:val="center"/>
            </w:pPr>
            <w:r>
              <w:rPr>
                <w:rFonts w:ascii="游ゴシック" w:hAnsi="游ゴシック" w:eastAsia="游ゴシック"/>
                <w:b/>
                <w:color w:val="FFFFFF"/>
                <w:sz w:val="19"/>
              </w:rPr>
              <w:t>区分</w:t>
            </w:r>
          </w:p>
        </w:tc>
        <w:tc>
          <w:tcPr>
            <w:tcW w:type="dxa" w:w="4195"/>
            <w:shd w:val="clear" w:color="auto" w:fill="1F3864"/>
            <w:vAlign w:val="center"/>
          </w:tcPr>
          <w:p>
            <w:pPr>
              <w:spacing w:after="0"/>
              <w:jc w:val="center"/>
            </w:pPr>
            <w:r>
              <w:rPr>
                <w:rFonts w:ascii="游ゴシック" w:hAnsi="游ゴシック" w:eastAsia="游ゴシック"/>
                <w:b/>
                <w:color w:val="FFFFFF"/>
                <w:sz w:val="19"/>
              </w:rPr>
              <w:t>本報告に含むもの</w:t>
            </w:r>
          </w:p>
        </w:tc>
        <w:tc>
          <w:tcPr>
            <w:tcW w:type="dxa" w:w="4195"/>
            <w:shd w:val="clear" w:color="auto" w:fill="1F3864"/>
            <w:vAlign w:val="center"/>
          </w:tcPr>
          <w:p>
            <w:pPr>
              <w:spacing w:after="0"/>
              <w:jc w:val="center"/>
            </w:pPr>
            <w:r>
              <w:rPr>
                <w:rFonts w:ascii="游ゴシック" w:hAnsi="游ゴシック" w:eastAsia="游ゴシック"/>
                <w:b/>
                <w:color w:val="FFFFFF"/>
                <w:sz w:val="19"/>
              </w:rPr>
              <w:t>本報告に含まないもの</w:t>
            </w:r>
          </w:p>
        </w:tc>
      </w:tr>
      <w:tr>
        <w:trPr>
          <w:cantSplit/>
        </w:trPr>
        <w:tc>
          <w:tcPr>
            <w:tcW w:type="dxa" w:w="1361"/>
            <w:vAlign w:val="center"/>
          </w:tcPr>
          <w:p>
            <w:pPr>
              <w:spacing w:after="0"/>
            </w:pPr>
            <w:r>
              <w:rPr>
                <w:rFonts w:ascii="游ゴシック" w:hAnsi="游ゴシック" w:eastAsia="游ゴシック"/>
                <w:b/>
                <w:sz w:val="19"/>
              </w:rPr>
              <w:t>評価の対象</w:t>
            </w:r>
          </w:p>
        </w:tc>
        <w:tc>
          <w:tcPr>
            <w:tcW w:type="dxa" w:w="4195"/>
            <w:vAlign w:val="center"/>
          </w:tcPr>
          <w:p>
            <w:pPr>
              <w:spacing w:after="0"/>
            </w:pPr>
            <w:r>
              <w:rPr>
                <w:rFonts w:ascii="游ゴシック" w:hAnsi="游ゴシック" w:eastAsia="游ゴシック"/>
                <w:b w:val="0"/>
                <w:sz w:val="19"/>
              </w:rPr>
              <w:t>第9期計画（令和6〜8年度）の代表KPI4項目、5基本目標19施策、保険者機能強化推進交付金の評価。【注】基準時点は令和8年3月末又は取得可能な最新時点までとし、第9期の最終年度（令和8年度）は進行中である</w:t>
            </w:r>
          </w:p>
        </w:tc>
        <w:tc>
          <w:tcPr>
            <w:tcW w:type="dxa" w:w="4195"/>
            <w:vAlign w:val="center"/>
          </w:tcPr>
          <w:p>
            <w:pPr>
              <w:spacing w:after="0"/>
            </w:pPr>
            <w:r>
              <w:rPr>
                <w:rFonts w:ascii="游ゴシック" w:hAnsi="游ゴシック" w:eastAsia="游ゴシック"/>
                <w:b w:val="0"/>
                <w:sz w:val="19"/>
              </w:rPr>
              <w:t>令和8年度の実績。第9期の最終評価</w:t>
            </w:r>
          </w:p>
        </w:tc>
      </w:tr>
      <w:tr>
        <w:trPr>
          <w:cantSplit/>
        </w:trPr>
        <w:tc>
          <w:tcPr>
            <w:tcW w:type="dxa" w:w="1361"/>
            <w:shd w:val="clear" w:color="auto" w:fill="F2F5FA"/>
            <w:vAlign w:val="center"/>
          </w:tcPr>
          <w:p>
            <w:pPr>
              <w:spacing w:after="0"/>
            </w:pPr>
            <w:r>
              <w:rPr>
                <w:rFonts w:ascii="游ゴシック" w:hAnsi="游ゴシック" w:eastAsia="游ゴシック"/>
                <w:b/>
                <w:sz w:val="19"/>
              </w:rPr>
              <w:t>評価の種類</w:t>
            </w:r>
          </w:p>
        </w:tc>
        <w:tc>
          <w:tcPr>
            <w:tcW w:type="dxa" w:w="4195"/>
            <w:shd w:val="clear" w:color="auto" w:fill="F2F5FA"/>
            <w:vAlign w:val="center"/>
          </w:tcPr>
          <w:p>
            <w:pPr>
              <w:spacing w:after="0"/>
            </w:pPr>
            <w:r>
              <w:rPr>
                <w:rFonts w:ascii="游ゴシック" w:hAnsi="游ゴシック" w:eastAsia="游ゴシック"/>
                <w:b w:val="0"/>
                <w:sz w:val="19"/>
              </w:rPr>
              <w:t>①成果評価（アウトカム）＝認定率・給付水準・利用率・交付金評価・調査の指標により、第9期の間に状態が改善したかを判定する。②構造評価＝計画上の目的・施策・指標のつながりを確認する</w:t>
            </w:r>
          </w:p>
        </w:tc>
        <w:tc>
          <w:tcPr>
            <w:tcW w:type="dxa" w:w="4195"/>
            <w:shd w:val="clear" w:color="auto" w:fill="F2F5FA"/>
            <w:vAlign w:val="center"/>
          </w:tcPr>
          <w:p>
            <w:pPr>
              <w:spacing w:after="0"/>
            </w:pPr>
            <w:r>
              <w:rPr>
                <w:rFonts w:ascii="游ゴシック" w:hAnsi="游ゴシック" w:eastAsia="游ゴシック"/>
                <w:b w:val="0"/>
                <w:sz w:val="19"/>
              </w:rPr>
              <w:t>プロセス評価（施策が計画どおり実施されたか）。令和6〜8年度の事業実績の受領後に行う</w:t>
            </w:r>
          </w:p>
        </w:tc>
      </w:tr>
      <w:tr>
        <w:trPr>
          <w:cantSplit/>
        </w:trPr>
        <w:tc>
          <w:tcPr>
            <w:tcW w:type="dxa" w:w="1361"/>
            <w:vAlign w:val="center"/>
          </w:tcPr>
          <w:p>
            <w:pPr>
              <w:spacing w:after="0"/>
            </w:pPr>
            <w:r>
              <w:rPr>
                <w:rFonts w:ascii="游ゴシック" w:hAnsi="游ゴシック" w:eastAsia="游ゴシック"/>
                <w:b/>
                <w:sz w:val="19"/>
              </w:rPr>
              <w:t>確定の状態</w:t>
            </w:r>
          </w:p>
        </w:tc>
        <w:tc>
          <w:tcPr>
            <w:tcW w:type="dxa" w:w="4195"/>
            <w:vAlign w:val="center"/>
          </w:tcPr>
          <w:p>
            <w:pPr>
              <w:spacing w:after="0"/>
            </w:pPr>
            <w:r>
              <w:rPr>
                <w:rFonts w:ascii="游ゴシック" w:hAnsi="游ゴシック" w:eastAsia="游ゴシック"/>
                <w:b w:val="0"/>
                <w:sz w:val="19"/>
              </w:rPr>
              <w:t>成果評価と構造評価は、開始段階として整理を終えている</w:t>
            </w:r>
          </w:p>
        </w:tc>
        <w:tc>
          <w:tcPr>
            <w:tcW w:type="dxa" w:w="4195"/>
            <w:vAlign w:val="center"/>
          </w:tcPr>
          <w:p>
            <w:pPr>
              <w:spacing w:after="0"/>
            </w:pPr>
            <w:r>
              <w:rPr>
                <w:rFonts w:ascii="游ゴシック" w:hAnsi="游ゴシック" w:eastAsia="游ゴシック"/>
                <w:b w:val="0"/>
                <w:sz w:val="19"/>
              </w:rPr>
              <w:t>評価の確定は、事業実績の受領又は暫定評価ルールの承認後</w:t>
            </w:r>
          </w:p>
        </w:tc>
      </w:tr>
      <w:tr>
        <w:trPr>
          <w:cantSplit/>
        </w:trPr>
        <w:tc>
          <w:tcPr>
            <w:tcW w:type="dxa" w:w="1361"/>
            <w:shd w:val="clear" w:color="auto" w:fill="F2F5FA"/>
            <w:vAlign w:val="center"/>
          </w:tcPr>
          <w:p>
            <w:pPr>
              <w:spacing w:after="0"/>
            </w:pPr>
            <w:r>
              <w:rPr>
                <w:rFonts w:ascii="游ゴシック" w:hAnsi="游ゴシック" w:eastAsia="游ゴシック"/>
                <w:b/>
                <w:sz w:val="19"/>
              </w:rPr>
              <w:t>不足の洗い出し</w:t>
            </w:r>
          </w:p>
        </w:tc>
        <w:tc>
          <w:tcPr>
            <w:tcW w:type="dxa" w:w="4195"/>
            <w:shd w:val="clear" w:color="auto" w:fill="F2F5FA"/>
            <w:vAlign w:val="center"/>
          </w:tcPr>
          <w:p>
            <w:pPr>
              <w:spacing w:after="0"/>
            </w:pPr>
            <w:r>
              <w:rPr>
                <w:rFonts w:ascii="游ゴシック" w:hAnsi="游ゴシック" w:eastAsia="游ゴシック"/>
                <w:b w:val="0"/>
                <w:sz w:val="19"/>
              </w:rPr>
              <w:t>業務全体で特定している不足資料18件・確認事項56件のうち、第9期の評価に直接関係する7件・5件を本報告に掲載している</w:t>
            </w:r>
          </w:p>
        </w:tc>
        <w:tc>
          <w:tcPr>
            <w:tcW w:type="dxa" w:w="4195"/>
            <w:shd w:val="clear" w:color="auto" w:fill="F2F5FA"/>
            <w:vAlign w:val="center"/>
          </w:tcPr>
          <w:p>
            <w:pPr>
              <w:spacing w:after="0"/>
            </w:pPr>
            <w:r>
              <w:rPr>
                <w:rFonts w:ascii="游ゴシック" w:hAnsi="游ゴシック" w:eastAsia="游ゴシック"/>
                <w:b w:val="0"/>
                <w:sz w:val="19"/>
              </w:rPr>
              <w:t>―</w:t>
            </w:r>
          </w:p>
        </w:tc>
      </w:tr>
    </w:tbl>
    <w:p>
      <w:r>
        <w:rPr>
          <w:rFonts w:ascii="游ゴシック" w:hAnsi="游ゴシック" w:eastAsia="游ゴシック"/>
          <w:b w:val="0"/>
          <w:sz w:val="21"/>
        </w:rPr>
      </w:r>
    </w:p>
    <w:p>
      <w:r>
        <w:rPr>
          <w:rFonts w:ascii="游ゴシック" w:hAnsi="游ゴシック" w:eastAsia="游ゴシック"/>
          <w:b w:val="0"/>
          <w:sz w:val="21"/>
        </w:rPr>
        <w:t>仕様書は令和8年8月を「開始」と定めており、この時点で評価を確定することは求められていません。本報告では、令和8年8月時点の整理結果と、評価を確定するために必要な不足資料・確認事項を示します。</w:t>
      </w:r>
    </w:p>
    <w:p>
      <w:r>
        <w:rPr>
          <w:rFonts w:ascii="游ゴシック" w:hAnsi="游ゴシック" w:eastAsia="游ゴシック"/>
          <w:b w:val="0"/>
          <w:sz w:val="21"/>
        </w:rPr>
      </w:r>
    </w:p>
    <w:p>
      <w:r>
        <w:rPr>
          <w:rFonts w:ascii="游ゴシック" w:hAnsi="游ゴシック" w:eastAsia="游ゴシック"/>
          <w:b/>
          <w:sz w:val="21"/>
        </w:rPr>
        <w:t>【第9期の最終評価の時期について】</w:t>
      </w:r>
    </w:p>
    <w:p>
      <w:r>
        <w:rPr>
          <w:rFonts w:ascii="游ゴシック" w:hAnsi="游ゴシック" w:eastAsia="游ゴシック"/>
          <w:b w:val="0"/>
          <w:sz w:val="20"/>
        </w:rPr>
        <w:t>第9期の計画期間は令和6年度から令和8年度までであり、最終年度末は令和9年3月31日です。本業務の契約期間は令和9年3月26日までであるため、第9期の最終年度の実績は本業務の期間中には確定しません。</w:t>
      </w:r>
    </w:p>
    <w:p>
      <w:r>
        <w:rPr>
          <w:rFonts w:ascii="游ゴシック" w:hAnsi="游ゴシック" w:eastAsia="游ゴシック"/>
          <w:b/>
          <w:sz w:val="20"/>
        </w:rPr>
        <w:t>したがって本業務では、業務仕様書４（2）に基づき、取得可能な最新時点までの実績により評価します。第9期の最終評価は、令和8年度の実績が確定した後に発注者において実施されるものと位置づけます。本報告の判定は、いずれもこの前提による中間判定です。</w:t>
      </w:r>
    </w:p>
    <w:p>
      <w:pPr>
        <w:pStyle w:val="Heading1"/>
        <w:keepNext/>
        <w:spacing w:before="280" w:after="120"/>
      </w:pPr>
      <w:r>
        <w:rPr>
          <w:rFonts w:ascii="游ゴシック" w:hAnsi="游ゴシック" w:eastAsia="游ゴシック"/>
          <w:b/>
          <w:color w:val="1F3864"/>
          <w:sz w:val="26"/>
        </w:rPr>
        <w:t>第2節　評価の枠組み</w:t>
      </w:r>
    </w:p>
    <w:p>
      <w:r>
        <w:rPr>
          <w:rFonts w:ascii="游ゴシック" w:hAnsi="游ゴシック" w:eastAsia="游ゴシック"/>
          <w:b w:val="0"/>
          <w:sz w:val="21"/>
        </w:rPr>
        <w:t>第9期の評価は、次の3層で構成します。8月時点で①と②を整理し、③は資料の受領後としています。</w:t>
      </w:r>
    </w:p>
    <w:p>
      <w:pPr>
        <w:keepNext/>
        <w:spacing w:before="160" w:after="40"/>
      </w:pPr>
      <w:r>
        <w:rPr>
          <w:rFonts w:ascii="游ゴシック" w:hAnsi="游ゴシック" w:eastAsia="游ゴシック"/>
          <w:b/>
          <w:sz w:val="20"/>
        </w:rPr>
        <w:t>表4　評価の3層と現在の状態</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1950"/>
        <w:gridCol w:w="1950"/>
        <w:gridCol w:w="1950"/>
        <w:gridCol w:w="1950"/>
        <w:gridCol w:w="1950"/>
      </w:tblGrid>
      <w:tr>
        <w:trPr>
          <w:tblHeader/>
        </w:trPr>
        <w:tc>
          <w:tcPr>
            <w:tcW w:type="dxa" w:w="1474"/>
            <w:shd w:val="clear" w:color="auto" w:fill="1F3864"/>
            <w:vAlign w:val="center"/>
          </w:tcPr>
          <w:p>
            <w:pPr>
              <w:spacing w:after="0"/>
              <w:jc w:val="center"/>
            </w:pPr>
            <w:r>
              <w:rPr>
                <w:rFonts w:ascii="游ゴシック" w:hAnsi="游ゴシック" w:eastAsia="游ゴシック"/>
                <w:b/>
                <w:color w:val="FFFFFF"/>
                <w:sz w:val="19"/>
              </w:rPr>
              <w:t>層</w:t>
            </w:r>
          </w:p>
        </w:tc>
        <w:tc>
          <w:tcPr>
            <w:tcW w:type="dxa" w:w="3969"/>
            <w:shd w:val="clear" w:color="auto" w:fill="1F3864"/>
            <w:vAlign w:val="center"/>
          </w:tcPr>
          <w:p>
            <w:pPr>
              <w:spacing w:after="0"/>
              <w:jc w:val="center"/>
            </w:pPr>
            <w:r>
              <w:rPr>
                <w:rFonts w:ascii="游ゴシック" w:hAnsi="游ゴシック" w:eastAsia="游ゴシック"/>
                <w:b/>
                <w:color w:val="FFFFFF"/>
                <w:sz w:val="19"/>
              </w:rPr>
              <w:t>内容</w:t>
            </w:r>
          </w:p>
        </w:tc>
        <w:tc>
          <w:tcPr>
            <w:tcW w:type="dxa" w:w="1020"/>
            <w:shd w:val="clear" w:color="auto" w:fill="1F3864"/>
            <w:vAlign w:val="center"/>
          </w:tcPr>
          <w:p>
            <w:pPr>
              <w:spacing w:after="0"/>
              <w:jc w:val="center"/>
            </w:pPr>
            <w:r>
              <w:rPr>
                <w:rFonts w:ascii="游ゴシック" w:hAnsi="游ゴシック" w:eastAsia="游ゴシック"/>
                <w:b/>
                <w:color w:val="FFFFFF"/>
                <w:sz w:val="19"/>
              </w:rPr>
              <w:t>資料の要否</w:t>
            </w:r>
          </w:p>
        </w:tc>
        <w:tc>
          <w:tcPr>
            <w:tcW w:type="dxa" w:w="1814"/>
            <w:shd w:val="clear" w:color="auto" w:fill="1F3864"/>
            <w:vAlign w:val="center"/>
          </w:tcPr>
          <w:p>
            <w:pPr>
              <w:spacing w:after="0"/>
              <w:jc w:val="center"/>
            </w:pPr>
            <w:r>
              <w:rPr>
                <w:rFonts w:ascii="游ゴシック" w:hAnsi="游ゴシック" w:eastAsia="游ゴシック"/>
                <w:b/>
                <w:color w:val="FFFFFF"/>
                <w:sz w:val="19"/>
              </w:rPr>
              <w:t>8月時点の状態</w:t>
            </w:r>
          </w:p>
        </w:tc>
        <w:tc>
          <w:tcPr>
            <w:tcW w:type="dxa" w:w="1474"/>
            <w:shd w:val="clear" w:color="auto" w:fill="1F3864"/>
            <w:vAlign w:val="center"/>
          </w:tcPr>
          <w:p>
            <w:pPr>
              <w:spacing w:after="0"/>
              <w:jc w:val="center"/>
            </w:pPr>
            <w:r>
              <w:rPr>
                <w:rFonts w:ascii="游ゴシック" w:hAnsi="游ゴシック" w:eastAsia="游ゴシック"/>
                <w:b/>
                <w:color w:val="FFFFFF"/>
                <w:sz w:val="19"/>
              </w:rPr>
              <w:t>確定の時期</w:t>
            </w:r>
          </w:p>
        </w:tc>
      </w:tr>
      <w:tr>
        <w:trPr>
          <w:cantSplit/>
        </w:trPr>
        <w:tc>
          <w:tcPr>
            <w:tcW w:type="dxa" w:w="1474"/>
            <w:vAlign w:val="center"/>
          </w:tcPr>
          <w:p>
            <w:pPr>
              <w:spacing w:after="0"/>
            </w:pPr>
            <w:r>
              <w:rPr>
                <w:rFonts w:ascii="游ゴシック" w:hAnsi="游ゴシック" w:eastAsia="游ゴシック"/>
                <w:b/>
                <w:sz w:val="19"/>
              </w:rPr>
              <w:t>① 成果評価</w:t>
              <w:br/>
              <w:t>（アウトカム）</w:t>
            </w:r>
          </w:p>
        </w:tc>
        <w:tc>
          <w:tcPr>
            <w:tcW w:type="dxa" w:w="3969"/>
            <w:vAlign w:val="center"/>
          </w:tcPr>
          <w:p>
            <w:pPr>
              <w:spacing w:after="0"/>
            </w:pPr>
            <w:r>
              <w:rPr>
                <w:rFonts w:ascii="游ゴシック" w:hAnsi="游ゴシック" w:eastAsia="游ゴシック"/>
                <w:b w:val="0"/>
                <w:sz w:val="19"/>
              </w:rPr>
              <w:t>認定率、給付水準、利用率、交付金評価、4調査の指標により、第9期の間に状態が改善したかを判定する</w:t>
            </w:r>
          </w:p>
        </w:tc>
        <w:tc>
          <w:tcPr>
            <w:tcW w:type="dxa" w:w="1020"/>
            <w:vAlign w:val="center"/>
          </w:tcPr>
          <w:p>
            <w:pPr>
              <w:spacing w:after="0"/>
              <w:jc w:val="center"/>
            </w:pPr>
            <w:r>
              <w:rPr>
                <w:rFonts w:ascii="游ゴシック" w:hAnsi="游ゴシック" w:eastAsia="游ゴシック"/>
                <w:b w:val="0"/>
                <w:sz w:val="19"/>
              </w:rPr>
              <w:t>要さない</w:t>
            </w:r>
          </w:p>
        </w:tc>
        <w:tc>
          <w:tcPr>
            <w:tcW w:type="dxa" w:w="1814"/>
            <w:vAlign w:val="center"/>
          </w:tcPr>
          <w:p>
            <w:pPr>
              <w:spacing w:after="0"/>
            </w:pPr>
            <w:r>
              <w:rPr>
                <w:rFonts w:ascii="游ゴシック" w:hAnsi="游ゴシック" w:eastAsia="游ゴシック"/>
                <w:b w:val="0"/>
                <w:sz w:val="19"/>
              </w:rPr>
              <w:t>整理済み</w:t>
            </w:r>
          </w:p>
        </w:tc>
        <w:tc>
          <w:tcPr>
            <w:tcW w:type="dxa" w:w="1474"/>
            <w:vAlign w:val="center"/>
          </w:tcPr>
          <w:p>
            <w:pPr>
              <w:spacing w:after="0"/>
              <w:jc w:val="center"/>
            </w:pPr>
            <w:r>
              <w:rPr>
                <w:rFonts w:ascii="游ゴシック" w:hAnsi="游ゴシック" w:eastAsia="游ゴシック"/>
                <w:b w:val="0"/>
                <w:sz w:val="19"/>
              </w:rPr>
              <w:t>8月（本報告）</w:t>
            </w:r>
          </w:p>
        </w:tc>
      </w:tr>
      <w:tr>
        <w:trPr>
          <w:cantSplit/>
        </w:trPr>
        <w:tc>
          <w:tcPr>
            <w:tcW w:type="dxa" w:w="1474"/>
            <w:shd w:val="clear" w:color="auto" w:fill="F2F5FA"/>
            <w:vAlign w:val="center"/>
          </w:tcPr>
          <w:p>
            <w:pPr>
              <w:spacing w:after="0"/>
            </w:pPr>
            <w:r>
              <w:rPr>
                <w:rFonts w:ascii="游ゴシック" w:hAnsi="游ゴシック" w:eastAsia="游ゴシック"/>
                <w:b/>
                <w:sz w:val="19"/>
              </w:rPr>
              <w:t>② 構造評価</w:t>
            </w:r>
          </w:p>
        </w:tc>
        <w:tc>
          <w:tcPr>
            <w:tcW w:type="dxa" w:w="3969"/>
            <w:shd w:val="clear" w:color="auto" w:fill="F2F5FA"/>
            <w:vAlign w:val="center"/>
          </w:tcPr>
          <w:p>
            <w:pPr>
              <w:spacing w:after="0"/>
            </w:pPr>
            <w:r>
              <w:rPr>
                <w:rFonts w:ascii="游ゴシック" w:hAnsi="游ゴシック" w:eastAsia="游ゴシック"/>
                <w:b w:val="0"/>
                <w:sz w:val="19"/>
              </w:rPr>
              <w:t>計画上の目的・施策・指標のつながりを確認し、そもそも評価できる設計になっていたかを判定する</w:t>
            </w:r>
          </w:p>
        </w:tc>
        <w:tc>
          <w:tcPr>
            <w:tcW w:type="dxa" w:w="1020"/>
            <w:shd w:val="clear" w:color="auto" w:fill="F2F5FA"/>
            <w:vAlign w:val="center"/>
          </w:tcPr>
          <w:p>
            <w:pPr>
              <w:spacing w:after="0"/>
              <w:jc w:val="center"/>
            </w:pPr>
            <w:r>
              <w:rPr>
                <w:rFonts w:ascii="游ゴシック" w:hAnsi="游ゴシック" w:eastAsia="游ゴシック"/>
                <w:b w:val="0"/>
                <w:sz w:val="19"/>
              </w:rPr>
              <w:t>要さない</w:t>
            </w:r>
          </w:p>
        </w:tc>
        <w:tc>
          <w:tcPr>
            <w:tcW w:type="dxa" w:w="1814"/>
            <w:shd w:val="clear" w:color="auto" w:fill="F2F5FA"/>
            <w:vAlign w:val="center"/>
          </w:tcPr>
          <w:p>
            <w:pPr>
              <w:spacing w:after="0"/>
            </w:pPr>
            <w:r>
              <w:rPr>
                <w:rFonts w:ascii="游ゴシック" w:hAnsi="游ゴシック" w:eastAsia="游ゴシック"/>
                <w:b w:val="0"/>
                <w:sz w:val="19"/>
              </w:rPr>
              <w:t>整理済み</w:t>
            </w:r>
          </w:p>
        </w:tc>
        <w:tc>
          <w:tcPr>
            <w:tcW w:type="dxa" w:w="1474"/>
            <w:shd w:val="clear" w:color="auto" w:fill="F2F5FA"/>
            <w:vAlign w:val="center"/>
          </w:tcPr>
          <w:p>
            <w:pPr>
              <w:spacing w:after="0"/>
              <w:jc w:val="center"/>
            </w:pPr>
            <w:r>
              <w:rPr>
                <w:rFonts w:ascii="游ゴシック" w:hAnsi="游ゴシック" w:eastAsia="游ゴシック"/>
                <w:b w:val="0"/>
                <w:sz w:val="19"/>
              </w:rPr>
              <w:t>8月（本報告）</w:t>
            </w:r>
          </w:p>
        </w:tc>
      </w:tr>
      <w:tr>
        <w:trPr>
          <w:cantSplit/>
        </w:trPr>
        <w:tc>
          <w:tcPr>
            <w:tcW w:type="dxa" w:w="1474"/>
            <w:vAlign w:val="center"/>
          </w:tcPr>
          <w:p>
            <w:pPr>
              <w:spacing w:after="0"/>
            </w:pPr>
            <w:r>
              <w:rPr>
                <w:rFonts w:ascii="游ゴシック" w:hAnsi="游ゴシック" w:eastAsia="游ゴシック"/>
                <w:b/>
                <w:sz w:val="19"/>
              </w:rPr>
              <w:t>③ プロセス評価</w:t>
              <w:br/>
              <w:t>（実施状況）</w:t>
            </w:r>
          </w:p>
        </w:tc>
        <w:tc>
          <w:tcPr>
            <w:tcW w:type="dxa" w:w="3969"/>
            <w:vAlign w:val="center"/>
          </w:tcPr>
          <w:p>
            <w:pPr>
              <w:spacing w:after="0"/>
            </w:pPr>
            <w:r>
              <w:rPr>
                <w:rFonts w:ascii="游ゴシック" w:hAnsi="游ゴシック" w:eastAsia="游ゴシック"/>
                <w:b w:val="0"/>
                <w:sz w:val="19"/>
              </w:rPr>
              <w:t>施策が計画どおり実施されたか、事業量・対象実人数・予算執行はどうであったかを判定する</w:t>
            </w:r>
          </w:p>
        </w:tc>
        <w:tc>
          <w:tcPr>
            <w:tcW w:type="dxa" w:w="1020"/>
            <w:vAlign w:val="center"/>
          </w:tcPr>
          <w:p>
            <w:pPr>
              <w:spacing w:after="0"/>
              <w:jc w:val="center"/>
            </w:pPr>
            <w:r>
              <w:rPr>
                <w:rFonts w:ascii="游ゴシック" w:hAnsi="游ゴシック" w:eastAsia="游ゴシック"/>
                <w:b w:val="0"/>
                <w:sz w:val="19"/>
              </w:rPr>
              <w:t>要する</w:t>
            </w:r>
          </w:p>
        </w:tc>
        <w:tc>
          <w:tcPr>
            <w:tcW w:type="dxa" w:w="1814"/>
            <w:vAlign w:val="center"/>
          </w:tcPr>
          <w:p>
            <w:pPr>
              <w:spacing w:after="0"/>
            </w:pPr>
            <w:r>
              <w:rPr>
                <w:rFonts w:ascii="游ゴシック" w:hAnsi="游ゴシック" w:eastAsia="游ゴシック"/>
                <w:b w:val="0"/>
                <w:sz w:val="19"/>
              </w:rPr>
              <w:t>未着手（受け皿は作成済み）</w:t>
            </w:r>
          </w:p>
        </w:tc>
        <w:tc>
          <w:tcPr>
            <w:tcW w:type="dxa" w:w="1474"/>
            <w:vAlign w:val="center"/>
          </w:tcPr>
          <w:p>
            <w:pPr>
              <w:spacing w:after="0"/>
              <w:jc w:val="center"/>
            </w:pPr>
            <w:r>
              <w:rPr>
                <w:rFonts w:ascii="游ゴシック" w:hAnsi="游ゴシック" w:eastAsia="游ゴシック"/>
                <w:b w:val="0"/>
                <w:sz w:val="19"/>
              </w:rPr>
              <w:t>資料の受領後</w:t>
            </w:r>
          </w:p>
        </w:tc>
      </w:tr>
    </w:tbl>
    <w:p>
      <w:pPr>
        <w:ind w:left="227"/>
      </w:pPr>
      <w:r>
        <w:rPr>
          <w:rFonts w:ascii="游ゴシック" w:hAnsi="游ゴシック" w:eastAsia="游ゴシック"/>
          <w:sz w:val="18"/>
        </w:rPr>
        <w:t>※ ①と②を先に行い、③を後に回す構成としているのは、資料の到着を待って評価全体が止まることを避けるためです。①②だけでも、第10期の施策設計に必要な判断材料は得られます。</w:t>
      </w:r>
    </w:p>
    <w:p>
      <w:r>
        <w:br w:type="page"/>
      </w:r>
    </w:p>
    <w:p>
      <w:pPr>
        <w:pStyle w:val="Heading1"/>
        <w:keepNext/>
        <w:spacing w:before="280" w:after="120"/>
      </w:pPr>
      <w:r>
        <w:rPr>
          <w:rFonts w:ascii="游ゴシック" w:hAnsi="游ゴシック" w:eastAsia="游ゴシック"/>
          <w:b/>
          <w:color w:val="1F3864"/>
          <w:sz w:val="26"/>
        </w:rPr>
        <w:t>第3節　成果評価の結果（現時点で判定できるもの）</w:t>
      </w:r>
    </w:p>
    <w:p>
      <w:pPr>
        <w:pStyle w:val="Heading2"/>
        <w:keepNext/>
        <w:spacing w:before="180" w:after="60"/>
      </w:pPr>
      <w:r>
        <w:rPr>
          <w:rFonts w:ascii="游ゴシック" w:hAnsi="游ゴシック" w:eastAsia="游ゴシック"/>
          <w:b/>
          <w:color w:val="000000"/>
          <w:sz w:val="22"/>
        </w:rPr>
        <w:t>1　第9期の代表KPI4項目</w:t>
      </w:r>
    </w:p>
    <w:p>
      <w:r>
        <w:rPr>
          <w:rFonts w:ascii="游ゴシック" w:hAnsi="游ゴシック" w:eastAsia="游ゴシック"/>
          <w:b w:val="0"/>
          <w:sz w:val="21"/>
        </w:rPr>
        <w:t>第9期計画は代表KPIを4項目設定していました。3つの軸（目標比・推計比・全国北海道比）で評価しました。</w:t>
      </w:r>
    </w:p>
    <w:p>
      <w:pPr>
        <w:keepNext/>
        <w:spacing w:before="160" w:after="40"/>
      </w:pPr>
      <w:r>
        <w:rPr>
          <w:rFonts w:ascii="游ゴシック" w:hAnsi="游ゴシック" w:eastAsia="游ゴシック"/>
          <w:b/>
          <w:sz w:val="20"/>
        </w:rPr>
        <w:t>表5　第9期 代表KPI4項目の中間評価（令和8年3月末時点）</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1950"/>
        <w:gridCol w:w="1950"/>
        <w:gridCol w:w="1950"/>
        <w:gridCol w:w="1950"/>
        <w:gridCol w:w="1950"/>
      </w:tblGrid>
      <w:tr>
        <w:trPr>
          <w:tblHeader/>
        </w:trPr>
        <w:tc>
          <w:tcPr>
            <w:tcW w:type="dxa" w:w="1587"/>
            <w:shd w:val="clear" w:color="auto" w:fill="1F3864"/>
            <w:vAlign w:val="center"/>
          </w:tcPr>
          <w:p>
            <w:pPr>
              <w:spacing w:after="0"/>
              <w:jc w:val="center"/>
            </w:pPr>
            <w:r>
              <w:rPr>
                <w:rFonts w:ascii="游ゴシック" w:hAnsi="游ゴシック" w:eastAsia="游ゴシック"/>
                <w:b/>
                <w:color w:val="FFFFFF"/>
                <w:sz w:val="19"/>
              </w:rPr>
              <w:t>指標</w:t>
            </w:r>
          </w:p>
        </w:tc>
        <w:tc>
          <w:tcPr>
            <w:tcW w:type="dxa" w:w="1247"/>
            <w:shd w:val="clear" w:color="auto" w:fill="1F3864"/>
            <w:vAlign w:val="center"/>
          </w:tcPr>
          <w:p>
            <w:pPr>
              <w:spacing w:after="0"/>
              <w:jc w:val="center"/>
            </w:pPr>
            <w:r>
              <w:rPr>
                <w:rFonts w:ascii="游ゴシック" w:hAnsi="游ゴシック" w:eastAsia="游ゴシック"/>
                <w:b/>
                <w:color w:val="FFFFFF"/>
                <w:sz w:val="19"/>
              </w:rPr>
              <w:t>基準値</w:t>
            </w:r>
          </w:p>
        </w:tc>
        <w:tc>
          <w:tcPr>
            <w:tcW w:type="dxa" w:w="1247"/>
            <w:shd w:val="clear" w:color="auto" w:fill="1F3864"/>
            <w:vAlign w:val="center"/>
          </w:tcPr>
          <w:p>
            <w:pPr>
              <w:spacing w:after="0"/>
              <w:jc w:val="center"/>
            </w:pPr>
            <w:r>
              <w:rPr>
                <w:rFonts w:ascii="游ゴシック" w:hAnsi="游ゴシック" w:eastAsia="游ゴシック"/>
                <w:b/>
                <w:color w:val="FFFFFF"/>
                <w:sz w:val="19"/>
              </w:rPr>
              <w:t>実績</w:t>
            </w:r>
          </w:p>
        </w:tc>
        <w:tc>
          <w:tcPr>
            <w:tcW w:type="dxa" w:w="1020"/>
            <w:shd w:val="clear" w:color="auto" w:fill="1F3864"/>
            <w:vAlign w:val="center"/>
          </w:tcPr>
          <w:p>
            <w:pPr>
              <w:spacing w:after="0"/>
              <w:jc w:val="center"/>
            </w:pPr>
            <w:r>
              <w:rPr>
                <w:rFonts w:ascii="游ゴシック" w:hAnsi="游ゴシック" w:eastAsia="游ゴシック"/>
                <w:b/>
                <w:color w:val="FFFFFF"/>
                <w:sz w:val="19"/>
              </w:rPr>
              <w:t>中間判定</w:t>
            </w:r>
          </w:p>
        </w:tc>
        <w:tc>
          <w:tcPr>
            <w:tcW w:type="dxa" w:w="4649"/>
            <w:shd w:val="clear" w:color="auto" w:fill="1F3864"/>
            <w:vAlign w:val="center"/>
          </w:tcPr>
          <w:p>
            <w:pPr>
              <w:spacing w:after="0"/>
              <w:jc w:val="center"/>
            </w:pPr>
            <w:r>
              <w:rPr>
                <w:rFonts w:ascii="游ゴシック" w:hAnsi="游ゴシック" w:eastAsia="游ゴシック"/>
                <w:b/>
                <w:color w:val="FFFFFF"/>
                <w:sz w:val="19"/>
              </w:rPr>
              <w:t>評価の内容</w:t>
            </w:r>
          </w:p>
        </w:tc>
      </w:tr>
      <w:tr>
        <w:trPr>
          <w:cantSplit/>
        </w:trPr>
        <w:tc>
          <w:tcPr>
            <w:tcW w:type="dxa" w:w="1587"/>
            <w:vAlign w:val="center"/>
          </w:tcPr>
          <w:p>
            <w:pPr>
              <w:spacing w:after="0"/>
            </w:pPr>
            <w:r>
              <w:rPr>
                <w:rFonts w:ascii="游ゴシック" w:hAnsi="游ゴシック" w:eastAsia="游ゴシック"/>
                <w:b/>
                <w:sz w:val="19"/>
              </w:rPr>
              <w:t>要介護認定率</w:t>
              <w:br/>
              <w:t>（要支援1〜要介護5）</w:t>
            </w:r>
          </w:p>
        </w:tc>
        <w:tc>
          <w:tcPr>
            <w:tcW w:type="dxa" w:w="1247"/>
            <w:vAlign w:val="center"/>
          </w:tcPr>
          <w:p>
            <w:pPr>
              <w:spacing w:after="0"/>
              <w:jc w:val="center"/>
            </w:pPr>
            <w:r>
              <w:rPr>
                <w:rFonts w:ascii="游ゴシック" w:hAnsi="游ゴシック" w:eastAsia="游ゴシック"/>
                <w:b w:val="0"/>
                <w:sz w:val="19"/>
              </w:rPr>
              <w:t>20.8％</w:t>
              <w:br/>
              <w:t>（R5年3月末）</w:t>
            </w:r>
          </w:p>
        </w:tc>
        <w:tc>
          <w:tcPr>
            <w:tcW w:type="dxa" w:w="1247"/>
            <w:vAlign w:val="center"/>
          </w:tcPr>
          <w:p>
            <w:pPr>
              <w:spacing w:after="0"/>
              <w:jc w:val="center"/>
            </w:pPr>
            <w:r>
              <w:rPr>
                <w:rFonts w:ascii="游ゴシック" w:hAnsi="游ゴシック" w:eastAsia="游ゴシック"/>
                <w:b w:val="0"/>
                <w:sz w:val="19"/>
              </w:rPr>
              <w:t>21.8％</w:t>
              <w:br/>
              <w:t>（R8年3月末）</w:t>
            </w:r>
          </w:p>
        </w:tc>
        <w:tc>
          <w:tcPr>
            <w:tcW w:type="dxa" w:w="1020"/>
            <w:vAlign w:val="center"/>
          </w:tcPr>
          <w:p>
            <w:pPr>
              <w:spacing w:after="0"/>
              <w:jc w:val="center"/>
            </w:pPr>
            <w:r>
              <w:rPr>
                <w:rFonts w:ascii="游ゴシック" w:hAnsi="游ゴシック" w:eastAsia="游ゴシック"/>
                <w:b w:val="0"/>
                <w:sz w:val="19"/>
              </w:rPr>
              <w:t>現時点</w:t>
              <w:br/>
              <w:t>未達</w:t>
            </w:r>
          </w:p>
        </w:tc>
        <w:tc>
          <w:tcPr>
            <w:tcW w:type="dxa" w:w="4649"/>
            <w:vAlign w:val="center"/>
          </w:tcPr>
          <w:p>
            <w:pPr>
              <w:spacing w:after="0"/>
            </w:pPr>
            <w:r>
              <w:rPr>
                <w:rFonts w:ascii="游ゴシック" w:hAnsi="游ゴシック" w:eastAsia="游ゴシック"/>
                <w:b w:val="0"/>
                <w:sz w:val="19"/>
              </w:rPr>
              <w:t>目標は「令和5年度の実績を維持」であり、認定率の引下げを目標としたものではありません。直接法による年齢調整後は低下しており、1.0ポイントの上昇には年齢構成の変化の影響が大きいと考えられます（同一年齢層でみると75歳以上は1.8ポイント低下）。年齢以外の要因を排除したものではありません</w:t>
            </w:r>
          </w:p>
        </w:tc>
      </w:tr>
      <w:tr>
        <w:trPr>
          <w:cantSplit/>
        </w:trPr>
        <w:tc>
          <w:tcPr>
            <w:tcW w:type="dxa" w:w="1587"/>
            <w:shd w:val="clear" w:color="auto" w:fill="F2F5FA"/>
            <w:vAlign w:val="center"/>
          </w:tcPr>
          <w:p>
            <w:pPr>
              <w:spacing w:after="0"/>
            </w:pPr>
            <w:r>
              <w:rPr>
                <w:rFonts w:ascii="游ゴシック" w:hAnsi="游ゴシック" w:eastAsia="游ゴシック"/>
                <w:b/>
                <w:sz w:val="19"/>
              </w:rPr>
              <w:t>重度要介護認定率</w:t>
              <w:br/>
              <w:t>（要介護3以上）</w:t>
            </w:r>
          </w:p>
        </w:tc>
        <w:tc>
          <w:tcPr>
            <w:tcW w:type="dxa" w:w="1247"/>
            <w:shd w:val="clear" w:color="auto" w:fill="F2F5FA"/>
            <w:vAlign w:val="center"/>
          </w:tcPr>
          <w:p>
            <w:pPr>
              <w:spacing w:after="0"/>
              <w:jc w:val="center"/>
            </w:pPr>
            <w:r>
              <w:rPr>
                <w:rFonts w:ascii="游ゴシック" w:hAnsi="游ゴシック" w:eastAsia="游ゴシック"/>
                <w:b w:val="0"/>
                <w:sz w:val="19"/>
              </w:rPr>
              <w:t>6.7％</w:t>
              <w:br/>
              <w:t>（R5年度）</w:t>
            </w:r>
          </w:p>
        </w:tc>
        <w:tc>
          <w:tcPr>
            <w:tcW w:type="dxa" w:w="1247"/>
            <w:shd w:val="clear" w:color="auto" w:fill="F2F5FA"/>
            <w:vAlign w:val="center"/>
          </w:tcPr>
          <w:p>
            <w:pPr>
              <w:spacing w:after="0"/>
              <w:jc w:val="center"/>
            </w:pPr>
            <w:r>
              <w:rPr>
                <w:rFonts w:ascii="游ゴシック" w:hAnsi="游ゴシック" w:eastAsia="游ゴシック"/>
                <w:b w:val="0"/>
                <w:sz w:val="19"/>
              </w:rPr>
              <w:t>6.3％</w:t>
              <w:br/>
              <w:t>（R8年3月末）</w:t>
            </w:r>
          </w:p>
        </w:tc>
        <w:tc>
          <w:tcPr>
            <w:tcW w:type="dxa" w:w="1020"/>
            <w:shd w:val="clear" w:color="auto" w:fill="F2F5FA"/>
            <w:vAlign w:val="center"/>
          </w:tcPr>
          <w:p>
            <w:pPr>
              <w:spacing w:after="0"/>
              <w:jc w:val="center"/>
            </w:pPr>
            <w:r>
              <w:rPr>
                <w:rFonts w:ascii="游ゴシック" w:hAnsi="游ゴシック" w:eastAsia="游ゴシック"/>
                <w:b w:val="0"/>
                <w:sz w:val="19"/>
              </w:rPr>
              <w:t>現時点</w:t>
              <w:br/>
              <w:t>達成</w:t>
            </w:r>
          </w:p>
        </w:tc>
        <w:tc>
          <w:tcPr>
            <w:tcW w:type="dxa" w:w="4649"/>
            <w:shd w:val="clear" w:color="auto" w:fill="F2F5FA"/>
            <w:vAlign w:val="center"/>
          </w:tcPr>
          <w:p>
            <w:pPr>
              <w:spacing w:after="0"/>
            </w:pPr>
            <w:r>
              <w:rPr>
                <w:rFonts w:ascii="游ゴシック" w:hAnsi="游ゴシック" w:eastAsia="游ゴシック"/>
                <w:b w:val="0"/>
                <w:sz w:val="19"/>
              </w:rPr>
              <w:t>第9期計画の年度目標はR6 6.6％・R7 6.5％・R8 6.4％です。R7目標6.5％を0.2ポイント、計画自身の推計7.0％を0.7ポイント下回っています。ただし要介護3〜5の実数はR6年3月末564人からR8年3月末580人へ増加しており、率の改善は分母（第1号被保険者）の動きにも依存します</w:t>
            </w:r>
          </w:p>
        </w:tc>
      </w:tr>
      <w:tr>
        <w:trPr>
          <w:cantSplit/>
        </w:trPr>
        <w:tc>
          <w:tcPr>
            <w:tcW w:type="dxa" w:w="1587"/>
            <w:vAlign w:val="center"/>
          </w:tcPr>
          <w:p>
            <w:pPr>
              <w:spacing w:after="0"/>
            </w:pPr>
            <w:r>
              <w:rPr>
                <w:rFonts w:ascii="游ゴシック" w:hAnsi="游ゴシック" w:eastAsia="游ゴシック"/>
                <w:b/>
                <w:sz w:val="19"/>
              </w:rPr>
              <w:t>フレイル該当割合</w:t>
            </w:r>
          </w:p>
        </w:tc>
        <w:tc>
          <w:tcPr>
            <w:tcW w:type="dxa" w:w="1247"/>
            <w:vAlign w:val="center"/>
          </w:tcPr>
          <w:p>
            <w:pPr>
              <w:spacing w:after="0"/>
              <w:jc w:val="center"/>
            </w:pPr>
            <w:r>
              <w:rPr>
                <w:rFonts w:ascii="游ゴシック" w:hAnsi="游ゴシック" w:eastAsia="游ゴシック"/>
                <w:b w:val="0"/>
                <w:sz w:val="19"/>
              </w:rPr>
              <w:t>18.5％</w:t>
              <w:br/>
              <w:t>（R4年度）</w:t>
            </w:r>
          </w:p>
        </w:tc>
        <w:tc>
          <w:tcPr>
            <w:tcW w:type="dxa" w:w="1247"/>
            <w:vAlign w:val="center"/>
          </w:tcPr>
          <w:p>
            <w:pPr>
              <w:spacing w:after="0"/>
              <w:jc w:val="center"/>
            </w:pPr>
            <w:r>
              <w:rPr>
                <w:rFonts w:ascii="游ゴシック" w:hAnsi="游ゴシック" w:eastAsia="游ゴシック"/>
                <w:b w:val="0"/>
                <w:sz w:val="19"/>
              </w:rPr>
              <w:t>19.1％</w:t>
              <w:br/>
              <w:t>（R7年度）</w:t>
            </w:r>
          </w:p>
        </w:tc>
        <w:tc>
          <w:tcPr>
            <w:tcW w:type="dxa" w:w="1020"/>
            <w:vAlign w:val="center"/>
          </w:tcPr>
          <w:p>
            <w:pPr>
              <w:spacing w:after="0"/>
              <w:jc w:val="center"/>
            </w:pPr>
            <w:r>
              <w:rPr>
                <w:rFonts w:ascii="游ゴシック" w:hAnsi="游ゴシック" w:eastAsia="游ゴシック"/>
                <w:b w:val="0"/>
                <w:sz w:val="19"/>
              </w:rPr>
              <w:t>現時点</w:t>
              <w:br/>
              <w:t>未達</w:t>
            </w:r>
          </w:p>
        </w:tc>
        <w:tc>
          <w:tcPr>
            <w:tcW w:type="dxa" w:w="4649"/>
            <w:vAlign w:val="center"/>
          </w:tcPr>
          <w:p>
            <w:pPr>
              <w:spacing w:after="0"/>
            </w:pPr>
            <w:r>
              <w:rPr>
                <w:rFonts w:ascii="游ゴシック" w:hAnsi="游ゴシック" w:eastAsia="游ゴシック"/>
                <w:b w:val="0"/>
                <w:sz w:val="19"/>
              </w:rPr>
              <w:t>R7目標18.0％を1.1ポイント上回っています。基準値との差0.6ポイントは統計的に有意ではありません（下記の注）。「実態が悪化した」とは判定できません</w:t>
            </w:r>
          </w:p>
        </w:tc>
      </w:tr>
      <w:tr>
        <w:trPr>
          <w:cantSplit/>
        </w:trPr>
        <w:tc>
          <w:tcPr>
            <w:tcW w:type="dxa" w:w="1587"/>
            <w:shd w:val="clear" w:color="auto" w:fill="F2F5FA"/>
            <w:vAlign w:val="center"/>
          </w:tcPr>
          <w:p>
            <w:pPr>
              <w:spacing w:after="0"/>
            </w:pPr>
            <w:r>
              <w:rPr>
                <w:rFonts w:ascii="游ゴシック" w:hAnsi="游ゴシック" w:eastAsia="游ゴシック"/>
                <w:b/>
                <w:sz w:val="19"/>
              </w:rPr>
              <w:t>通いの場への参加率</w:t>
            </w:r>
          </w:p>
        </w:tc>
        <w:tc>
          <w:tcPr>
            <w:tcW w:type="dxa" w:w="1247"/>
            <w:shd w:val="clear" w:color="auto" w:fill="F2F5FA"/>
            <w:vAlign w:val="center"/>
          </w:tcPr>
          <w:p>
            <w:pPr>
              <w:spacing w:after="0"/>
              <w:jc w:val="center"/>
            </w:pPr>
            <w:r>
              <w:rPr>
                <w:rFonts w:ascii="游ゴシック" w:hAnsi="游ゴシック" w:eastAsia="游ゴシック"/>
                <w:b w:val="0"/>
                <w:sz w:val="19"/>
              </w:rPr>
              <w:t>7.3％</w:t>
              <w:br/>
              <w:t>（R4年度）</w:t>
            </w:r>
          </w:p>
        </w:tc>
        <w:tc>
          <w:tcPr>
            <w:tcW w:type="dxa" w:w="1247"/>
            <w:shd w:val="clear" w:color="auto" w:fill="F2F5FA"/>
            <w:vAlign w:val="center"/>
          </w:tcPr>
          <w:p>
            <w:pPr>
              <w:spacing w:after="0"/>
              <w:jc w:val="center"/>
            </w:pPr>
            <w:r>
              <w:rPr>
                <w:rFonts w:ascii="游ゴシック" w:hAnsi="游ゴシック" w:eastAsia="游ゴシック"/>
                <w:b w:val="0"/>
                <w:sz w:val="19"/>
              </w:rPr>
              <w:t>8.8％</w:t>
              <w:br/>
              <w:t>（R7年度）</w:t>
            </w:r>
          </w:p>
        </w:tc>
        <w:tc>
          <w:tcPr>
            <w:tcW w:type="dxa" w:w="1020"/>
            <w:shd w:val="clear" w:color="auto" w:fill="F2F5FA"/>
            <w:vAlign w:val="center"/>
          </w:tcPr>
          <w:p>
            <w:pPr>
              <w:spacing w:after="0"/>
              <w:jc w:val="center"/>
            </w:pPr>
            <w:r>
              <w:rPr>
                <w:rFonts w:ascii="游ゴシック" w:hAnsi="游ゴシック" w:eastAsia="游ゴシック"/>
                <w:b w:val="0"/>
                <w:sz w:val="19"/>
              </w:rPr>
              <w:t>現時点</w:t>
              <w:br/>
              <w:t>未達</w:t>
            </w:r>
          </w:p>
        </w:tc>
        <w:tc>
          <w:tcPr>
            <w:tcW w:type="dxa" w:w="4649"/>
            <w:shd w:val="clear" w:color="auto" w:fill="F2F5FA"/>
            <w:vAlign w:val="center"/>
          </w:tcPr>
          <w:p>
            <w:pPr>
              <w:spacing w:after="0"/>
            </w:pPr>
            <w:r>
              <w:rPr>
                <w:rFonts w:ascii="游ゴシック" w:hAnsi="游ゴシック" w:eastAsia="游ゴシック"/>
                <w:b w:val="0"/>
                <w:sz w:val="19"/>
              </w:rPr>
              <w:t>第9期計画の年度目標はR6 8.0％・R7 9.0％・R8 10.0％です。R7目標9.0％に0.2ポイント届いていません。基準値からの＋1.5ポイントは統計的に有意で、4指標のうち変化を検出できた唯一の指標です。なお目標の根拠とした国の水準8％（R7年度）は上回りますが、国の統計は総合事業の実施状況調査、実績は日常生活圏域ニーズ調査であり、同一の定義による比較ではありません。国と同じ総合事業ベースでは令和6年度3.53％で、令和2年度の1.6％から2.2倍に回復したものの、なお国の水準8％を大きく下回ります</w:t>
            </w:r>
          </w:p>
        </w:tc>
      </w:tr>
    </w:tbl>
    <w:p>
      <w:pPr>
        <w:spacing w:before="40"/>
      </w:pPr>
      <w:r>
        <w:rPr>
          <w:rFonts w:ascii="游ゴシック" w:hAnsi="游ゴシック" w:eastAsia="游ゴシック"/>
          <w:sz w:val="17"/>
        </w:rPr>
        <w:t>資料：介護保険事業状況報告、2025年健康とくらしの調査、地域包括ケア「見える化」システム</w:t>
      </w:r>
    </w:p>
    <w:p>
      <w:pPr>
        <w:ind w:left="227"/>
      </w:pPr>
      <w:r>
        <w:rPr>
          <w:rFonts w:ascii="游ゴシック" w:hAnsi="游ゴシック" w:eastAsia="游ゴシック"/>
          <w:sz w:val="18"/>
        </w:rPr>
        <w:t>※ フレイル該当割合の判定について。令和4年調査の有効回答数を受領していないため4,700と仮定した2標本の母比率の差の検定（両側・有意水準5％）では有意差はありません。4,000から5,000の範囲では判定は変わりません。正式な確定には令和4年調査の有効回答数の確認を要します。</w:t>
      </w:r>
    </w:p>
    <w:p>
      <w:r>
        <w:rPr>
          <w:rFonts w:ascii="游ゴシック" w:hAnsi="游ゴシック" w:eastAsia="游ゴシック"/>
          <w:b w:val="0"/>
          <w:sz w:val="21"/>
        </w:rPr>
      </w:r>
    </w:p>
    <w:p>
      <w:r>
        <w:rPr>
          <w:rFonts w:ascii="游ゴシック" w:hAnsi="游ゴシック" w:eastAsia="游ゴシック"/>
          <w:b/>
          <w:sz w:val="21"/>
        </w:rPr>
        <w:t>4項目のうち現時点達成が1項目、現時点未達が3項目です。現時点未達の3項目とも、実績の水準そのものが悪化したとは言えません（要介護認定率は年齢調整後に低下、フレイルは有意差なし、通いの場は基準値から有意に上昇）。第9期の目標設定そのものに、①要介護認定率の目標の水準が「維持」であり人口高齢化に伴う自然増を織り込んでいなかったこと、②通いの場参加率の目標の根拠とした統計と実績の統計が異なっていたこと、という課題があります。</w:t>
      </w:r>
    </w:p>
    <w:p>
      <w:pPr>
        <w:pStyle w:val="Heading2"/>
        <w:keepNext/>
        <w:spacing w:before="180" w:after="60"/>
      </w:pPr>
      <w:r>
        <w:rPr>
          <w:rFonts w:ascii="游ゴシック" w:hAnsi="游ゴシック" w:eastAsia="游ゴシック"/>
          <w:b/>
          <w:color w:val="000000"/>
          <w:sz w:val="22"/>
        </w:rPr>
        <w:t>2　第9期評価を補足する現状・長期推移の指標</w:t>
      </w:r>
    </w:p>
    <w:p>
      <w:r>
        <w:rPr>
          <w:rFonts w:ascii="游ゴシック" w:hAnsi="游ゴシック" w:eastAsia="游ゴシック"/>
          <w:b w:val="0"/>
          <w:sz w:val="20"/>
        </w:rPr>
        <w:t>次の指標は、第9期の開始前からの推移又は他団体との比較によるものです。第9期の施策による変化とは判定できないため、評価そのものではなく補足の位置づけとします。</w:t>
      </w:r>
    </w:p>
    <w:p>
      <w:pPr>
        <w:keepNext/>
        <w:spacing w:before="160" w:after="40"/>
      </w:pPr>
      <w:r>
        <w:rPr>
          <w:rFonts w:ascii="游ゴシック" w:hAnsi="游ゴシック" w:eastAsia="游ゴシック"/>
          <w:b/>
          <w:sz w:val="20"/>
        </w:rPr>
        <w:t>表6　第9期評価を補足する現状・長期推移の指標</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1950"/>
        <w:gridCol w:w="1950"/>
        <w:gridCol w:w="1950"/>
        <w:gridCol w:w="1950"/>
        <w:gridCol w:w="1950"/>
      </w:tblGrid>
      <w:tr>
        <w:trPr>
          <w:tblHeader/>
        </w:trPr>
        <w:tc>
          <w:tcPr>
            <w:tcW w:type="dxa" w:w="1587"/>
            <w:shd w:val="clear" w:color="auto" w:fill="1F3864"/>
            <w:vAlign w:val="center"/>
          </w:tcPr>
          <w:p>
            <w:pPr>
              <w:spacing w:after="0"/>
              <w:jc w:val="center"/>
            </w:pPr>
            <w:r>
              <w:rPr>
                <w:rFonts w:ascii="游ゴシック" w:hAnsi="游ゴシック" w:eastAsia="游ゴシック"/>
                <w:b/>
                <w:color w:val="FFFFFF"/>
                <w:sz w:val="19"/>
              </w:rPr>
              <w:t>指標</w:t>
            </w:r>
          </w:p>
        </w:tc>
        <w:tc>
          <w:tcPr>
            <w:tcW w:type="dxa" w:w="1361"/>
            <w:shd w:val="clear" w:color="auto" w:fill="1F3864"/>
            <w:vAlign w:val="center"/>
          </w:tcPr>
          <w:p>
            <w:pPr>
              <w:spacing w:after="0"/>
              <w:jc w:val="center"/>
            </w:pPr>
            <w:r>
              <w:rPr>
                <w:rFonts w:ascii="游ゴシック" w:hAnsi="游ゴシック" w:eastAsia="游ゴシック"/>
                <w:b/>
                <w:color w:val="FFFFFF"/>
                <w:sz w:val="19"/>
              </w:rPr>
              <w:t>大雪</w:t>
            </w:r>
          </w:p>
        </w:tc>
        <w:tc>
          <w:tcPr>
            <w:tcW w:type="dxa" w:w="1361"/>
            <w:shd w:val="clear" w:color="auto" w:fill="1F3864"/>
            <w:vAlign w:val="center"/>
          </w:tcPr>
          <w:p>
            <w:pPr>
              <w:spacing w:after="0"/>
              <w:jc w:val="center"/>
            </w:pPr>
            <w:r>
              <w:rPr>
                <w:rFonts w:ascii="游ゴシック" w:hAnsi="游ゴシック" w:eastAsia="游ゴシック"/>
                <w:b/>
                <w:color w:val="FFFFFF"/>
                <w:sz w:val="19"/>
              </w:rPr>
              <w:t>比較対象</w:t>
            </w:r>
          </w:p>
        </w:tc>
        <w:tc>
          <w:tcPr>
            <w:tcW w:type="dxa" w:w="794"/>
            <w:shd w:val="clear" w:color="auto" w:fill="1F3864"/>
            <w:vAlign w:val="center"/>
          </w:tcPr>
          <w:p>
            <w:pPr>
              <w:spacing w:after="0"/>
              <w:jc w:val="center"/>
            </w:pPr>
            <w:r>
              <w:rPr>
                <w:rFonts w:ascii="游ゴシック" w:hAnsi="游ゴシック" w:eastAsia="游ゴシック"/>
                <w:b/>
                <w:color w:val="FFFFFF"/>
                <w:sz w:val="19"/>
              </w:rPr>
              <w:t>判定</w:t>
            </w:r>
          </w:p>
        </w:tc>
        <w:tc>
          <w:tcPr>
            <w:tcW w:type="dxa" w:w="4649"/>
            <w:shd w:val="clear" w:color="auto" w:fill="1F3864"/>
            <w:vAlign w:val="center"/>
          </w:tcPr>
          <w:p>
            <w:pPr>
              <w:spacing w:after="0"/>
              <w:jc w:val="center"/>
            </w:pPr>
            <w:r>
              <w:rPr>
                <w:rFonts w:ascii="游ゴシック" w:hAnsi="游ゴシック" w:eastAsia="游ゴシック"/>
                <w:b/>
                <w:color w:val="FFFFFF"/>
                <w:sz w:val="19"/>
              </w:rPr>
              <w:t>評価の内容</w:t>
            </w:r>
          </w:p>
        </w:tc>
      </w:tr>
      <w:tr>
        <w:trPr>
          <w:cantSplit/>
        </w:trPr>
        <w:tc>
          <w:tcPr>
            <w:tcW w:type="dxa" w:w="1587"/>
            <w:vAlign w:val="center"/>
          </w:tcPr>
          <w:p>
            <w:pPr>
              <w:spacing w:after="0"/>
            </w:pPr>
            <w:r>
              <w:rPr>
                <w:rFonts w:ascii="游ゴシック" w:hAnsi="游ゴシック" w:eastAsia="游ゴシック"/>
                <w:b/>
                <w:sz w:val="19"/>
              </w:rPr>
              <w:t>性・年齢調整済み</w:t>
              <w:br/>
              <w:t>要介護2以上認定率</w:t>
            </w:r>
          </w:p>
        </w:tc>
        <w:tc>
          <w:tcPr>
            <w:tcW w:type="dxa" w:w="1361"/>
            <w:vAlign w:val="center"/>
          </w:tcPr>
          <w:p>
            <w:pPr>
              <w:spacing w:after="0"/>
              <w:jc w:val="center"/>
            </w:pPr>
            <w:r>
              <w:rPr>
                <w:rFonts w:ascii="游ゴシック" w:hAnsi="游ゴシック" w:eastAsia="游ゴシック"/>
                <w:b w:val="0"/>
                <w:sz w:val="19"/>
              </w:rPr>
              <w:t>9.25％</w:t>
            </w:r>
          </w:p>
        </w:tc>
        <w:tc>
          <w:tcPr>
            <w:tcW w:type="dxa" w:w="1361"/>
            <w:vAlign w:val="center"/>
          </w:tcPr>
          <w:p>
            <w:pPr>
              <w:spacing w:after="0"/>
              <w:jc w:val="center"/>
            </w:pPr>
            <w:r>
              <w:rPr>
                <w:rFonts w:ascii="游ゴシック" w:hAnsi="游ゴシック" w:eastAsia="游ゴシック"/>
                <w:b w:val="0"/>
                <w:sz w:val="19"/>
              </w:rPr>
              <w:t>全国8.99％</w:t>
              <w:br/>
              <w:t>北海道8.59％</w:t>
            </w:r>
          </w:p>
        </w:tc>
        <w:tc>
          <w:tcPr>
            <w:tcW w:type="dxa" w:w="794"/>
            <w:vAlign w:val="center"/>
          </w:tcPr>
          <w:p>
            <w:pPr>
              <w:spacing w:after="0"/>
              <w:jc w:val="center"/>
            </w:pPr>
            <w:r>
              <w:rPr>
                <w:rFonts w:ascii="游ゴシック" w:hAnsi="游ゴシック" w:eastAsia="游ゴシック"/>
                <w:b w:val="0"/>
                <w:sz w:val="19"/>
              </w:rPr>
              <w:t>課題</w:t>
            </w:r>
          </w:p>
        </w:tc>
        <w:tc>
          <w:tcPr>
            <w:tcW w:type="dxa" w:w="4649"/>
            <w:vAlign w:val="center"/>
          </w:tcPr>
          <w:p>
            <w:pPr>
              <w:spacing w:after="0"/>
            </w:pPr>
            <w:r>
              <w:rPr>
                <w:rFonts w:ascii="游ゴシック" w:hAnsi="游ゴシック" w:eastAsia="游ゴシック"/>
                <w:b w:val="0"/>
                <w:sz w:val="19"/>
              </w:rPr>
              <w:t>全国を2.9％上回ります。変化率も全国▲0.37・北海道▲1.71に対し大雪＋1.76で、当広域連合のみ上昇しています</w:t>
            </w:r>
          </w:p>
        </w:tc>
      </w:tr>
      <w:tr>
        <w:trPr>
          <w:cantSplit/>
        </w:trPr>
        <w:tc>
          <w:tcPr>
            <w:tcW w:type="dxa" w:w="1587"/>
            <w:shd w:val="clear" w:color="auto" w:fill="F2F5FA"/>
            <w:vAlign w:val="center"/>
          </w:tcPr>
          <w:p>
            <w:pPr>
              <w:spacing w:after="0"/>
            </w:pPr>
            <w:r>
              <w:rPr>
                <w:rFonts w:ascii="游ゴシック" w:hAnsi="游ゴシック" w:eastAsia="游ゴシック"/>
                <w:b/>
                <w:sz w:val="19"/>
              </w:rPr>
              <w:t>保険者機能強化推進</w:t>
              <w:br/>
              <w:t>交付金の得点</w:t>
            </w:r>
          </w:p>
        </w:tc>
        <w:tc>
          <w:tcPr>
            <w:tcW w:type="dxa" w:w="1361"/>
            <w:shd w:val="clear" w:color="auto" w:fill="F2F5FA"/>
            <w:vAlign w:val="center"/>
          </w:tcPr>
          <w:p>
            <w:pPr>
              <w:spacing w:after="0"/>
              <w:jc w:val="center"/>
            </w:pPr>
            <w:r>
              <w:rPr>
                <w:rFonts w:ascii="游ゴシック" w:hAnsi="游ゴシック" w:eastAsia="游ゴシック"/>
                <w:b w:val="0"/>
                <w:sz w:val="19"/>
              </w:rPr>
              <w:t>全国平均比</w:t>
            </w:r>
          </w:p>
        </w:tc>
        <w:tc>
          <w:tcPr>
            <w:tcW w:type="dxa" w:w="1361"/>
            <w:shd w:val="clear" w:color="auto" w:fill="F2F5FA"/>
            <w:vAlign w:val="center"/>
          </w:tcPr>
          <w:p>
            <w:pPr>
              <w:spacing w:after="0"/>
              <w:jc w:val="center"/>
            </w:pPr>
            <w:r>
              <w:rPr>
                <w:rFonts w:ascii="游ゴシック" w:hAnsi="游ゴシック" w:eastAsia="游ゴシック"/>
                <w:b w:val="0"/>
                <w:sz w:val="19"/>
              </w:rPr>
              <w:t>全国平均</w:t>
            </w:r>
          </w:p>
        </w:tc>
        <w:tc>
          <w:tcPr>
            <w:tcW w:type="dxa" w:w="794"/>
            <w:shd w:val="clear" w:color="auto" w:fill="F2F5FA"/>
            <w:vAlign w:val="center"/>
          </w:tcPr>
          <w:p>
            <w:pPr>
              <w:spacing w:after="0"/>
              <w:jc w:val="center"/>
            </w:pPr>
            <w:r>
              <w:rPr>
                <w:rFonts w:ascii="游ゴシック" w:hAnsi="游ゴシック" w:eastAsia="游ゴシック"/>
                <w:b w:val="0"/>
                <w:sz w:val="19"/>
              </w:rPr>
              <w:t>課題</w:t>
            </w:r>
          </w:p>
        </w:tc>
        <w:tc>
          <w:tcPr>
            <w:tcW w:type="dxa" w:w="4649"/>
            <w:shd w:val="clear" w:color="auto" w:fill="F2F5FA"/>
            <w:vAlign w:val="center"/>
          </w:tcPr>
          <w:p>
            <w:pPr>
              <w:spacing w:after="0"/>
            </w:pPr>
            <w:r>
              <w:rPr>
                <w:rFonts w:ascii="游ゴシック" w:hAnsi="游ゴシック" w:eastAsia="游ゴシック"/>
                <w:b w:val="0"/>
                <w:sz w:val="19"/>
              </w:rPr>
              <w:t>令和8年度の成果指標群の得点は全国平均の115.3％、体制・取組指標群と活動指標群は全国の54.8〜74.6％です。全国平均が3年で32.5点上がる一方、3町平均は2.0点にとどまり、対全国比は78.6％から73.4％へ低下しています。体制・取組指標群の得点が低い原因が、未実施・要件未充足・記録及び報告の不備のいずれによるかは、評価調書（資料No.5）で確認します。現時点では未確認です</w:t>
            </w:r>
          </w:p>
        </w:tc>
      </w:tr>
      <w:tr>
        <w:trPr>
          <w:cantSplit/>
        </w:trPr>
        <w:tc>
          <w:tcPr>
            <w:tcW w:type="dxa" w:w="1587"/>
            <w:vAlign w:val="center"/>
          </w:tcPr>
          <w:p>
            <w:pPr>
              <w:spacing w:after="0"/>
            </w:pPr>
            <w:r>
              <w:rPr>
                <w:rFonts w:ascii="游ゴシック" w:hAnsi="游ゴシック" w:eastAsia="游ゴシック"/>
                <w:b/>
                <w:sz w:val="19"/>
              </w:rPr>
              <w:t>介護サービス利用率</w:t>
              <w:br/>
              <w:t>（受給者÷認定者）</w:t>
            </w:r>
          </w:p>
        </w:tc>
        <w:tc>
          <w:tcPr>
            <w:tcW w:type="dxa" w:w="1361"/>
            <w:vAlign w:val="center"/>
          </w:tcPr>
          <w:p>
            <w:pPr>
              <w:spacing w:after="0"/>
              <w:jc w:val="center"/>
            </w:pPr>
            <w:r>
              <w:rPr>
                <w:rFonts w:ascii="游ゴシック" w:hAnsi="游ゴシック" w:eastAsia="游ゴシック"/>
                <w:b w:val="0"/>
                <w:sz w:val="19"/>
              </w:rPr>
              <w:t>74.3％</w:t>
              <w:br/>
              <w:t>（R6年度）</w:t>
            </w:r>
          </w:p>
        </w:tc>
        <w:tc>
          <w:tcPr>
            <w:tcW w:type="dxa" w:w="1361"/>
            <w:vAlign w:val="center"/>
          </w:tcPr>
          <w:p>
            <w:pPr>
              <w:spacing w:after="0"/>
              <w:jc w:val="center"/>
            </w:pPr>
            <w:r>
              <w:rPr>
                <w:rFonts w:ascii="游ゴシック" w:hAnsi="游ゴシック" w:eastAsia="游ゴシック"/>
                <w:b w:val="0"/>
                <w:sz w:val="19"/>
              </w:rPr>
              <w:t>H28年度82.2％</w:t>
            </w:r>
          </w:p>
        </w:tc>
        <w:tc>
          <w:tcPr>
            <w:tcW w:type="dxa" w:w="794"/>
            <w:vAlign w:val="center"/>
          </w:tcPr>
          <w:p>
            <w:pPr>
              <w:spacing w:after="0"/>
              <w:jc w:val="center"/>
            </w:pPr>
            <w:r>
              <w:rPr>
                <w:rFonts w:ascii="游ゴシック" w:hAnsi="游ゴシック" w:eastAsia="游ゴシック"/>
                <w:b w:val="0"/>
                <w:sz w:val="19"/>
              </w:rPr>
              <w:t>課題</w:t>
            </w:r>
          </w:p>
        </w:tc>
        <w:tc>
          <w:tcPr>
            <w:tcW w:type="dxa" w:w="4649"/>
            <w:vAlign w:val="center"/>
          </w:tcPr>
          <w:p>
            <w:pPr>
              <w:spacing w:after="0"/>
            </w:pPr>
            <w:r>
              <w:rPr>
                <w:rFonts w:ascii="游ゴシック" w:hAnsi="游ゴシック" w:eastAsia="游ゴシック"/>
                <w:b w:val="0"/>
                <w:sz w:val="19"/>
              </w:rPr>
              <w:t>7.9ポイント低下。未利用認定者504人（認定者の25.7％）。要因は分解できていません</w:t>
            </w:r>
          </w:p>
        </w:tc>
      </w:tr>
      <w:tr>
        <w:trPr>
          <w:cantSplit/>
        </w:trPr>
        <w:tc>
          <w:tcPr>
            <w:tcW w:type="dxa" w:w="1587"/>
            <w:shd w:val="clear" w:color="auto" w:fill="F2F5FA"/>
            <w:vAlign w:val="center"/>
          </w:tcPr>
          <w:p>
            <w:pPr>
              <w:spacing w:after="0"/>
            </w:pPr>
            <w:r>
              <w:rPr>
                <w:rFonts w:ascii="游ゴシック" w:hAnsi="游ゴシック" w:eastAsia="游ゴシック"/>
                <w:b/>
                <w:sz w:val="19"/>
              </w:rPr>
              <w:t>第1号1人当たり</w:t>
              <w:br/>
              <w:t>給付月額</w:t>
            </w:r>
          </w:p>
        </w:tc>
        <w:tc>
          <w:tcPr>
            <w:tcW w:type="dxa" w:w="1361"/>
            <w:shd w:val="clear" w:color="auto" w:fill="F2F5FA"/>
            <w:vAlign w:val="center"/>
          </w:tcPr>
          <w:p>
            <w:pPr>
              <w:spacing w:after="0"/>
              <w:jc w:val="center"/>
            </w:pPr>
            <w:r>
              <w:rPr>
                <w:rFonts w:ascii="游ゴシック" w:hAnsi="游ゴシック" w:eastAsia="游ゴシック"/>
                <w:b w:val="0"/>
                <w:sz w:val="19"/>
              </w:rPr>
              <w:t>26,885円</w:t>
              <w:br/>
              <w:t>（R7年度）</w:t>
            </w:r>
          </w:p>
        </w:tc>
        <w:tc>
          <w:tcPr>
            <w:tcW w:type="dxa" w:w="1361"/>
            <w:shd w:val="clear" w:color="auto" w:fill="F2F5FA"/>
            <w:vAlign w:val="center"/>
          </w:tcPr>
          <w:p>
            <w:pPr>
              <w:spacing w:after="0"/>
              <w:jc w:val="center"/>
            </w:pPr>
            <w:r>
              <w:rPr>
                <w:rFonts w:ascii="游ゴシック" w:hAnsi="游ゴシック" w:eastAsia="游ゴシック"/>
                <w:b w:val="0"/>
                <w:sz w:val="19"/>
              </w:rPr>
              <w:t>全国＝1.00に対し1.08</w:t>
            </w:r>
          </w:p>
        </w:tc>
        <w:tc>
          <w:tcPr>
            <w:tcW w:type="dxa" w:w="794"/>
            <w:shd w:val="clear" w:color="auto" w:fill="F2F5FA"/>
            <w:vAlign w:val="center"/>
          </w:tcPr>
          <w:p>
            <w:pPr>
              <w:spacing w:after="0"/>
              <w:jc w:val="center"/>
            </w:pPr>
            <w:r>
              <w:rPr>
                <w:rFonts w:ascii="游ゴシック" w:hAnsi="游ゴシック" w:eastAsia="游ゴシック"/>
                <w:b w:val="0"/>
                <w:sz w:val="19"/>
              </w:rPr>
              <w:t>水準は高い</w:t>
            </w:r>
          </w:p>
        </w:tc>
        <w:tc>
          <w:tcPr>
            <w:tcW w:type="dxa" w:w="4649"/>
            <w:shd w:val="clear" w:color="auto" w:fill="F2F5FA"/>
            <w:vAlign w:val="center"/>
          </w:tcPr>
          <w:p>
            <w:pPr>
              <w:spacing w:after="0"/>
            </w:pPr>
            <w:r>
              <w:rPr>
                <w:rFonts w:ascii="游ゴシック" w:hAnsi="游ゴシック" w:eastAsia="游ゴシック"/>
                <w:b w:val="0"/>
                <w:sz w:val="19"/>
              </w:rPr>
              <w:t>ただし上川管内21保険者では8〜10位で管内中位（1.05）に近く、17年間の伸び率＋25.1％は管内16位（管内平均＋46.4％）です</w:t>
            </w:r>
          </w:p>
        </w:tc>
      </w:tr>
      <w:tr>
        <w:trPr>
          <w:cantSplit/>
        </w:trPr>
        <w:tc>
          <w:tcPr>
            <w:tcW w:type="dxa" w:w="1587"/>
            <w:vAlign w:val="center"/>
          </w:tcPr>
          <w:p>
            <w:pPr>
              <w:spacing w:after="0"/>
            </w:pPr>
            <w:r>
              <w:rPr>
                <w:rFonts w:ascii="游ゴシック" w:hAnsi="游ゴシック" w:eastAsia="游ゴシック"/>
                <w:b/>
                <w:sz w:val="19"/>
              </w:rPr>
              <w:t>介護サービス自給率</w:t>
            </w:r>
          </w:p>
        </w:tc>
        <w:tc>
          <w:tcPr>
            <w:tcW w:type="dxa" w:w="1361"/>
            <w:vAlign w:val="center"/>
          </w:tcPr>
          <w:p>
            <w:pPr>
              <w:spacing w:after="0"/>
              <w:jc w:val="center"/>
            </w:pPr>
            <w:r>
              <w:rPr>
                <w:rFonts w:ascii="游ゴシック" w:hAnsi="游ゴシック" w:eastAsia="游ゴシック"/>
                <w:b w:val="0"/>
                <w:sz w:val="19"/>
              </w:rPr>
              <w:t>区分別に算定</w:t>
            </w:r>
          </w:p>
        </w:tc>
        <w:tc>
          <w:tcPr>
            <w:tcW w:type="dxa" w:w="1361"/>
            <w:vAlign w:val="center"/>
          </w:tcPr>
          <w:p>
            <w:pPr>
              <w:spacing w:after="0"/>
              <w:jc w:val="center"/>
            </w:pPr>
            <w:r>
              <w:rPr>
                <w:rFonts w:ascii="游ゴシック" w:hAnsi="游ゴシック" w:eastAsia="游ゴシック"/>
                <w:b w:val="0"/>
                <w:sz w:val="19"/>
              </w:rPr>
              <w:t>―</w:t>
            </w:r>
          </w:p>
        </w:tc>
        <w:tc>
          <w:tcPr>
            <w:tcW w:type="dxa" w:w="794"/>
            <w:vAlign w:val="center"/>
          </w:tcPr>
          <w:p>
            <w:pPr>
              <w:spacing w:after="0"/>
              <w:jc w:val="center"/>
            </w:pPr>
            <w:r>
              <w:rPr>
                <w:rFonts w:ascii="游ゴシック" w:hAnsi="游ゴシック" w:eastAsia="游ゴシック"/>
                <w:b w:val="0"/>
                <w:sz w:val="19"/>
              </w:rPr>
              <w:t>地域差</w:t>
            </w:r>
          </w:p>
        </w:tc>
        <w:tc>
          <w:tcPr>
            <w:tcW w:type="dxa" w:w="4649"/>
            <w:vAlign w:val="center"/>
          </w:tcPr>
          <w:p>
            <w:pPr>
              <w:spacing w:after="0"/>
            </w:pPr>
            <w:r>
              <w:rPr>
                <w:rFonts w:ascii="游ゴシック" w:hAnsi="游ゴシック" w:eastAsia="游ゴシック"/>
                <w:b w:val="0"/>
                <w:sz w:val="19"/>
              </w:rPr>
              <w:t>3町で差があります。ただし美瑛町は6区分、東川町・東神楽町は5区分の平均であり、町間の比較条件が一致しません。町別の順位付けや整備方針の直接の根拠には用いず、区分別の比較によります。計画本文への掲載の可否は別途ご確認をお願いします</w:t>
            </w:r>
          </w:p>
        </w:tc>
      </w:tr>
    </w:tbl>
    <w:p>
      <w:r>
        <w:rPr>
          <w:rFonts w:ascii="游ゴシック" w:hAnsi="游ゴシック" w:eastAsia="游ゴシック"/>
          <w:b w:val="0"/>
          <w:sz w:val="21"/>
        </w:rPr>
      </w:r>
    </w:p>
    <w:p>
      <w:r>
        <w:rPr>
          <w:rFonts w:ascii="游ゴシック" w:hAnsi="游ゴシック" w:eastAsia="游ゴシック"/>
          <w:b/>
          <w:sz w:val="21"/>
        </w:rPr>
        <w:t>国の交付金評価では、成果指標群の得点が高く、活動指標群の得点が低くなっています。原因は未確認です。評価調書により原因を特定したうえで、第10期における活動の記録・報告のあり方を検討します。</w:t>
      </w:r>
    </w:p>
    <w:p>
      <w:pPr>
        <w:pStyle w:val="Heading2"/>
        <w:keepNext/>
        <w:spacing w:before="180" w:after="60"/>
      </w:pPr>
      <w:r>
        <w:rPr>
          <w:rFonts w:ascii="游ゴシック" w:hAnsi="游ゴシック" w:eastAsia="游ゴシック"/>
          <w:b/>
          <w:color w:val="000000"/>
          <w:sz w:val="22"/>
        </w:rPr>
        <w:t>3　計画値と実績値の対比</w:t>
      </w:r>
    </w:p>
    <w:p>
      <w:r>
        <w:rPr>
          <w:rFonts w:ascii="游ゴシック" w:hAnsi="游ゴシック" w:eastAsia="游ゴシック"/>
          <w:b w:val="0"/>
          <w:sz w:val="20"/>
        </w:rPr>
        <w:t>第9期計画が国へ報告した計画値と、介護保険事業状況報告による実績値との対比です。令和8年度の実績は未登録のため、令和6年度・令和7年度の2か年で判定します。</w:t>
      </w:r>
    </w:p>
    <w:p>
      <w:pPr>
        <w:keepNext/>
        <w:spacing w:before="160" w:after="40"/>
      </w:pPr>
      <w:r>
        <w:rPr>
          <w:rFonts w:ascii="游ゴシック" w:hAnsi="游ゴシック" w:eastAsia="游ゴシック"/>
          <w:b/>
          <w:sz w:val="20"/>
        </w:rPr>
        <w:t>表7　第9期 主要指標の対計画比（令和6年度・令和7年度）</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1625"/>
        <w:gridCol w:w="1625"/>
        <w:gridCol w:w="1625"/>
        <w:gridCol w:w="1625"/>
        <w:gridCol w:w="1625"/>
        <w:gridCol w:w="1625"/>
      </w:tblGrid>
      <w:tr>
        <w:trPr>
          <w:tblHeader/>
        </w:trPr>
        <w:tc>
          <w:tcPr>
            <w:tcW w:type="dxa" w:w="1928"/>
            <w:shd w:val="clear" w:color="auto" w:fill="1F3864"/>
            <w:vAlign w:val="center"/>
          </w:tcPr>
          <w:p>
            <w:pPr>
              <w:spacing w:after="0"/>
              <w:jc w:val="center"/>
            </w:pPr>
            <w:r>
              <w:rPr>
                <w:rFonts w:ascii="游ゴシック" w:hAnsi="游ゴシック" w:eastAsia="游ゴシック"/>
                <w:b/>
                <w:color w:val="FFFFFF"/>
                <w:sz w:val="19"/>
              </w:rPr>
              <w:t>指標</w:t>
            </w:r>
          </w:p>
        </w:tc>
        <w:tc>
          <w:tcPr>
            <w:tcW w:type="dxa" w:w="1247"/>
            <w:shd w:val="clear" w:color="auto" w:fill="1F3864"/>
            <w:vAlign w:val="center"/>
          </w:tcPr>
          <w:p>
            <w:pPr>
              <w:spacing w:after="0"/>
              <w:jc w:val="center"/>
            </w:pPr>
            <w:r>
              <w:rPr>
                <w:rFonts w:ascii="游ゴシック" w:hAnsi="游ゴシック" w:eastAsia="游ゴシック"/>
                <w:b/>
                <w:color w:val="FFFFFF"/>
                <w:sz w:val="19"/>
              </w:rPr>
              <w:t>R6実績</w:t>
            </w:r>
          </w:p>
        </w:tc>
        <w:tc>
          <w:tcPr>
            <w:tcW w:type="dxa" w:w="1077"/>
            <w:shd w:val="clear" w:color="auto" w:fill="1F3864"/>
            <w:vAlign w:val="center"/>
          </w:tcPr>
          <w:p>
            <w:pPr>
              <w:spacing w:after="0"/>
              <w:jc w:val="center"/>
            </w:pPr>
            <w:r>
              <w:rPr>
                <w:rFonts w:ascii="游ゴシック" w:hAnsi="游ゴシック" w:eastAsia="游ゴシック"/>
                <w:b/>
                <w:color w:val="FFFFFF"/>
                <w:sz w:val="19"/>
              </w:rPr>
              <w:t>R6対計画比</w:t>
            </w:r>
          </w:p>
        </w:tc>
        <w:tc>
          <w:tcPr>
            <w:tcW w:type="dxa" w:w="1247"/>
            <w:shd w:val="clear" w:color="auto" w:fill="1F3864"/>
            <w:vAlign w:val="center"/>
          </w:tcPr>
          <w:p>
            <w:pPr>
              <w:spacing w:after="0"/>
              <w:jc w:val="center"/>
            </w:pPr>
            <w:r>
              <w:rPr>
                <w:rFonts w:ascii="游ゴシック" w:hAnsi="游ゴシック" w:eastAsia="游ゴシック"/>
                <w:b/>
                <w:color w:val="FFFFFF"/>
                <w:sz w:val="19"/>
              </w:rPr>
              <w:t>R7実績</w:t>
            </w:r>
          </w:p>
        </w:tc>
        <w:tc>
          <w:tcPr>
            <w:tcW w:type="dxa" w:w="1077"/>
            <w:shd w:val="clear" w:color="auto" w:fill="1F3864"/>
            <w:vAlign w:val="center"/>
          </w:tcPr>
          <w:p>
            <w:pPr>
              <w:spacing w:after="0"/>
              <w:jc w:val="center"/>
            </w:pPr>
            <w:r>
              <w:rPr>
                <w:rFonts w:ascii="游ゴシック" w:hAnsi="游ゴシック" w:eastAsia="游ゴシック"/>
                <w:b/>
                <w:color w:val="FFFFFF"/>
                <w:sz w:val="19"/>
              </w:rPr>
              <w:t>R7対計画比</w:t>
            </w:r>
          </w:p>
        </w:tc>
        <w:tc>
          <w:tcPr>
            <w:tcW w:type="dxa" w:w="907"/>
            <w:shd w:val="clear" w:color="auto" w:fill="1F3864"/>
            <w:vAlign w:val="center"/>
          </w:tcPr>
          <w:p>
            <w:pPr>
              <w:spacing w:after="0"/>
              <w:jc w:val="center"/>
            </w:pPr>
            <w:r>
              <w:rPr>
                <w:rFonts w:ascii="游ゴシック" w:hAnsi="游ゴシック" w:eastAsia="游ゴシック"/>
                <w:b/>
                <w:color w:val="FFFFFF"/>
                <w:sz w:val="19"/>
              </w:rPr>
              <w:t>中間判定</w:t>
            </w:r>
          </w:p>
        </w:tc>
      </w:tr>
      <w:tr>
        <w:trPr>
          <w:cantSplit/>
        </w:trPr>
        <w:tc>
          <w:tcPr>
            <w:tcW w:type="dxa" w:w="1928"/>
            <w:vAlign w:val="center"/>
          </w:tcPr>
          <w:p>
            <w:pPr>
              <w:spacing w:after="0"/>
            </w:pPr>
            <w:r>
              <w:rPr>
                <w:rFonts w:ascii="游ゴシック" w:hAnsi="游ゴシック" w:eastAsia="游ゴシック"/>
                <w:b/>
                <w:sz w:val="19"/>
              </w:rPr>
              <w:t>第1号被保険者数</w:t>
            </w:r>
          </w:p>
        </w:tc>
        <w:tc>
          <w:tcPr>
            <w:tcW w:type="dxa" w:w="1247"/>
            <w:vAlign w:val="center"/>
          </w:tcPr>
          <w:p>
            <w:pPr>
              <w:spacing w:after="0"/>
            </w:pPr>
            <w:r>
              <w:rPr>
                <w:rFonts w:ascii="游ゴシック" w:hAnsi="游ゴシック" w:eastAsia="游ゴシック"/>
                <w:b w:val="0"/>
                <w:sz w:val="19"/>
              </w:rPr>
              <w:t>9,143人</w:t>
            </w:r>
          </w:p>
        </w:tc>
        <w:tc>
          <w:tcPr>
            <w:tcW w:type="dxa" w:w="1077"/>
            <w:vAlign w:val="center"/>
          </w:tcPr>
          <w:p>
            <w:pPr>
              <w:spacing w:after="0"/>
              <w:jc w:val="center"/>
            </w:pPr>
            <w:r>
              <w:rPr>
                <w:rFonts w:ascii="游ゴシック" w:hAnsi="游ゴシック" w:eastAsia="游ゴシック"/>
                <w:b w:val="0"/>
                <w:sz w:val="19"/>
              </w:rPr>
              <w:t>99.3％</w:t>
            </w:r>
          </w:p>
        </w:tc>
        <w:tc>
          <w:tcPr>
            <w:tcW w:type="dxa" w:w="1247"/>
            <w:vAlign w:val="center"/>
          </w:tcPr>
          <w:p>
            <w:pPr>
              <w:spacing w:after="0"/>
              <w:jc w:val="center"/>
            </w:pPr>
            <w:r>
              <w:rPr>
                <w:rFonts w:ascii="游ゴシック" w:hAnsi="游ゴシック" w:eastAsia="游ゴシック"/>
                <w:b w:val="0"/>
                <w:sz w:val="19"/>
              </w:rPr>
              <w:t>9,119人</w:t>
            </w:r>
          </w:p>
        </w:tc>
        <w:tc>
          <w:tcPr>
            <w:tcW w:type="dxa" w:w="1077"/>
            <w:vAlign w:val="center"/>
          </w:tcPr>
          <w:p>
            <w:pPr>
              <w:spacing w:after="0"/>
              <w:jc w:val="center"/>
            </w:pPr>
            <w:r>
              <w:rPr>
                <w:rFonts w:ascii="游ゴシック" w:hAnsi="游ゴシック" w:eastAsia="游ゴシック"/>
                <w:b w:val="0"/>
                <w:sz w:val="19"/>
              </w:rPr>
              <w:t>98.5％</w:t>
            </w:r>
          </w:p>
        </w:tc>
        <w:tc>
          <w:tcPr>
            <w:tcW w:type="dxa" w:w="907"/>
            <w:vAlign w:val="center"/>
          </w:tcPr>
          <w:p>
            <w:pPr>
              <w:spacing w:after="0"/>
              <w:jc w:val="center"/>
            </w:pPr>
            <w:r>
              <w:rPr>
                <w:rFonts w:ascii="游ゴシック" w:hAnsi="游ゴシック" w:eastAsia="游ゴシック"/>
                <w:b w:val="0"/>
                <w:sz w:val="19"/>
              </w:rPr>
              <w:t>計画内</w:t>
            </w:r>
          </w:p>
        </w:tc>
      </w:tr>
      <w:tr>
        <w:trPr>
          <w:cantSplit/>
        </w:trPr>
        <w:tc>
          <w:tcPr>
            <w:tcW w:type="dxa" w:w="1928"/>
            <w:shd w:val="clear" w:color="auto" w:fill="F2F5FA"/>
            <w:vAlign w:val="center"/>
          </w:tcPr>
          <w:p>
            <w:pPr>
              <w:spacing w:after="0"/>
            </w:pPr>
            <w:r>
              <w:rPr>
                <w:rFonts w:ascii="游ゴシック" w:hAnsi="游ゴシック" w:eastAsia="游ゴシック"/>
                <w:b/>
                <w:sz w:val="19"/>
              </w:rPr>
              <w:t>要介護認定者数</w:t>
            </w:r>
          </w:p>
        </w:tc>
        <w:tc>
          <w:tcPr>
            <w:tcW w:type="dxa" w:w="1247"/>
            <w:shd w:val="clear" w:color="auto" w:fill="F2F5FA"/>
            <w:vAlign w:val="center"/>
          </w:tcPr>
          <w:p>
            <w:pPr>
              <w:spacing w:after="0"/>
            </w:pPr>
            <w:r>
              <w:rPr>
                <w:rFonts w:ascii="游ゴシック" w:hAnsi="游ゴシック" w:eastAsia="游ゴシック"/>
                <w:b w:val="0"/>
                <w:sz w:val="19"/>
              </w:rPr>
              <w:t>1,942人</w:t>
            </w:r>
          </w:p>
        </w:tc>
        <w:tc>
          <w:tcPr>
            <w:tcW w:type="dxa" w:w="1077"/>
            <w:shd w:val="clear" w:color="auto" w:fill="F2F5FA"/>
            <w:vAlign w:val="center"/>
          </w:tcPr>
          <w:p>
            <w:pPr>
              <w:spacing w:after="0"/>
              <w:jc w:val="center"/>
            </w:pPr>
            <w:r>
              <w:rPr>
                <w:rFonts w:ascii="游ゴシック" w:hAnsi="游ゴシック" w:eastAsia="游ゴシック"/>
                <w:b w:val="0"/>
                <w:sz w:val="19"/>
              </w:rPr>
              <w:t>97.7％</w:t>
            </w:r>
          </w:p>
        </w:tc>
        <w:tc>
          <w:tcPr>
            <w:tcW w:type="dxa" w:w="1247"/>
            <w:shd w:val="clear" w:color="auto" w:fill="F2F5FA"/>
            <w:vAlign w:val="center"/>
          </w:tcPr>
          <w:p>
            <w:pPr>
              <w:spacing w:after="0"/>
              <w:jc w:val="center"/>
            </w:pPr>
            <w:r>
              <w:rPr>
                <w:rFonts w:ascii="游ゴシック" w:hAnsi="游ゴシック" w:eastAsia="游ゴシック"/>
                <w:b w:val="0"/>
                <w:sz w:val="19"/>
              </w:rPr>
              <w:t>1,943人</w:t>
            </w:r>
          </w:p>
        </w:tc>
        <w:tc>
          <w:tcPr>
            <w:tcW w:type="dxa" w:w="1077"/>
            <w:shd w:val="clear" w:color="auto" w:fill="F2F5FA"/>
            <w:vAlign w:val="center"/>
          </w:tcPr>
          <w:p>
            <w:pPr>
              <w:spacing w:after="0"/>
              <w:jc w:val="center"/>
            </w:pPr>
            <w:r>
              <w:rPr>
                <w:rFonts w:ascii="游ゴシック" w:hAnsi="游ゴシック" w:eastAsia="游ゴシック"/>
                <w:b w:val="0"/>
                <w:sz w:val="19"/>
              </w:rPr>
              <w:t>96.0％</w:t>
            </w:r>
          </w:p>
        </w:tc>
        <w:tc>
          <w:tcPr>
            <w:tcW w:type="dxa" w:w="907"/>
            <w:shd w:val="clear" w:color="auto" w:fill="F2F5FA"/>
            <w:vAlign w:val="center"/>
          </w:tcPr>
          <w:p>
            <w:pPr>
              <w:spacing w:after="0"/>
              <w:jc w:val="center"/>
            </w:pPr>
            <w:r>
              <w:rPr>
                <w:rFonts w:ascii="游ゴシック" w:hAnsi="游ゴシック" w:eastAsia="游ゴシック"/>
                <w:b w:val="0"/>
                <w:sz w:val="19"/>
              </w:rPr>
              <w:t>計画内</w:t>
            </w:r>
          </w:p>
        </w:tc>
      </w:tr>
      <w:tr>
        <w:trPr>
          <w:cantSplit/>
        </w:trPr>
        <w:tc>
          <w:tcPr>
            <w:tcW w:type="dxa" w:w="1928"/>
            <w:vAlign w:val="center"/>
          </w:tcPr>
          <w:p>
            <w:pPr>
              <w:spacing w:after="0"/>
            </w:pPr>
            <w:r>
              <w:rPr>
                <w:rFonts w:ascii="游ゴシック" w:hAnsi="游ゴシック" w:eastAsia="游ゴシック"/>
                <w:b/>
                <w:sz w:val="19"/>
              </w:rPr>
              <w:t>要介護認定率</w:t>
            </w:r>
          </w:p>
        </w:tc>
        <w:tc>
          <w:tcPr>
            <w:tcW w:type="dxa" w:w="1247"/>
            <w:vAlign w:val="center"/>
          </w:tcPr>
          <w:p>
            <w:pPr>
              <w:spacing w:after="0"/>
            </w:pPr>
            <w:r>
              <w:rPr>
                <w:rFonts w:ascii="游ゴシック" w:hAnsi="游ゴシック" w:eastAsia="游ゴシック"/>
                <w:b w:val="0"/>
                <w:sz w:val="19"/>
              </w:rPr>
              <w:t>21.24％</w:t>
            </w:r>
          </w:p>
        </w:tc>
        <w:tc>
          <w:tcPr>
            <w:tcW w:type="dxa" w:w="1077"/>
            <w:vAlign w:val="center"/>
          </w:tcPr>
          <w:p>
            <w:pPr>
              <w:spacing w:after="0"/>
              <w:jc w:val="center"/>
            </w:pPr>
            <w:r>
              <w:rPr>
                <w:rFonts w:ascii="游ゴシック" w:hAnsi="游ゴシック" w:eastAsia="游ゴシック"/>
                <w:b w:val="0"/>
                <w:sz w:val="19"/>
              </w:rPr>
              <w:t>98.4％</w:t>
            </w:r>
          </w:p>
        </w:tc>
        <w:tc>
          <w:tcPr>
            <w:tcW w:type="dxa" w:w="1247"/>
            <w:vAlign w:val="center"/>
          </w:tcPr>
          <w:p>
            <w:pPr>
              <w:spacing w:after="0"/>
              <w:jc w:val="center"/>
            </w:pPr>
            <w:r>
              <w:rPr>
                <w:rFonts w:ascii="游ゴシック" w:hAnsi="游ゴシック" w:eastAsia="游ゴシック"/>
                <w:b w:val="0"/>
                <w:sz w:val="19"/>
              </w:rPr>
              <w:t>21.31％</w:t>
            </w:r>
          </w:p>
        </w:tc>
        <w:tc>
          <w:tcPr>
            <w:tcW w:type="dxa" w:w="1077"/>
            <w:vAlign w:val="center"/>
          </w:tcPr>
          <w:p>
            <w:pPr>
              <w:spacing w:after="0"/>
              <w:jc w:val="center"/>
            </w:pPr>
            <w:r>
              <w:rPr>
                <w:rFonts w:ascii="游ゴシック" w:hAnsi="游ゴシック" w:eastAsia="游ゴシック"/>
                <w:b w:val="0"/>
                <w:sz w:val="19"/>
              </w:rPr>
              <w:t>97.4％</w:t>
            </w:r>
          </w:p>
        </w:tc>
        <w:tc>
          <w:tcPr>
            <w:tcW w:type="dxa" w:w="907"/>
            <w:vAlign w:val="center"/>
          </w:tcPr>
          <w:p>
            <w:pPr>
              <w:spacing w:after="0"/>
              <w:jc w:val="center"/>
            </w:pPr>
            <w:r>
              <w:rPr>
                <w:rFonts w:ascii="游ゴシック" w:hAnsi="游ゴシック" w:eastAsia="游ゴシック"/>
                <w:b w:val="0"/>
                <w:sz w:val="19"/>
              </w:rPr>
              <w:t>計画内</w:t>
            </w:r>
          </w:p>
        </w:tc>
      </w:tr>
      <w:tr>
        <w:trPr>
          <w:cantSplit/>
        </w:trPr>
        <w:tc>
          <w:tcPr>
            <w:tcW w:type="dxa" w:w="1928"/>
            <w:shd w:val="clear" w:color="auto" w:fill="F2F5FA"/>
            <w:vAlign w:val="center"/>
          </w:tcPr>
          <w:p>
            <w:pPr>
              <w:spacing w:after="0"/>
            </w:pPr>
            <w:r>
              <w:rPr>
                <w:rFonts w:ascii="游ゴシック" w:hAnsi="游ゴシック" w:eastAsia="游ゴシック"/>
                <w:b/>
                <w:sz w:val="19"/>
              </w:rPr>
              <w:t>総給付費</w:t>
            </w:r>
          </w:p>
        </w:tc>
        <w:tc>
          <w:tcPr>
            <w:tcW w:type="dxa" w:w="1247"/>
            <w:shd w:val="clear" w:color="auto" w:fill="F2F5FA"/>
            <w:vAlign w:val="center"/>
          </w:tcPr>
          <w:p>
            <w:pPr>
              <w:spacing w:after="0"/>
            </w:pPr>
            <w:r>
              <w:rPr>
                <w:rFonts w:ascii="游ゴシック" w:hAnsi="游ゴシック" w:eastAsia="游ゴシック"/>
                <w:b w:val="0"/>
                <w:sz w:val="19"/>
              </w:rPr>
              <w:t>2,817百万円</w:t>
            </w:r>
          </w:p>
        </w:tc>
        <w:tc>
          <w:tcPr>
            <w:tcW w:type="dxa" w:w="1077"/>
            <w:shd w:val="clear" w:color="auto" w:fill="F2F5FA"/>
            <w:vAlign w:val="center"/>
          </w:tcPr>
          <w:p>
            <w:pPr>
              <w:spacing w:after="0"/>
              <w:jc w:val="center"/>
            </w:pPr>
            <w:r>
              <w:rPr>
                <w:rFonts w:ascii="游ゴシック" w:hAnsi="游ゴシック" w:eastAsia="游ゴシック"/>
                <w:b w:val="0"/>
                <w:sz w:val="19"/>
              </w:rPr>
              <w:t>96.3％</w:t>
            </w:r>
          </w:p>
        </w:tc>
        <w:tc>
          <w:tcPr>
            <w:tcW w:type="dxa" w:w="1247"/>
            <w:shd w:val="clear" w:color="auto" w:fill="F2F5FA"/>
            <w:vAlign w:val="center"/>
          </w:tcPr>
          <w:p>
            <w:pPr>
              <w:spacing w:after="0"/>
              <w:jc w:val="center"/>
            </w:pPr>
            <w:r>
              <w:rPr>
                <w:rFonts w:ascii="游ゴシック" w:hAnsi="游ゴシック" w:eastAsia="游ゴシック"/>
                <w:b w:val="0"/>
                <w:sz w:val="19"/>
              </w:rPr>
              <w:t>2,915百万円</w:t>
            </w:r>
          </w:p>
        </w:tc>
        <w:tc>
          <w:tcPr>
            <w:tcW w:type="dxa" w:w="1077"/>
            <w:shd w:val="clear" w:color="auto" w:fill="F2F5FA"/>
            <w:vAlign w:val="center"/>
          </w:tcPr>
          <w:p>
            <w:pPr>
              <w:spacing w:after="0"/>
              <w:jc w:val="center"/>
            </w:pPr>
            <w:r>
              <w:rPr>
                <w:rFonts w:ascii="游ゴシック" w:hAnsi="游ゴシック" w:eastAsia="游ゴシック"/>
                <w:b w:val="0"/>
                <w:sz w:val="19"/>
              </w:rPr>
              <w:t>97.8％</w:t>
            </w:r>
          </w:p>
        </w:tc>
        <w:tc>
          <w:tcPr>
            <w:tcW w:type="dxa" w:w="907"/>
            <w:shd w:val="clear" w:color="auto" w:fill="F2F5FA"/>
            <w:vAlign w:val="center"/>
          </w:tcPr>
          <w:p>
            <w:pPr>
              <w:spacing w:after="0"/>
              <w:jc w:val="center"/>
            </w:pPr>
            <w:r>
              <w:rPr>
                <w:rFonts w:ascii="游ゴシック" w:hAnsi="游ゴシック" w:eastAsia="游ゴシック"/>
                <w:b w:val="0"/>
                <w:sz w:val="19"/>
              </w:rPr>
              <w:t>計画内</w:t>
            </w:r>
          </w:p>
        </w:tc>
      </w:tr>
      <w:tr>
        <w:trPr>
          <w:cantSplit/>
        </w:trPr>
        <w:tc>
          <w:tcPr>
            <w:tcW w:type="dxa" w:w="1928"/>
            <w:vAlign w:val="center"/>
          </w:tcPr>
          <w:p>
            <w:pPr>
              <w:spacing w:after="0"/>
            </w:pPr>
            <w:r>
              <w:rPr>
                <w:rFonts w:ascii="游ゴシック" w:hAnsi="游ゴシック" w:eastAsia="游ゴシック"/>
                <w:b/>
                <w:sz w:val="19"/>
              </w:rPr>
              <w:t xml:space="preserve">　施設サービス</w:t>
            </w:r>
          </w:p>
        </w:tc>
        <w:tc>
          <w:tcPr>
            <w:tcW w:type="dxa" w:w="1247"/>
            <w:vAlign w:val="center"/>
          </w:tcPr>
          <w:p>
            <w:pPr>
              <w:spacing w:after="0"/>
            </w:pPr>
            <w:r>
              <w:rPr>
                <w:rFonts w:ascii="游ゴシック" w:hAnsi="游ゴシック" w:eastAsia="游ゴシック"/>
                <w:b w:val="0"/>
                <w:sz w:val="19"/>
              </w:rPr>
              <w:t>1,194百万円</w:t>
            </w:r>
          </w:p>
        </w:tc>
        <w:tc>
          <w:tcPr>
            <w:tcW w:type="dxa" w:w="1077"/>
            <w:vAlign w:val="center"/>
          </w:tcPr>
          <w:p>
            <w:pPr>
              <w:spacing w:after="0"/>
              <w:jc w:val="center"/>
            </w:pPr>
            <w:r>
              <w:rPr>
                <w:rFonts w:ascii="游ゴシック" w:hAnsi="游ゴシック" w:eastAsia="游ゴシック"/>
                <w:b w:val="0"/>
                <w:sz w:val="19"/>
              </w:rPr>
              <w:t>104.3％</w:t>
            </w:r>
          </w:p>
        </w:tc>
        <w:tc>
          <w:tcPr>
            <w:tcW w:type="dxa" w:w="1247"/>
            <w:vAlign w:val="center"/>
          </w:tcPr>
          <w:p>
            <w:pPr>
              <w:spacing w:after="0"/>
              <w:jc w:val="center"/>
            </w:pPr>
            <w:r>
              <w:rPr>
                <w:rFonts w:ascii="游ゴシック" w:hAnsi="游ゴシック" w:eastAsia="游ゴシック"/>
                <w:b w:val="0"/>
                <w:sz w:val="19"/>
              </w:rPr>
              <w:t>1,156百万円</w:t>
            </w:r>
          </w:p>
        </w:tc>
        <w:tc>
          <w:tcPr>
            <w:tcW w:type="dxa" w:w="1077"/>
            <w:vAlign w:val="center"/>
          </w:tcPr>
          <w:p>
            <w:pPr>
              <w:spacing w:after="0"/>
              <w:jc w:val="center"/>
            </w:pPr>
            <w:r>
              <w:rPr>
                <w:rFonts w:ascii="游ゴシック" w:hAnsi="游ゴシック" w:eastAsia="游ゴシック"/>
                <w:b w:val="0"/>
                <w:sz w:val="19"/>
              </w:rPr>
              <w:t>100.8％</w:t>
            </w:r>
          </w:p>
        </w:tc>
        <w:tc>
          <w:tcPr>
            <w:tcW w:type="dxa" w:w="907"/>
            <w:vAlign w:val="center"/>
          </w:tcPr>
          <w:p>
            <w:pPr>
              <w:spacing w:after="0"/>
              <w:jc w:val="center"/>
            </w:pPr>
            <w:r>
              <w:rPr>
                <w:rFonts w:ascii="游ゴシック" w:hAnsi="游ゴシック" w:eastAsia="游ゴシック"/>
                <w:b w:val="0"/>
                <w:sz w:val="19"/>
              </w:rPr>
              <w:t>計画超過</w:t>
            </w:r>
          </w:p>
        </w:tc>
      </w:tr>
      <w:tr>
        <w:trPr>
          <w:cantSplit/>
        </w:trPr>
        <w:tc>
          <w:tcPr>
            <w:tcW w:type="dxa" w:w="1928"/>
            <w:shd w:val="clear" w:color="auto" w:fill="F2F5FA"/>
            <w:vAlign w:val="center"/>
          </w:tcPr>
          <w:p>
            <w:pPr>
              <w:spacing w:after="0"/>
            </w:pPr>
            <w:r>
              <w:rPr>
                <w:rFonts w:ascii="游ゴシック" w:hAnsi="游ゴシック" w:eastAsia="游ゴシック"/>
                <w:b/>
                <w:sz w:val="19"/>
              </w:rPr>
              <w:t xml:space="preserve">　居住系サービス</w:t>
            </w:r>
          </w:p>
        </w:tc>
        <w:tc>
          <w:tcPr>
            <w:tcW w:type="dxa" w:w="1247"/>
            <w:shd w:val="clear" w:color="auto" w:fill="F2F5FA"/>
            <w:vAlign w:val="center"/>
          </w:tcPr>
          <w:p>
            <w:pPr>
              <w:spacing w:after="0"/>
            </w:pPr>
            <w:r>
              <w:rPr>
                <w:rFonts w:ascii="游ゴシック" w:hAnsi="游ゴシック" w:eastAsia="游ゴシック"/>
                <w:b w:val="0"/>
                <w:sz w:val="19"/>
              </w:rPr>
              <w:t>368百万円</w:t>
            </w:r>
          </w:p>
        </w:tc>
        <w:tc>
          <w:tcPr>
            <w:tcW w:type="dxa" w:w="1077"/>
            <w:shd w:val="clear" w:color="auto" w:fill="F2F5FA"/>
            <w:vAlign w:val="center"/>
          </w:tcPr>
          <w:p>
            <w:pPr>
              <w:spacing w:after="0"/>
              <w:jc w:val="center"/>
            </w:pPr>
            <w:r>
              <w:rPr>
                <w:rFonts w:ascii="游ゴシック" w:hAnsi="游ゴシック" w:eastAsia="游ゴシック"/>
                <w:b w:val="0"/>
                <w:sz w:val="19"/>
              </w:rPr>
              <w:t>83.8％</w:t>
            </w:r>
          </w:p>
        </w:tc>
        <w:tc>
          <w:tcPr>
            <w:tcW w:type="dxa" w:w="1247"/>
            <w:shd w:val="clear" w:color="auto" w:fill="F2F5FA"/>
            <w:vAlign w:val="center"/>
          </w:tcPr>
          <w:p>
            <w:pPr>
              <w:spacing w:after="0"/>
              <w:jc w:val="center"/>
            </w:pPr>
            <w:r>
              <w:rPr>
                <w:rFonts w:ascii="游ゴシック" w:hAnsi="游ゴシック" w:eastAsia="游ゴシック"/>
                <w:b w:val="0"/>
                <w:sz w:val="19"/>
              </w:rPr>
              <w:t>393百万円</w:t>
            </w:r>
          </w:p>
        </w:tc>
        <w:tc>
          <w:tcPr>
            <w:tcW w:type="dxa" w:w="1077"/>
            <w:shd w:val="clear" w:color="auto" w:fill="F2F5FA"/>
            <w:vAlign w:val="center"/>
          </w:tcPr>
          <w:p>
            <w:pPr>
              <w:spacing w:after="0"/>
              <w:jc w:val="center"/>
            </w:pPr>
            <w:r>
              <w:rPr>
                <w:rFonts w:ascii="游ゴシック" w:hAnsi="游ゴシック" w:eastAsia="游ゴシック"/>
                <w:b w:val="0"/>
                <w:sz w:val="19"/>
              </w:rPr>
              <w:t>88.3％</w:t>
            </w:r>
          </w:p>
        </w:tc>
        <w:tc>
          <w:tcPr>
            <w:tcW w:type="dxa" w:w="907"/>
            <w:shd w:val="clear" w:color="auto" w:fill="F2F5FA"/>
            <w:vAlign w:val="center"/>
          </w:tcPr>
          <w:p>
            <w:pPr>
              <w:spacing w:after="0"/>
              <w:jc w:val="center"/>
            </w:pPr>
            <w:r>
              <w:rPr>
                <w:rFonts w:ascii="游ゴシック" w:hAnsi="游ゴシック" w:eastAsia="游ゴシック"/>
                <w:b w:val="0"/>
                <w:sz w:val="19"/>
              </w:rPr>
              <w:t>計画未達</w:t>
            </w:r>
          </w:p>
        </w:tc>
      </w:tr>
      <w:tr>
        <w:trPr>
          <w:cantSplit/>
        </w:trPr>
        <w:tc>
          <w:tcPr>
            <w:tcW w:type="dxa" w:w="1928"/>
            <w:vAlign w:val="center"/>
          </w:tcPr>
          <w:p>
            <w:pPr>
              <w:spacing w:after="0"/>
            </w:pPr>
            <w:r>
              <w:rPr>
                <w:rFonts w:ascii="游ゴシック" w:hAnsi="游ゴシック" w:eastAsia="游ゴシック"/>
                <w:b/>
                <w:sz w:val="19"/>
              </w:rPr>
              <w:t xml:space="preserve">　在宅サービス</w:t>
            </w:r>
          </w:p>
        </w:tc>
        <w:tc>
          <w:tcPr>
            <w:tcW w:type="dxa" w:w="1247"/>
            <w:vAlign w:val="center"/>
          </w:tcPr>
          <w:p>
            <w:pPr>
              <w:spacing w:after="0"/>
            </w:pPr>
            <w:r>
              <w:rPr>
                <w:rFonts w:ascii="游ゴシック" w:hAnsi="游ゴシック" w:eastAsia="游ゴシック"/>
                <w:b w:val="0"/>
                <w:sz w:val="19"/>
              </w:rPr>
              <w:t>1,255百万円</w:t>
            </w:r>
          </w:p>
        </w:tc>
        <w:tc>
          <w:tcPr>
            <w:tcW w:type="dxa" w:w="1077"/>
            <w:vAlign w:val="center"/>
          </w:tcPr>
          <w:p>
            <w:pPr>
              <w:spacing w:after="0"/>
              <w:jc w:val="center"/>
            </w:pPr>
            <w:r>
              <w:rPr>
                <w:rFonts w:ascii="游ゴシック" w:hAnsi="游ゴシック" w:eastAsia="游ゴシック"/>
                <w:b w:val="0"/>
                <w:sz w:val="19"/>
              </w:rPr>
              <w:t>93.7％</w:t>
            </w:r>
          </w:p>
        </w:tc>
        <w:tc>
          <w:tcPr>
            <w:tcW w:type="dxa" w:w="1247"/>
            <w:vAlign w:val="center"/>
          </w:tcPr>
          <w:p>
            <w:pPr>
              <w:spacing w:after="0"/>
              <w:jc w:val="center"/>
            </w:pPr>
            <w:r>
              <w:rPr>
                <w:rFonts w:ascii="游ゴシック" w:hAnsi="游ゴシック" w:eastAsia="游ゴシック"/>
                <w:b w:val="0"/>
                <w:sz w:val="19"/>
              </w:rPr>
              <w:t>1,367百万円</w:t>
            </w:r>
          </w:p>
        </w:tc>
        <w:tc>
          <w:tcPr>
            <w:tcW w:type="dxa" w:w="1077"/>
            <w:vAlign w:val="center"/>
          </w:tcPr>
          <w:p>
            <w:pPr>
              <w:spacing w:after="0"/>
              <w:jc w:val="center"/>
            </w:pPr>
            <w:r>
              <w:rPr>
                <w:rFonts w:ascii="游ゴシック" w:hAnsi="游ゴシック" w:eastAsia="游ゴシック"/>
                <w:b w:val="0"/>
                <w:sz w:val="19"/>
              </w:rPr>
              <w:t>98.4％</w:t>
            </w:r>
          </w:p>
        </w:tc>
        <w:tc>
          <w:tcPr>
            <w:tcW w:type="dxa" w:w="907"/>
            <w:vAlign w:val="center"/>
          </w:tcPr>
          <w:p>
            <w:pPr>
              <w:spacing w:after="0"/>
              <w:jc w:val="center"/>
            </w:pPr>
            <w:r>
              <w:rPr>
                <w:rFonts w:ascii="游ゴシック" w:hAnsi="游ゴシック" w:eastAsia="游ゴシック"/>
                <w:b w:val="0"/>
                <w:sz w:val="19"/>
              </w:rPr>
              <w:t>計画内</w:t>
            </w:r>
          </w:p>
        </w:tc>
      </w:tr>
      <w:tr>
        <w:trPr>
          <w:cantSplit/>
        </w:trPr>
        <w:tc>
          <w:tcPr>
            <w:tcW w:type="dxa" w:w="1928"/>
            <w:shd w:val="clear" w:color="auto" w:fill="F2F5FA"/>
            <w:vAlign w:val="center"/>
          </w:tcPr>
          <w:p>
            <w:pPr>
              <w:spacing w:after="0"/>
            </w:pPr>
            <w:r>
              <w:rPr>
                <w:rFonts w:ascii="游ゴシック" w:hAnsi="游ゴシック" w:eastAsia="游ゴシック"/>
                <w:b/>
                <w:sz w:val="19"/>
              </w:rPr>
              <w:t>第1号1人当たり給付費</w:t>
            </w:r>
          </w:p>
        </w:tc>
        <w:tc>
          <w:tcPr>
            <w:tcW w:type="dxa" w:w="1247"/>
            <w:shd w:val="clear" w:color="auto" w:fill="F2F5FA"/>
            <w:vAlign w:val="center"/>
          </w:tcPr>
          <w:p>
            <w:pPr>
              <w:spacing w:after="0"/>
            </w:pPr>
            <w:r>
              <w:rPr>
                <w:rFonts w:ascii="游ゴシック" w:hAnsi="游ゴシック" w:eastAsia="游ゴシック"/>
                <w:b w:val="0"/>
                <w:sz w:val="19"/>
              </w:rPr>
              <w:t>308,126円</w:t>
            </w:r>
          </w:p>
        </w:tc>
        <w:tc>
          <w:tcPr>
            <w:tcW w:type="dxa" w:w="1077"/>
            <w:shd w:val="clear" w:color="auto" w:fill="F2F5FA"/>
            <w:vAlign w:val="center"/>
          </w:tcPr>
          <w:p>
            <w:pPr>
              <w:spacing w:after="0"/>
              <w:jc w:val="center"/>
            </w:pPr>
            <w:r>
              <w:rPr>
                <w:rFonts w:ascii="游ゴシック" w:hAnsi="游ゴシック" w:eastAsia="游ゴシック"/>
                <w:b w:val="0"/>
                <w:sz w:val="19"/>
              </w:rPr>
              <w:t>97.0％</w:t>
            </w:r>
          </w:p>
        </w:tc>
        <w:tc>
          <w:tcPr>
            <w:tcW w:type="dxa" w:w="1247"/>
            <w:shd w:val="clear" w:color="auto" w:fill="F2F5FA"/>
            <w:vAlign w:val="center"/>
          </w:tcPr>
          <w:p>
            <w:pPr>
              <w:spacing w:after="0"/>
              <w:jc w:val="center"/>
            </w:pPr>
            <w:r>
              <w:rPr>
                <w:rFonts w:ascii="游ゴシック" w:hAnsi="游ゴシック" w:eastAsia="游ゴシック"/>
                <w:b w:val="0"/>
                <w:sz w:val="19"/>
              </w:rPr>
              <w:t>319,696円</w:t>
            </w:r>
          </w:p>
        </w:tc>
        <w:tc>
          <w:tcPr>
            <w:tcW w:type="dxa" w:w="1077"/>
            <w:shd w:val="clear" w:color="auto" w:fill="F2F5FA"/>
            <w:vAlign w:val="center"/>
          </w:tcPr>
          <w:p>
            <w:pPr>
              <w:spacing w:after="0"/>
              <w:jc w:val="center"/>
            </w:pPr>
            <w:r>
              <w:rPr>
                <w:rFonts w:ascii="游ゴシック" w:hAnsi="游ゴシック" w:eastAsia="游ゴシック"/>
                <w:b w:val="0"/>
                <w:sz w:val="19"/>
              </w:rPr>
              <w:t>99.3％</w:t>
            </w:r>
          </w:p>
        </w:tc>
        <w:tc>
          <w:tcPr>
            <w:tcW w:type="dxa" w:w="907"/>
            <w:shd w:val="clear" w:color="auto" w:fill="F2F5FA"/>
            <w:vAlign w:val="center"/>
          </w:tcPr>
          <w:p>
            <w:pPr>
              <w:spacing w:after="0"/>
              <w:jc w:val="center"/>
            </w:pPr>
            <w:r>
              <w:rPr>
                <w:rFonts w:ascii="游ゴシック" w:hAnsi="游ゴシック" w:eastAsia="游ゴシック"/>
                <w:b w:val="0"/>
                <w:sz w:val="19"/>
              </w:rPr>
              <w:t>計画内</w:t>
            </w:r>
          </w:p>
        </w:tc>
      </w:tr>
    </w:tbl>
    <w:p>
      <w:pPr>
        <w:spacing w:before="40"/>
      </w:pPr>
      <w:r>
        <w:rPr>
          <w:rFonts w:ascii="游ゴシック" w:hAnsi="游ゴシック" w:eastAsia="游ゴシック"/>
          <w:sz w:val="17"/>
        </w:rPr>
        <w:t>資料：地域包括ケア「見える化」システム（令和8年8月31日受領）。実績値は厚生労働省「介護保険事業状況報告」、計画値は介護保険事業計画にかかる保険者からの報告値</w:t>
      </w:r>
    </w:p>
    <w:p>
      <w:pPr>
        <w:ind w:left="227"/>
      </w:pPr>
      <w:r>
        <w:rPr>
          <w:rFonts w:ascii="游ゴシック" w:hAnsi="游ゴシック" w:eastAsia="游ゴシック"/>
          <w:sz w:val="18"/>
        </w:rPr>
        <w:t>※ 総括表の「第9期累計」欄は、3か年の計画値に対して令和6年度・令和7年度の2か年の実績値を対比したものであり、達成率ではありません。本報告では年度別の対計画比を用います。</w:t>
      </w:r>
    </w:p>
    <w:p>
      <w:r>
        <w:rPr>
          <w:rFonts w:ascii="游ゴシック" w:hAnsi="游ゴシック" w:eastAsia="游ゴシック"/>
          <w:b w:val="0"/>
          <w:sz w:val="21"/>
        </w:rPr>
      </w:r>
    </w:p>
    <w:p>
      <w:r>
        <w:rPr>
          <w:rFonts w:ascii="游ゴシック" w:hAnsi="游ゴシック" w:eastAsia="游ゴシック"/>
          <w:b/>
          <w:sz w:val="21"/>
        </w:rPr>
        <w:t>総給付費は2か年とも計画の範囲内です。内訳では、施設サービスが計画を上回る一方、居住系サービスが2か年とも10ポイント以上下回っています。この対比により、代表KPI H15（給付費の計画乖離率）の基準値が令和6年度▲3.66％・令和7年度▲2.17％と確定し、いずれも目標の±5％以内に収まります。</w:t>
      </w:r>
    </w:p>
    <w:p>
      <w:pPr>
        <w:keepNext/>
        <w:spacing w:before="160" w:after="40"/>
      </w:pPr>
      <w:r>
        <w:rPr>
          <w:rFonts w:ascii="游ゴシック" w:hAnsi="游ゴシック" w:eastAsia="游ゴシック"/>
          <w:b/>
          <w:sz w:val="20"/>
        </w:rPr>
        <w:t>表8　計画との乖離が大きいサービス（給付費の対計画比が±20ポイントを超えるもの）</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1950"/>
        <w:gridCol w:w="1950"/>
        <w:gridCol w:w="1950"/>
        <w:gridCol w:w="1950"/>
        <w:gridCol w:w="1950"/>
      </w:tblGrid>
      <w:tr>
        <w:trPr>
          <w:tblHeader/>
        </w:trPr>
        <w:tc>
          <w:tcPr>
            <w:tcW w:type="dxa" w:w="1928"/>
            <w:shd w:val="clear" w:color="auto" w:fill="1F3864"/>
            <w:vAlign w:val="center"/>
          </w:tcPr>
          <w:p>
            <w:pPr>
              <w:spacing w:after="0"/>
              <w:jc w:val="center"/>
            </w:pPr>
            <w:r>
              <w:rPr>
                <w:rFonts w:ascii="游ゴシック" w:hAnsi="游ゴシック" w:eastAsia="游ゴシック"/>
                <w:b/>
                <w:color w:val="FFFFFF"/>
                <w:sz w:val="19"/>
              </w:rPr>
              <w:t>サービス</w:t>
            </w:r>
          </w:p>
        </w:tc>
        <w:tc>
          <w:tcPr>
            <w:tcW w:type="dxa" w:w="850"/>
            <w:shd w:val="clear" w:color="auto" w:fill="1F3864"/>
            <w:vAlign w:val="center"/>
          </w:tcPr>
          <w:p>
            <w:pPr>
              <w:spacing w:after="0"/>
              <w:jc w:val="center"/>
            </w:pPr>
            <w:r>
              <w:rPr>
                <w:rFonts w:ascii="游ゴシック" w:hAnsi="游ゴシック" w:eastAsia="游ゴシック"/>
                <w:b/>
                <w:color w:val="FFFFFF"/>
                <w:sz w:val="19"/>
              </w:rPr>
              <w:t>R6</w:t>
            </w:r>
          </w:p>
        </w:tc>
        <w:tc>
          <w:tcPr>
            <w:tcW w:type="dxa" w:w="850"/>
            <w:shd w:val="clear" w:color="auto" w:fill="1F3864"/>
            <w:vAlign w:val="center"/>
          </w:tcPr>
          <w:p>
            <w:pPr>
              <w:spacing w:after="0"/>
              <w:jc w:val="center"/>
            </w:pPr>
            <w:r>
              <w:rPr>
                <w:rFonts w:ascii="游ゴシック" w:hAnsi="游ゴシック" w:eastAsia="游ゴシック"/>
                <w:b/>
                <w:color w:val="FFFFFF"/>
                <w:sz w:val="19"/>
              </w:rPr>
              <w:t>R7</w:t>
            </w:r>
          </w:p>
        </w:tc>
        <w:tc>
          <w:tcPr>
            <w:tcW w:type="dxa" w:w="794"/>
            <w:shd w:val="clear" w:color="auto" w:fill="1F3864"/>
            <w:vAlign w:val="center"/>
          </w:tcPr>
          <w:p>
            <w:pPr>
              <w:spacing w:after="0"/>
              <w:jc w:val="center"/>
            </w:pPr>
            <w:r>
              <w:rPr>
                <w:rFonts w:ascii="游ゴシック" w:hAnsi="游ゴシック" w:eastAsia="游ゴシック"/>
                <w:b/>
                <w:color w:val="FFFFFF"/>
                <w:sz w:val="19"/>
              </w:rPr>
              <w:t>区分</w:t>
            </w:r>
          </w:p>
        </w:tc>
        <w:tc>
          <w:tcPr>
            <w:tcW w:type="dxa" w:w="5329"/>
            <w:shd w:val="clear" w:color="auto" w:fill="1F3864"/>
            <w:vAlign w:val="center"/>
          </w:tcPr>
          <w:p>
            <w:pPr>
              <w:spacing w:after="0"/>
              <w:jc w:val="center"/>
            </w:pPr>
            <w:r>
              <w:rPr>
                <w:rFonts w:ascii="游ゴシック" w:hAnsi="游ゴシック" w:eastAsia="游ゴシック"/>
                <w:b/>
                <w:color w:val="FFFFFF"/>
                <w:sz w:val="19"/>
              </w:rPr>
              <w:t>評価の内容</w:t>
            </w:r>
          </w:p>
        </w:tc>
      </w:tr>
      <w:tr>
        <w:trPr>
          <w:cantSplit/>
        </w:trPr>
        <w:tc>
          <w:tcPr>
            <w:tcW w:type="dxa" w:w="1928"/>
            <w:vAlign w:val="center"/>
          </w:tcPr>
          <w:p>
            <w:pPr>
              <w:spacing w:after="0"/>
            </w:pPr>
            <w:r>
              <w:rPr>
                <w:rFonts w:ascii="游ゴシック" w:hAnsi="游ゴシック" w:eastAsia="游ゴシック"/>
                <w:b/>
                <w:sz w:val="19"/>
              </w:rPr>
              <w:t>定期巡回・随時対応型</w:t>
              <w:br/>
              <w:t>訪問介護看護</w:t>
            </w:r>
          </w:p>
        </w:tc>
        <w:tc>
          <w:tcPr>
            <w:tcW w:type="dxa" w:w="850"/>
            <w:vAlign w:val="center"/>
          </w:tcPr>
          <w:p>
            <w:pPr>
              <w:spacing w:after="0"/>
            </w:pPr>
            <w:r>
              <w:rPr>
                <w:rFonts w:ascii="游ゴシック" w:hAnsi="游ゴシック" w:eastAsia="游ゴシック"/>
                <w:b w:val="0"/>
                <w:sz w:val="19"/>
              </w:rPr>
              <w:t>0.0％</w:t>
            </w:r>
          </w:p>
        </w:tc>
        <w:tc>
          <w:tcPr>
            <w:tcW w:type="dxa" w:w="850"/>
            <w:vAlign w:val="center"/>
          </w:tcPr>
          <w:p>
            <w:pPr>
              <w:spacing w:after="0"/>
              <w:jc w:val="center"/>
            </w:pPr>
            <w:r>
              <w:rPr>
                <w:rFonts w:ascii="游ゴシック" w:hAnsi="游ゴシック" w:eastAsia="游ゴシック"/>
                <w:b w:val="0"/>
                <w:sz w:val="19"/>
              </w:rPr>
              <w:t>19.5％</w:t>
            </w:r>
          </w:p>
        </w:tc>
        <w:tc>
          <w:tcPr>
            <w:tcW w:type="dxa" w:w="794"/>
            <w:vAlign w:val="center"/>
          </w:tcPr>
          <w:p>
            <w:pPr>
              <w:spacing w:after="0"/>
              <w:jc w:val="center"/>
            </w:pPr>
            <w:r>
              <w:rPr>
                <w:rFonts w:ascii="游ゴシック" w:hAnsi="游ゴシック" w:eastAsia="游ゴシック"/>
                <w:b w:val="0"/>
                <w:sz w:val="19"/>
              </w:rPr>
              <w:t>未達</w:t>
            </w:r>
          </w:p>
        </w:tc>
        <w:tc>
          <w:tcPr>
            <w:tcW w:type="dxa" w:w="5329"/>
            <w:vAlign w:val="center"/>
          </w:tcPr>
          <w:p>
            <w:pPr>
              <w:spacing w:after="0"/>
              <w:jc w:val="center"/>
            </w:pPr>
            <w:r>
              <w:rPr>
                <w:rFonts w:ascii="游ゴシック" w:hAnsi="游ゴシック" w:eastAsia="游ゴシック"/>
                <w:b w:val="0"/>
                <w:sz w:val="19"/>
              </w:rPr>
              <w:t>区域内に事業所がありません。第8期も3か年とも実績0人で、2期続けて計画に位置づけながら整備に至っていません。第10期の取扱いを確認事項としています</w:t>
            </w:r>
          </w:p>
        </w:tc>
      </w:tr>
      <w:tr>
        <w:trPr>
          <w:cantSplit/>
        </w:trPr>
        <w:tc>
          <w:tcPr>
            <w:tcW w:type="dxa" w:w="1928"/>
            <w:shd w:val="clear" w:color="auto" w:fill="F2F5FA"/>
            <w:vAlign w:val="center"/>
          </w:tcPr>
          <w:p>
            <w:pPr>
              <w:spacing w:after="0"/>
            </w:pPr>
            <w:r>
              <w:rPr>
                <w:rFonts w:ascii="游ゴシック" w:hAnsi="游ゴシック" w:eastAsia="游ゴシック"/>
                <w:b/>
                <w:sz w:val="19"/>
              </w:rPr>
              <w:t>地域密着型通所介護</w:t>
            </w:r>
          </w:p>
        </w:tc>
        <w:tc>
          <w:tcPr>
            <w:tcW w:type="dxa" w:w="850"/>
            <w:shd w:val="clear" w:color="auto" w:fill="F2F5FA"/>
            <w:vAlign w:val="center"/>
          </w:tcPr>
          <w:p>
            <w:pPr>
              <w:spacing w:after="0"/>
            </w:pPr>
            <w:r>
              <w:rPr>
                <w:rFonts w:ascii="游ゴシック" w:hAnsi="游ゴシック" w:eastAsia="游ゴシック"/>
                <w:b w:val="0"/>
                <w:sz w:val="19"/>
              </w:rPr>
              <w:t>66.5％</w:t>
            </w:r>
          </w:p>
        </w:tc>
        <w:tc>
          <w:tcPr>
            <w:tcW w:type="dxa" w:w="850"/>
            <w:shd w:val="clear" w:color="auto" w:fill="F2F5FA"/>
            <w:vAlign w:val="center"/>
          </w:tcPr>
          <w:p>
            <w:pPr>
              <w:spacing w:after="0"/>
              <w:jc w:val="center"/>
            </w:pPr>
            <w:r>
              <w:rPr>
                <w:rFonts w:ascii="游ゴシック" w:hAnsi="游ゴシック" w:eastAsia="游ゴシック"/>
                <w:b w:val="0"/>
                <w:sz w:val="19"/>
              </w:rPr>
              <w:t>66.6％</w:t>
            </w:r>
          </w:p>
        </w:tc>
        <w:tc>
          <w:tcPr>
            <w:tcW w:type="dxa" w:w="794"/>
            <w:shd w:val="clear" w:color="auto" w:fill="F2F5FA"/>
            <w:vAlign w:val="center"/>
          </w:tcPr>
          <w:p>
            <w:pPr>
              <w:spacing w:after="0"/>
              <w:jc w:val="center"/>
            </w:pPr>
            <w:r>
              <w:rPr>
                <w:rFonts w:ascii="游ゴシック" w:hAnsi="游ゴシック" w:eastAsia="游ゴシック"/>
                <w:b w:val="0"/>
                <w:sz w:val="19"/>
              </w:rPr>
              <w:t>未達</w:t>
            </w:r>
          </w:p>
        </w:tc>
        <w:tc>
          <w:tcPr>
            <w:tcW w:type="dxa" w:w="5329"/>
            <w:shd w:val="clear" w:color="auto" w:fill="F2F5FA"/>
            <w:vAlign w:val="center"/>
          </w:tcPr>
          <w:p>
            <w:pPr>
              <w:spacing w:after="0"/>
              <w:jc w:val="center"/>
            </w:pPr>
            <w:r>
              <w:rPr>
                <w:rFonts w:ascii="游ゴシック" w:hAnsi="游ゴシック" w:eastAsia="游ゴシック"/>
                <w:b w:val="0"/>
                <w:sz w:val="19"/>
              </w:rPr>
              <w:t>同じ通所系の通所介護88.7％・通所リハビリテーション110.5％と差が大きく、供給側の事情が疑われます</w:t>
            </w:r>
          </w:p>
        </w:tc>
      </w:tr>
      <w:tr>
        <w:trPr>
          <w:cantSplit/>
        </w:trPr>
        <w:tc>
          <w:tcPr>
            <w:tcW w:type="dxa" w:w="1928"/>
            <w:vAlign w:val="center"/>
          </w:tcPr>
          <w:p>
            <w:pPr>
              <w:spacing w:after="0"/>
            </w:pPr>
            <w:r>
              <w:rPr>
                <w:rFonts w:ascii="游ゴシック" w:hAnsi="游ゴシック" w:eastAsia="游ゴシック"/>
                <w:b/>
                <w:sz w:val="19"/>
              </w:rPr>
              <w:t>短期入所生活介護</w:t>
            </w:r>
          </w:p>
        </w:tc>
        <w:tc>
          <w:tcPr>
            <w:tcW w:type="dxa" w:w="850"/>
            <w:vAlign w:val="center"/>
          </w:tcPr>
          <w:p>
            <w:pPr>
              <w:spacing w:after="0"/>
            </w:pPr>
            <w:r>
              <w:rPr>
                <w:rFonts w:ascii="游ゴシック" w:hAnsi="游ゴシック" w:eastAsia="游ゴシック"/>
                <w:b w:val="0"/>
                <w:sz w:val="19"/>
              </w:rPr>
              <w:t>67.7％</w:t>
            </w:r>
          </w:p>
        </w:tc>
        <w:tc>
          <w:tcPr>
            <w:tcW w:type="dxa" w:w="850"/>
            <w:vAlign w:val="center"/>
          </w:tcPr>
          <w:p>
            <w:pPr>
              <w:spacing w:after="0"/>
              <w:jc w:val="center"/>
            </w:pPr>
            <w:r>
              <w:rPr>
                <w:rFonts w:ascii="游ゴシック" w:hAnsi="游ゴシック" w:eastAsia="游ゴシック"/>
                <w:b w:val="0"/>
                <w:sz w:val="19"/>
              </w:rPr>
              <w:t>65.0％</w:t>
            </w:r>
          </w:p>
        </w:tc>
        <w:tc>
          <w:tcPr>
            <w:tcW w:type="dxa" w:w="794"/>
            <w:vAlign w:val="center"/>
          </w:tcPr>
          <w:p>
            <w:pPr>
              <w:spacing w:after="0"/>
              <w:jc w:val="center"/>
            </w:pPr>
            <w:r>
              <w:rPr>
                <w:rFonts w:ascii="游ゴシック" w:hAnsi="游ゴシック" w:eastAsia="游ゴシック"/>
                <w:b w:val="0"/>
                <w:sz w:val="19"/>
              </w:rPr>
              <w:t>未達</w:t>
            </w:r>
          </w:p>
        </w:tc>
        <w:tc>
          <w:tcPr>
            <w:tcW w:type="dxa" w:w="5329"/>
            <w:vAlign w:val="center"/>
          </w:tcPr>
          <w:p>
            <w:pPr>
              <w:spacing w:after="0"/>
              <w:jc w:val="center"/>
            </w:pPr>
            <w:r>
              <w:rPr>
                <w:rFonts w:ascii="游ゴシック" w:hAnsi="游ゴシック" w:eastAsia="游ゴシック"/>
                <w:b w:val="0"/>
                <w:sz w:val="19"/>
              </w:rPr>
              <w:t>短期入所療養介護（老健）も令和7年度67.1％で、短期入所全体が計画を下回っています</w:t>
            </w:r>
          </w:p>
        </w:tc>
      </w:tr>
      <w:tr>
        <w:trPr>
          <w:cantSplit/>
        </w:trPr>
        <w:tc>
          <w:tcPr>
            <w:tcW w:type="dxa" w:w="1928"/>
            <w:shd w:val="clear" w:color="auto" w:fill="F2F5FA"/>
            <w:vAlign w:val="center"/>
          </w:tcPr>
          <w:p>
            <w:pPr>
              <w:spacing w:after="0"/>
            </w:pPr>
            <w:r>
              <w:rPr>
                <w:rFonts w:ascii="游ゴシック" w:hAnsi="游ゴシック" w:eastAsia="游ゴシック"/>
                <w:b/>
                <w:sz w:val="19"/>
              </w:rPr>
              <w:t>特定施設入居者生活介護</w:t>
            </w:r>
          </w:p>
        </w:tc>
        <w:tc>
          <w:tcPr>
            <w:tcW w:type="dxa" w:w="850"/>
            <w:shd w:val="clear" w:color="auto" w:fill="F2F5FA"/>
            <w:vAlign w:val="center"/>
          </w:tcPr>
          <w:p>
            <w:pPr>
              <w:spacing w:after="0"/>
            </w:pPr>
            <w:r>
              <w:rPr>
                <w:rFonts w:ascii="游ゴシック" w:hAnsi="游ゴシック" w:eastAsia="游ゴシック"/>
                <w:b w:val="0"/>
                <w:sz w:val="19"/>
              </w:rPr>
              <w:t>79.0％</w:t>
            </w:r>
          </w:p>
        </w:tc>
        <w:tc>
          <w:tcPr>
            <w:tcW w:type="dxa" w:w="850"/>
            <w:shd w:val="clear" w:color="auto" w:fill="F2F5FA"/>
            <w:vAlign w:val="center"/>
          </w:tcPr>
          <w:p>
            <w:pPr>
              <w:spacing w:after="0"/>
              <w:jc w:val="center"/>
            </w:pPr>
            <w:r>
              <w:rPr>
                <w:rFonts w:ascii="游ゴシック" w:hAnsi="游ゴシック" w:eastAsia="游ゴシック"/>
                <w:b w:val="0"/>
                <w:sz w:val="19"/>
              </w:rPr>
              <w:t>84.8％</w:t>
            </w:r>
          </w:p>
        </w:tc>
        <w:tc>
          <w:tcPr>
            <w:tcW w:type="dxa" w:w="794"/>
            <w:shd w:val="clear" w:color="auto" w:fill="F2F5FA"/>
            <w:vAlign w:val="center"/>
          </w:tcPr>
          <w:p>
            <w:pPr>
              <w:spacing w:after="0"/>
              <w:jc w:val="center"/>
            </w:pPr>
            <w:r>
              <w:rPr>
                <w:rFonts w:ascii="游ゴシック" w:hAnsi="游ゴシック" w:eastAsia="游ゴシック"/>
                <w:b w:val="0"/>
                <w:sz w:val="19"/>
              </w:rPr>
              <w:t>未達</w:t>
            </w:r>
          </w:p>
        </w:tc>
        <w:tc>
          <w:tcPr>
            <w:tcW w:type="dxa" w:w="5329"/>
            <w:shd w:val="clear" w:color="auto" w:fill="F2F5FA"/>
            <w:vAlign w:val="center"/>
          </w:tcPr>
          <w:p>
            <w:pPr>
              <w:spacing w:after="0"/>
              <w:jc w:val="center"/>
            </w:pPr>
            <w:r>
              <w:rPr>
                <w:rFonts w:ascii="游ゴシック" w:hAnsi="游ゴシック" w:eastAsia="游ゴシック"/>
                <w:b w:val="0"/>
                <w:sz w:val="19"/>
              </w:rPr>
              <w:t>居住系サービスの乖離の主因です</w:t>
            </w:r>
          </w:p>
        </w:tc>
      </w:tr>
      <w:tr>
        <w:trPr>
          <w:cantSplit/>
        </w:trPr>
        <w:tc>
          <w:tcPr>
            <w:tcW w:type="dxa" w:w="1928"/>
            <w:vAlign w:val="center"/>
          </w:tcPr>
          <w:p>
            <w:pPr>
              <w:spacing w:after="0"/>
            </w:pPr>
            <w:r>
              <w:rPr>
                <w:rFonts w:ascii="游ゴシック" w:hAnsi="游ゴシック" w:eastAsia="游ゴシック"/>
                <w:b/>
                <w:sz w:val="19"/>
              </w:rPr>
              <w:t>居宅療養管理指導</w:t>
            </w:r>
          </w:p>
        </w:tc>
        <w:tc>
          <w:tcPr>
            <w:tcW w:type="dxa" w:w="850"/>
            <w:vAlign w:val="center"/>
          </w:tcPr>
          <w:p>
            <w:pPr>
              <w:spacing w:after="0"/>
            </w:pPr>
            <w:r>
              <w:rPr>
                <w:rFonts w:ascii="游ゴシック" w:hAnsi="游ゴシック" w:eastAsia="游ゴシック"/>
                <w:b w:val="0"/>
                <w:sz w:val="19"/>
              </w:rPr>
              <w:t>122.7％</w:t>
            </w:r>
          </w:p>
        </w:tc>
        <w:tc>
          <w:tcPr>
            <w:tcW w:type="dxa" w:w="850"/>
            <w:vAlign w:val="center"/>
          </w:tcPr>
          <w:p>
            <w:pPr>
              <w:spacing w:after="0"/>
              <w:jc w:val="center"/>
            </w:pPr>
            <w:r>
              <w:rPr>
                <w:rFonts w:ascii="游ゴシック" w:hAnsi="游ゴシック" w:eastAsia="游ゴシック"/>
                <w:b w:val="0"/>
                <w:sz w:val="19"/>
              </w:rPr>
              <w:t>154.9％</w:t>
            </w:r>
          </w:p>
        </w:tc>
        <w:tc>
          <w:tcPr>
            <w:tcW w:type="dxa" w:w="794"/>
            <w:vAlign w:val="center"/>
          </w:tcPr>
          <w:p>
            <w:pPr>
              <w:spacing w:after="0"/>
              <w:jc w:val="center"/>
            </w:pPr>
            <w:r>
              <w:rPr>
                <w:rFonts w:ascii="游ゴシック" w:hAnsi="游ゴシック" w:eastAsia="游ゴシック"/>
                <w:b w:val="0"/>
                <w:sz w:val="19"/>
              </w:rPr>
              <w:t>超過</w:t>
            </w:r>
          </w:p>
        </w:tc>
        <w:tc>
          <w:tcPr>
            <w:tcW w:type="dxa" w:w="5329"/>
            <w:vAlign w:val="center"/>
          </w:tcPr>
          <w:p>
            <w:pPr>
              <w:spacing w:after="0"/>
              <w:jc w:val="center"/>
            </w:pPr>
            <w:r>
              <w:rPr>
                <w:rFonts w:ascii="游ゴシック" w:hAnsi="游ゴシック" w:eastAsia="游ゴシック"/>
                <w:b w:val="0"/>
                <w:sz w:val="19"/>
              </w:rPr>
              <w:t>第8期から連続して上振れしています。在宅医療・介護連携の進展を示すものとみられます</w:t>
            </w:r>
          </w:p>
        </w:tc>
      </w:tr>
      <w:tr>
        <w:trPr>
          <w:cantSplit/>
        </w:trPr>
        <w:tc>
          <w:tcPr>
            <w:tcW w:type="dxa" w:w="1928"/>
            <w:shd w:val="clear" w:color="auto" w:fill="F2F5FA"/>
            <w:vAlign w:val="center"/>
          </w:tcPr>
          <w:p>
            <w:pPr>
              <w:spacing w:after="0"/>
            </w:pPr>
            <w:r>
              <w:rPr>
                <w:rFonts w:ascii="游ゴシック" w:hAnsi="游ゴシック" w:eastAsia="游ゴシック"/>
                <w:b/>
                <w:sz w:val="19"/>
              </w:rPr>
              <w:t>訪問入浴介護</w:t>
            </w:r>
          </w:p>
        </w:tc>
        <w:tc>
          <w:tcPr>
            <w:tcW w:type="dxa" w:w="850"/>
            <w:shd w:val="clear" w:color="auto" w:fill="F2F5FA"/>
            <w:vAlign w:val="center"/>
          </w:tcPr>
          <w:p>
            <w:pPr>
              <w:spacing w:after="0"/>
            </w:pPr>
            <w:r>
              <w:rPr>
                <w:rFonts w:ascii="游ゴシック" w:hAnsi="游ゴシック" w:eastAsia="游ゴシック"/>
                <w:b w:val="0"/>
                <w:sz w:val="19"/>
              </w:rPr>
              <w:t>142.9％</w:t>
            </w:r>
          </w:p>
        </w:tc>
        <w:tc>
          <w:tcPr>
            <w:tcW w:type="dxa" w:w="850"/>
            <w:shd w:val="clear" w:color="auto" w:fill="F2F5FA"/>
            <w:vAlign w:val="center"/>
          </w:tcPr>
          <w:p>
            <w:pPr>
              <w:spacing w:after="0"/>
              <w:jc w:val="center"/>
            </w:pPr>
            <w:r>
              <w:rPr>
                <w:rFonts w:ascii="游ゴシック" w:hAnsi="游ゴシック" w:eastAsia="游ゴシック"/>
                <w:b w:val="0"/>
                <w:sz w:val="19"/>
              </w:rPr>
              <w:t>166.9％</w:t>
            </w:r>
          </w:p>
        </w:tc>
        <w:tc>
          <w:tcPr>
            <w:tcW w:type="dxa" w:w="794"/>
            <w:shd w:val="clear" w:color="auto" w:fill="F2F5FA"/>
            <w:vAlign w:val="center"/>
          </w:tcPr>
          <w:p>
            <w:pPr>
              <w:spacing w:after="0"/>
              <w:jc w:val="center"/>
            </w:pPr>
            <w:r>
              <w:rPr>
                <w:rFonts w:ascii="游ゴシック" w:hAnsi="游ゴシック" w:eastAsia="游ゴシック"/>
                <w:b w:val="0"/>
                <w:sz w:val="19"/>
              </w:rPr>
              <w:t>超過</w:t>
            </w:r>
          </w:p>
        </w:tc>
        <w:tc>
          <w:tcPr>
            <w:tcW w:type="dxa" w:w="5329"/>
            <w:shd w:val="clear" w:color="auto" w:fill="F2F5FA"/>
            <w:vAlign w:val="center"/>
          </w:tcPr>
          <w:p>
            <w:pPr>
              <w:spacing w:after="0"/>
              <w:jc w:val="center"/>
            </w:pPr>
            <w:r>
              <w:rPr>
                <w:rFonts w:ascii="游ゴシック" w:hAnsi="游ゴシック" w:eastAsia="游ゴシック"/>
                <w:b w:val="0"/>
                <w:sz w:val="19"/>
              </w:rPr>
              <w:t>延べ利用者数は計画を下回る一方、1人1月あたりの利用回数が計画の1.8倍です</w:t>
            </w:r>
          </w:p>
        </w:tc>
      </w:tr>
      <w:tr>
        <w:trPr>
          <w:cantSplit/>
        </w:trPr>
        <w:tc>
          <w:tcPr>
            <w:tcW w:type="dxa" w:w="1928"/>
            <w:vAlign w:val="center"/>
          </w:tcPr>
          <w:p>
            <w:pPr>
              <w:spacing w:after="0"/>
            </w:pPr>
            <w:r>
              <w:rPr>
                <w:rFonts w:ascii="游ゴシック" w:hAnsi="游ゴシック" w:eastAsia="游ゴシック"/>
                <w:b/>
                <w:sz w:val="19"/>
              </w:rPr>
              <w:t>住宅改修</w:t>
            </w:r>
          </w:p>
        </w:tc>
        <w:tc>
          <w:tcPr>
            <w:tcW w:type="dxa" w:w="850"/>
            <w:vAlign w:val="center"/>
          </w:tcPr>
          <w:p>
            <w:pPr>
              <w:spacing w:after="0"/>
            </w:pPr>
            <w:r>
              <w:rPr>
                <w:rFonts w:ascii="游ゴシック" w:hAnsi="游ゴシック" w:eastAsia="游ゴシック"/>
                <w:b w:val="0"/>
                <w:sz w:val="19"/>
              </w:rPr>
              <w:t>125.4％</w:t>
            </w:r>
          </w:p>
        </w:tc>
        <w:tc>
          <w:tcPr>
            <w:tcW w:type="dxa" w:w="850"/>
            <w:vAlign w:val="center"/>
          </w:tcPr>
          <w:p>
            <w:pPr>
              <w:spacing w:after="0"/>
              <w:jc w:val="center"/>
            </w:pPr>
            <w:r>
              <w:rPr>
                <w:rFonts w:ascii="游ゴシック" w:hAnsi="游ゴシック" w:eastAsia="游ゴシック"/>
                <w:b w:val="0"/>
                <w:sz w:val="19"/>
              </w:rPr>
              <w:t>126.3％</w:t>
            </w:r>
          </w:p>
        </w:tc>
        <w:tc>
          <w:tcPr>
            <w:tcW w:type="dxa" w:w="794"/>
            <w:vAlign w:val="center"/>
          </w:tcPr>
          <w:p>
            <w:pPr>
              <w:spacing w:after="0"/>
              <w:jc w:val="center"/>
            </w:pPr>
            <w:r>
              <w:rPr>
                <w:rFonts w:ascii="游ゴシック" w:hAnsi="游ゴシック" w:eastAsia="游ゴシック"/>
                <w:b w:val="0"/>
                <w:sz w:val="19"/>
              </w:rPr>
              <w:t>超過</w:t>
            </w:r>
          </w:p>
        </w:tc>
        <w:tc>
          <w:tcPr>
            <w:tcW w:type="dxa" w:w="5329"/>
            <w:vAlign w:val="center"/>
          </w:tcPr>
          <w:p>
            <w:pPr>
              <w:spacing w:after="0"/>
              <w:jc w:val="center"/>
            </w:pPr>
            <w:r>
              <w:rPr>
                <w:rFonts w:ascii="游ゴシック" w:hAnsi="游ゴシック" w:eastAsia="游ゴシック"/>
                <w:b w:val="0"/>
                <w:sz w:val="19"/>
              </w:rPr>
              <w:t>1件当たりの額が計画の想定を上回っています</w:t>
            </w:r>
          </w:p>
        </w:tc>
      </w:tr>
    </w:tbl>
    <w:p>
      <w:pPr>
        <w:spacing w:before="40"/>
      </w:pPr>
      <w:r>
        <w:rPr>
          <w:rFonts w:ascii="游ゴシック" w:hAnsi="游ゴシック" w:eastAsia="游ゴシック"/>
          <w:sz w:val="17"/>
        </w:rPr>
        <w:t>資料：地域包括ケア「見える化」システム 総括表詳細（利用者数）（給付費）</w:t>
      </w:r>
    </w:p>
    <w:p>
      <w:r>
        <w:rPr>
          <w:rFonts w:ascii="游ゴシック" w:hAnsi="游ゴシック" w:eastAsia="游ゴシック"/>
          <w:b w:val="0"/>
          <w:sz w:val="21"/>
        </w:rPr>
      </w:r>
    </w:p>
    <w:p>
      <w:r>
        <w:rPr>
          <w:rFonts w:ascii="游ゴシック" w:hAnsi="游ゴシック" w:eastAsia="游ゴシック"/>
          <w:b w:val="0"/>
          <w:sz w:val="20"/>
        </w:rPr>
        <w:t>このほか、第9期計画で計画値を0としながら実績のあるサービスが2つあります（認知症対応型通所介護、介護療養型医療施設）。計画値が0であるため対計画比が算出されず、評価の対象から漏れています。第10期では、実績のあるサービスは計画値を置く扱いとします。</w:t>
      </w:r>
    </w:p>
    <w:p>
      <w:r>
        <w:br w:type="page"/>
      </w:r>
    </w:p>
    <w:p>
      <w:pPr>
        <w:pStyle w:val="Heading1"/>
        <w:keepNext/>
        <w:spacing w:before="280" w:after="120"/>
      </w:pPr>
      <w:r>
        <w:rPr>
          <w:rFonts w:ascii="游ゴシック" w:hAnsi="游ゴシック" w:eastAsia="游ゴシック"/>
          <w:b/>
          <w:color w:val="1F3864"/>
          <w:sz w:val="26"/>
        </w:rPr>
        <w:t>第4節　構造評価の結果</w:t>
      </w:r>
    </w:p>
    <w:p>
      <w:r>
        <w:rPr>
          <w:rFonts w:ascii="游ゴシック" w:hAnsi="游ゴシック" w:eastAsia="游ゴシック"/>
          <w:b w:val="0"/>
          <w:sz w:val="21"/>
        </w:rPr>
        <w:t>5基本目標19施策について、実施済み4調査による裏づけと第10期の代表KPIとの対応を確認し、そもそも評価できる設計になっていたかを判定しました。</w:t>
      </w:r>
    </w:p>
    <w:p>
      <w:pPr>
        <w:keepNext/>
        <w:spacing w:before="160" w:after="40"/>
      </w:pPr>
      <w:r>
        <w:rPr>
          <w:rFonts w:ascii="游ゴシック" w:hAnsi="游ゴシック" w:eastAsia="游ゴシック"/>
          <w:b/>
          <w:sz w:val="20"/>
        </w:rPr>
        <w:t>表9　19施策の評価可能性</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1950"/>
        <w:gridCol w:w="1950"/>
        <w:gridCol w:w="1950"/>
        <w:gridCol w:w="1950"/>
        <w:gridCol w:w="1950"/>
      </w:tblGrid>
      <w:tr>
        <w:trPr>
          <w:tblHeader/>
        </w:trPr>
        <w:tc>
          <w:tcPr>
            <w:tcW w:type="dxa" w:w="680"/>
            <w:shd w:val="clear" w:color="auto" w:fill="1F3864"/>
            <w:vAlign w:val="center"/>
          </w:tcPr>
          <w:p>
            <w:pPr>
              <w:spacing w:after="0"/>
              <w:jc w:val="center"/>
            </w:pPr>
            <w:r>
              <w:rPr>
                <w:rFonts w:ascii="游ゴシック" w:hAnsi="游ゴシック" w:eastAsia="游ゴシック"/>
                <w:b/>
                <w:color w:val="FFFFFF"/>
                <w:sz w:val="19"/>
              </w:rPr>
              <w:t>判定</w:t>
            </w:r>
          </w:p>
        </w:tc>
        <w:tc>
          <w:tcPr>
            <w:tcW w:type="dxa" w:w="2608"/>
            <w:shd w:val="clear" w:color="auto" w:fill="1F3864"/>
            <w:vAlign w:val="center"/>
          </w:tcPr>
          <w:p>
            <w:pPr>
              <w:spacing w:after="0"/>
              <w:jc w:val="center"/>
            </w:pPr>
            <w:r>
              <w:rPr>
                <w:rFonts w:ascii="游ゴシック" w:hAnsi="游ゴシック" w:eastAsia="游ゴシック"/>
                <w:b/>
                <w:color w:val="FFFFFF"/>
                <w:sz w:val="19"/>
              </w:rPr>
              <w:t>定義</w:t>
            </w:r>
          </w:p>
        </w:tc>
        <w:tc>
          <w:tcPr>
            <w:tcW w:type="dxa" w:w="794"/>
            <w:shd w:val="clear" w:color="auto" w:fill="1F3864"/>
            <w:vAlign w:val="center"/>
          </w:tcPr>
          <w:p>
            <w:pPr>
              <w:spacing w:after="0"/>
              <w:jc w:val="center"/>
            </w:pPr>
            <w:r>
              <w:rPr>
                <w:rFonts w:ascii="游ゴシック" w:hAnsi="游ゴシック" w:eastAsia="游ゴシック"/>
                <w:b/>
                <w:color w:val="FFFFFF"/>
                <w:sz w:val="19"/>
              </w:rPr>
              <w:t>施策数</w:t>
            </w:r>
          </w:p>
        </w:tc>
        <w:tc>
          <w:tcPr>
            <w:tcW w:type="dxa" w:w="907"/>
            <w:shd w:val="clear" w:color="auto" w:fill="1F3864"/>
            <w:vAlign w:val="center"/>
          </w:tcPr>
          <w:p>
            <w:pPr>
              <w:spacing w:after="0"/>
              <w:jc w:val="center"/>
            </w:pPr>
            <w:r>
              <w:rPr>
                <w:rFonts w:ascii="游ゴシック" w:hAnsi="游ゴシック" w:eastAsia="游ゴシック"/>
                <w:b/>
                <w:color w:val="FFFFFF"/>
                <w:sz w:val="19"/>
              </w:rPr>
              <w:t>構成比</w:t>
            </w:r>
          </w:p>
        </w:tc>
        <w:tc>
          <w:tcPr>
            <w:tcW w:type="dxa" w:w="4762"/>
            <w:shd w:val="clear" w:color="auto" w:fill="1F3864"/>
            <w:vAlign w:val="center"/>
          </w:tcPr>
          <w:p>
            <w:pPr>
              <w:spacing w:after="0"/>
              <w:jc w:val="center"/>
            </w:pPr>
            <w:r>
              <w:rPr>
                <w:rFonts w:ascii="游ゴシック" w:hAnsi="游ゴシック" w:eastAsia="游ゴシック"/>
                <w:b/>
                <w:color w:val="FFFFFF"/>
                <w:sz w:val="19"/>
              </w:rPr>
              <w:t>該当する施策</w:t>
            </w:r>
          </w:p>
        </w:tc>
      </w:tr>
      <w:tr>
        <w:trPr>
          <w:cantSplit/>
        </w:trPr>
        <w:tc>
          <w:tcPr>
            <w:tcW w:type="dxa" w:w="680"/>
            <w:vAlign w:val="center"/>
          </w:tcPr>
          <w:p>
            <w:pPr>
              <w:spacing w:after="0"/>
            </w:pPr>
            <w:r>
              <w:rPr>
                <w:rFonts w:ascii="游ゴシック" w:hAnsi="游ゴシック" w:eastAsia="游ゴシック"/>
                <w:b/>
                <w:sz w:val="19"/>
              </w:rPr>
              <w:t>強</w:t>
            </w:r>
          </w:p>
        </w:tc>
        <w:tc>
          <w:tcPr>
            <w:tcW w:type="dxa" w:w="2608"/>
            <w:vAlign w:val="center"/>
          </w:tcPr>
          <w:p>
            <w:pPr>
              <w:spacing w:after="0"/>
            </w:pPr>
            <w:r>
              <w:rPr>
                <w:rFonts w:ascii="游ゴシック" w:hAnsi="游ゴシック" w:eastAsia="游ゴシック"/>
                <w:b w:val="0"/>
                <w:sz w:val="19"/>
              </w:rPr>
              <w:t>調査とKPIの双方があり対応が明確</w:t>
            </w:r>
          </w:p>
        </w:tc>
        <w:tc>
          <w:tcPr>
            <w:tcW w:type="dxa" w:w="794"/>
            <w:vAlign w:val="center"/>
          </w:tcPr>
          <w:p>
            <w:pPr>
              <w:spacing w:after="0"/>
              <w:jc w:val="center"/>
            </w:pPr>
            <w:r>
              <w:rPr>
                <w:rFonts w:ascii="游ゴシック" w:hAnsi="游ゴシック" w:eastAsia="游ゴシック"/>
                <w:b w:val="0"/>
                <w:sz w:val="19"/>
              </w:rPr>
              <w:t>5</w:t>
            </w:r>
          </w:p>
        </w:tc>
        <w:tc>
          <w:tcPr>
            <w:tcW w:type="dxa" w:w="907"/>
            <w:vAlign w:val="center"/>
          </w:tcPr>
          <w:p>
            <w:pPr>
              <w:spacing w:after="0"/>
              <w:jc w:val="center"/>
            </w:pPr>
            <w:r>
              <w:rPr>
                <w:rFonts w:ascii="游ゴシック" w:hAnsi="游ゴシック" w:eastAsia="游ゴシック"/>
                <w:b w:val="0"/>
                <w:sz w:val="19"/>
              </w:rPr>
              <w:t>26.3％</w:t>
            </w:r>
          </w:p>
        </w:tc>
        <w:tc>
          <w:tcPr>
            <w:tcW w:type="dxa" w:w="4762"/>
            <w:vAlign w:val="center"/>
          </w:tcPr>
          <w:p>
            <w:pPr>
              <w:spacing w:after="0"/>
            </w:pPr>
            <w:r>
              <w:rPr>
                <w:rFonts w:ascii="游ゴシック" w:hAnsi="游ゴシック" w:eastAsia="游ゴシック"/>
                <w:b w:val="0"/>
                <w:sz w:val="19"/>
              </w:rPr>
              <w:t>1-3 状態に応じたサービス／2-2 介護予防・生活支援／2-4 住まい・生活支援／3-1 健康づくり・フレイル予防／4-4 介護人材確保</w:t>
            </w:r>
          </w:p>
        </w:tc>
      </w:tr>
      <w:tr>
        <w:trPr>
          <w:cantSplit/>
        </w:trPr>
        <w:tc>
          <w:tcPr>
            <w:tcW w:type="dxa" w:w="680"/>
            <w:shd w:val="clear" w:color="auto" w:fill="F2F5FA"/>
            <w:vAlign w:val="center"/>
          </w:tcPr>
          <w:p>
            <w:pPr>
              <w:spacing w:after="0"/>
            </w:pPr>
            <w:r>
              <w:rPr>
                <w:rFonts w:ascii="游ゴシック" w:hAnsi="游ゴシック" w:eastAsia="游ゴシック"/>
                <w:b/>
                <w:sz w:val="19"/>
              </w:rPr>
              <w:t>中</w:t>
            </w:r>
          </w:p>
        </w:tc>
        <w:tc>
          <w:tcPr>
            <w:tcW w:type="dxa" w:w="2608"/>
            <w:shd w:val="clear" w:color="auto" w:fill="F2F5FA"/>
            <w:vAlign w:val="center"/>
          </w:tcPr>
          <w:p>
            <w:pPr>
              <w:spacing w:after="0"/>
            </w:pPr>
            <w:r>
              <w:rPr>
                <w:rFonts w:ascii="游ゴシック" w:hAnsi="游ゴシック" w:eastAsia="游ゴシック"/>
                <w:b w:val="0"/>
                <w:sz w:val="19"/>
              </w:rPr>
              <w:t>双方があるが対応が部分的</w:t>
            </w:r>
          </w:p>
        </w:tc>
        <w:tc>
          <w:tcPr>
            <w:tcW w:type="dxa" w:w="794"/>
            <w:shd w:val="clear" w:color="auto" w:fill="F2F5FA"/>
            <w:vAlign w:val="center"/>
          </w:tcPr>
          <w:p>
            <w:pPr>
              <w:spacing w:after="0"/>
              <w:jc w:val="center"/>
            </w:pPr>
            <w:r>
              <w:rPr>
                <w:rFonts w:ascii="游ゴシック" w:hAnsi="游ゴシック" w:eastAsia="游ゴシック"/>
                <w:b w:val="0"/>
                <w:sz w:val="19"/>
              </w:rPr>
              <w:t>5</w:t>
            </w:r>
          </w:p>
        </w:tc>
        <w:tc>
          <w:tcPr>
            <w:tcW w:type="dxa" w:w="907"/>
            <w:shd w:val="clear" w:color="auto" w:fill="F2F5FA"/>
            <w:vAlign w:val="center"/>
          </w:tcPr>
          <w:p>
            <w:pPr>
              <w:spacing w:after="0"/>
              <w:jc w:val="center"/>
            </w:pPr>
            <w:r>
              <w:rPr>
                <w:rFonts w:ascii="游ゴシック" w:hAnsi="游ゴシック" w:eastAsia="游ゴシック"/>
                <w:b w:val="0"/>
                <w:sz w:val="19"/>
              </w:rPr>
              <w:t>26.3％</w:t>
            </w:r>
          </w:p>
        </w:tc>
        <w:tc>
          <w:tcPr>
            <w:tcW w:type="dxa" w:w="4762"/>
            <w:shd w:val="clear" w:color="auto" w:fill="F2F5FA"/>
            <w:vAlign w:val="center"/>
          </w:tcPr>
          <w:p>
            <w:pPr>
              <w:spacing w:after="0"/>
            </w:pPr>
            <w:r>
              <w:rPr>
                <w:rFonts w:ascii="游ゴシック" w:hAnsi="游ゴシック" w:eastAsia="游ゴシック"/>
                <w:b w:val="0"/>
                <w:sz w:val="19"/>
              </w:rPr>
              <w:t>1-2 医療・介護連携／2-1 地域共生・包括相談／2-3 認知症施策／4-3 給付適正化／5-1 災害・感染症の事業継続</w:t>
            </w:r>
          </w:p>
        </w:tc>
      </w:tr>
      <w:tr>
        <w:trPr>
          <w:cantSplit/>
        </w:trPr>
        <w:tc>
          <w:tcPr>
            <w:tcW w:type="dxa" w:w="680"/>
            <w:vAlign w:val="center"/>
          </w:tcPr>
          <w:p>
            <w:pPr>
              <w:spacing w:after="0"/>
            </w:pPr>
            <w:r>
              <w:rPr>
                <w:rFonts w:ascii="游ゴシック" w:hAnsi="游ゴシック" w:eastAsia="游ゴシック"/>
                <w:b/>
                <w:sz w:val="19"/>
              </w:rPr>
              <w:t>弱</w:t>
            </w:r>
          </w:p>
        </w:tc>
        <w:tc>
          <w:tcPr>
            <w:tcW w:type="dxa" w:w="2608"/>
            <w:vAlign w:val="center"/>
          </w:tcPr>
          <w:p>
            <w:pPr>
              <w:spacing w:after="0"/>
            </w:pPr>
            <w:r>
              <w:rPr>
                <w:rFonts w:ascii="游ゴシック" w:hAnsi="游ゴシック" w:eastAsia="游ゴシック"/>
                <w:b w:val="0"/>
                <w:sz w:val="19"/>
              </w:rPr>
              <w:t>調査のみ。代表KPIを設定できない</w:t>
            </w:r>
          </w:p>
        </w:tc>
        <w:tc>
          <w:tcPr>
            <w:tcW w:type="dxa" w:w="794"/>
            <w:vAlign w:val="center"/>
          </w:tcPr>
          <w:p>
            <w:pPr>
              <w:spacing w:after="0"/>
              <w:jc w:val="center"/>
            </w:pPr>
            <w:r>
              <w:rPr>
                <w:rFonts w:ascii="游ゴシック" w:hAnsi="游ゴシック" w:eastAsia="游ゴシック"/>
                <w:b w:val="0"/>
                <w:sz w:val="19"/>
              </w:rPr>
              <w:t>4</w:t>
            </w:r>
          </w:p>
        </w:tc>
        <w:tc>
          <w:tcPr>
            <w:tcW w:type="dxa" w:w="907"/>
            <w:vAlign w:val="center"/>
          </w:tcPr>
          <w:p>
            <w:pPr>
              <w:spacing w:after="0"/>
              <w:jc w:val="center"/>
            </w:pPr>
            <w:r>
              <w:rPr>
                <w:rFonts w:ascii="游ゴシック" w:hAnsi="游ゴシック" w:eastAsia="游ゴシック"/>
                <w:b w:val="0"/>
                <w:sz w:val="19"/>
              </w:rPr>
              <w:t>21.1％</w:t>
            </w:r>
          </w:p>
        </w:tc>
        <w:tc>
          <w:tcPr>
            <w:tcW w:type="dxa" w:w="4762"/>
            <w:vAlign w:val="center"/>
          </w:tcPr>
          <w:p>
            <w:pPr>
              <w:spacing w:after="0"/>
            </w:pPr>
            <w:r>
              <w:rPr>
                <w:rFonts w:ascii="游ゴシック" w:hAnsi="游ゴシック" w:eastAsia="游ゴシック"/>
                <w:b w:val="0"/>
                <w:sz w:val="19"/>
              </w:rPr>
              <w:t>1-1 圏域ビジョン・戦略／2-6 包括的支援体制／3-2 リハビリ体制／3-3 保健事業との一体化</w:t>
            </w:r>
          </w:p>
        </w:tc>
      </w:tr>
      <w:tr>
        <w:trPr>
          <w:cantSplit/>
        </w:trPr>
        <w:tc>
          <w:tcPr>
            <w:tcW w:type="dxa" w:w="680"/>
            <w:shd w:val="clear" w:color="auto" w:fill="F2F5FA"/>
            <w:vAlign w:val="center"/>
          </w:tcPr>
          <w:p>
            <w:pPr>
              <w:spacing w:after="0"/>
            </w:pPr>
            <w:r>
              <w:rPr>
                <w:rFonts w:ascii="游ゴシック" w:hAnsi="游ゴシック" w:eastAsia="游ゴシック"/>
                <w:b/>
                <w:sz w:val="19"/>
              </w:rPr>
              <w:t>なし</w:t>
            </w:r>
          </w:p>
        </w:tc>
        <w:tc>
          <w:tcPr>
            <w:tcW w:type="dxa" w:w="2608"/>
            <w:shd w:val="clear" w:color="auto" w:fill="F2F5FA"/>
            <w:vAlign w:val="center"/>
          </w:tcPr>
          <w:p>
            <w:pPr>
              <w:spacing w:after="0"/>
            </w:pPr>
            <w:r>
              <w:rPr>
                <w:rFonts w:ascii="游ゴシック" w:hAnsi="游ゴシック" w:eastAsia="游ゴシック"/>
                <w:b w:val="0"/>
                <w:sz w:val="19"/>
              </w:rPr>
              <w:t>調査の裏づけも代表KPIもない</w:t>
            </w:r>
          </w:p>
        </w:tc>
        <w:tc>
          <w:tcPr>
            <w:tcW w:type="dxa" w:w="794"/>
            <w:shd w:val="clear" w:color="auto" w:fill="F2F5FA"/>
            <w:vAlign w:val="center"/>
          </w:tcPr>
          <w:p>
            <w:pPr>
              <w:spacing w:after="0"/>
              <w:jc w:val="center"/>
            </w:pPr>
            <w:r>
              <w:rPr>
                <w:rFonts w:ascii="游ゴシック" w:hAnsi="游ゴシック" w:eastAsia="游ゴシック"/>
                <w:b w:val="0"/>
                <w:sz w:val="19"/>
              </w:rPr>
              <w:t>5</w:t>
            </w:r>
          </w:p>
        </w:tc>
        <w:tc>
          <w:tcPr>
            <w:tcW w:type="dxa" w:w="907"/>
            <w:shd w:val="clear" w:color="auto" w:fill="F2F5FA"/>
            <w:vAlign w:val="center"/>
          </w:tcPr>
          <w:p>
            <w:pPr>
              <w:spacing w:after="0"/>
              <w:jc w:val="center"/>
            </w:pPr>
            <w:r>
              <w:rPr>
                <w:rFonts w:ascii="游ゴシック" w:hAnsi="游ゴシック" w:eastAsia="游ゴシック"/>
                <w:b w:val="0"/>
                <w:sz w:val="19"/>
              </w:rPr>
              <w:t>26.3％</w:t>
            </w:r>
          </w:p>
        </w:tc>
        <w:tc>
          <w:tcPr>
            <w:tcW w:type="dxa" w:w="4762"/>
            <w:shd w:val="clear" w:color="auto" w:fill="F2F5FA"/>
            <w:vAlign w:val="center"/>
          </w:tcPr>
          <w:p>
            <w:pPr>
              <w:spacing w:after="0"/>
            </w:pPr>
            <w:r>
              <w:rPr>
                <w:rFonts w:ascii="游ゴシック" w:hAnsi="游ゴシック" w:eastAsia="游ゴシック"/>
                <w:b w:val="0"/>
                <w:sz w:val="19"/>
              </w:rPr>
              <w:t>1-4 虐待防止・権利擁護／2-5 地域ケア会議／3-4 地域支援事業の連動／4-1 生産性向上／4-2 事業者指導・質確保</w:t>
            </w:r>
          </w:p>
        </w:tc>
      </w:tr>
    </w:tbl>
    <w:p>
      <w:r>
        <w:rPr>
          <w:rFonts w:ascii="游ゴシック" w:hAnsi="游ゴシック" w:eastAsia="游ゴシック"/>
          <w:b w:val="0"/>
          <w:sz w:val="21"/>
        </w:rPr>
      </w:r>
    </w:p>
    <w:p>
      <w:r>
        <w:rPr>
          <w:rFonts w:ascii="游ゴシック" w:hAnsi="游ゴシック" w:eastAsia="游ゴシック"/>
          <w:b/>
          <w:sz w:val="21"/>
        </w:rPr>
        <w:t>判定「なし」の5施策は、現行の資料では成果評価ができません。事業実績を受領すればプロセス評価（実施したかどうか、どれだけ実施したか）は可能です。成果評価を行うためには、第10期において指標を新設するか、他の施策に統合するかを施策ごとに定める必要があります。</w:t>
      </w:r>
    </w:p>
    <w:p>
      <w:r>
        <w:rPr>
          <w:rFonts w:ascii="游ゴシック" w:hAnsi="游ゴシック" w:eastAsia="游ゴシック"/>
          <w:b w:val="0"/>
          <w:sz w:val="21"/>
        </w:rPr>
      </w:r>
    </w:p>
    <w:p>
      <w:pPr>
        <w:pStyle w:val="Heading2"/>
        <w:keepNext/>
        <w:spacing w:before="180" w:after="60"/>
      </w:pPr>
      <w:r>
        <w:rPr>
          <w:rFonts w:ascii="游ゴシック" w:hAnsi="游ゴシック" w:eastAsia="游ゴシック"/>
          <w:b/>
          <w:color w:val="000000"/>
          <w:sz w:val="22"/>
        </w:rPr>
        <w:t>調査に所見があるが、対応する施策を確認できない5領域</w:t>
      </w:r>
    </w:p>
    <w:p>
      <w:r>
        <w:rPr>
          <w:rFonts w:ascii="游ゴシック" w:hAnsi="游ゴシック" w:eastAsia="游ゴシック"/>
          <w:b w:val="0"/>
          <w:sz w:val="21"/>
        </w:rPr>
        <w:t>上記とは逆に、実施済み4調査に所見があるにもかかわらず、広域連合の第9期計画の施策体系に明示的な対応を確認できない領域が5つあります。第10期の施策体系を検討する際の候補領域です。</w:t>
      </w:r>
    </w:p>
    <w:p>
      <w:pPr>
        <w:ind w:left="227"/>
      </w:pPr>
      <w:r>
        <w:rPr>
          <w:rFonts w:ascii="游ゴシック" w:hAnsi="游ゴシック" w:eastAsia="游ゴシック"/>
          <w:sz w:val="18"/>
        </w:rPr>
        <w:t>※ 3町の高齢者保健福祉計画、地方創生総合戦略、地域福祉計画等で対応している可能性があります。広域連合の計画で扱うか3町の計画で扱うかは、役割分担の確認を経て決定します。</w:t>
      </w:r>
    </w:p>
    <w:p>
      <w:pPr>
        <w:keepNext/>
        <w:spacing w:before="160" w:after="40"/>
      </w:pPr>
      <w:r>
        <w:rPr>
          <w:rFonts w:ascii="游ゴシック" w:hAnsi="游ゴシック" w:eastAsia="游ゴシック"/>
          <w:b/>
          <w:sz w:val="20"/>
        </w:rPr>
        <w:t>表10　調査に所見があるが、広域連合の第9期計画に対応を確認できない領域</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1814"/>
            <w:shd w:val="clear" w:color="auto" w:fill="1F3864"/>
            <w:vAlign w:val="center"/>
          </w:tcPr>
          <w:p>
            <w:pPr>
              <w:spacing w:after="0"/>
              <w:jc w:val="center"/>
            </w:pPr>
            <w:r>
              <w:rPr>
                <w:rFonts w:ascii="游ゴシック" w:hAnsi="游ゴシック" w:eastAsia="游ゴシック"/>
                <w:b/>
                <w:color w:val="FFFFFF"/>
                <w:sz w:val="19"/>
              </w:rPr>
              <w:t>領域</w:t>
            </w:r>
          </w:p>
        </w:tc>
        <w:tc>
          <w:tcPr>
            <w:tcW w:type="dxa" w:w="5102"/>
            <w:shd w:val="clear" w:color="auto" w:fill="1F3864"/>
            <w:vAlign w:val="center"/>
          </w:tcPr>
          <w:p>
            <w:pPr>
              <w:spacing w:after="0"/>
              <w:jc w:val="center"/>
            </w:pPr>
            <w:r>
              <w:rPr>
                <w:rFonts w:ascii="游ゴシック" w:hAnsi="游ゴシック" w:eastAsia="游ゴシック"/>
                <w:b/>
                <w:color w:val="FFFFFF"/>
                <w:sz w:val="19"/>
              </w:rPr>
              <w:t>調査による所見</w:t>
            </w:r>
          </w:p>
        </w:tc>
        <w:tc>
          <w:tcPr>
            <w:tcW w:type="dxa" w:w="2835"/>
            <w:shd w:val="clear" w:color="auto" w:fill="1F3864"/>
            <w:vAlign w:val="center"/>
          </w:tcPr>
          <w:p>
            <w:pPr>
              <w:spacing w:after="0"/>
              <w:jc w:val="center"/>
            </w:pPr>
            <w:r>
              <w:rPr>
                <w:rFonts w:ascii="游ゴシック" w:hAnsi="游ゴシック" w:eastAsia="游ゴシック"/>
                <w:b/>
                <w:color w:val="FFFFFF"/>
                <w:sz w:val="19"/>
              </w:rPr>
              <w:t>広域連合の第9期計画での対応</w:t>
            </w:r>
          </w:p>
        </w:tc>
      </w:tr>
      <w:tr>
        <w:trPr>
          <w:cantSplit/>
        </w:trPr>
        <w:tc>
          <w:tcPr>
            <w:tcW w:type="dxa" w:w="1814"/>
            <w:vAlign w:val="center"/>
          </w:tcPr>
          <w:p>
            <w:pPr>
              <w:spacing w:after="0"/>
            </w:pPr>
            <w:r>
              <w:rPr>
                <w:rFonts w:ascii="游ゴシック" w:hAnsi="游ゴシック" w:eastAsia="游ゴシック"/>
                <w:b/>
                <w:sz w:val="19"/>
              </w:rPr>
              <w:t>移動・交通</w:t>
            </w:r>
          </w:p>
        </w:tc>
        <w:tc>
          <w:tcPr>
            <w:tcW w:type="dxa" w:w="5102"/>
            <w:vAlign w:val="center"/>
          </w:tcPr>
          <w:p>
            <w:pPr>
              <w:spacing w:after="0"/>
            </w:pPr>
            <w:r>
              <w:rPr>
                <w:rFonts w:ascii="游ゴシック" w:hAnsi="游ゴシック" w:eastAsia="游ゴシック"/>
                <w:b w:val="0"/>
                <w:sz w:val="19"/>
              </w:rPr>
              <w:t>自力移動の手段がない20.6％。外出頻度が月1〜3回以下8.5％。美瑛町の面積は676.78km²</w:t>
            </w:r>
          </w:p>
        </w:tc>
        <w:tc>
          <w:tcPr>
            <w:tcW w:type="dxa" w:w="2835"/>
            <w:vAlign w:val="center"/>
          </w:tcPr>
          <w:p>
            <w:pPr>
              <w:spacing w:after="0"/>
            </w:pPr>
            <w:r>
              <w:rPr>
                <w:rFonts w:ascii="游ゴシック" w:hAnsi="游ゴシック" w:eastAsia="游ゴシック"/>
                <w:b w:val="0"/>
                <w:sz w:val="19"/>
              </w:rPr>
              <w:t>確認できない。所管及び計画上の位置づけは協議事項</w:t>
            </w:r>
          </w:p>
        </w:tc>
      </w:tr>
      <w:tr>
        <w:trPr>
          <w:cantSplit/>
        </w:trPr>
        <w:tc>
          <w:tcPr>
            <w:tcW w:type="dxa" w:w="1814"/>
            <w:shd w:val="clear" w:color="auto" w:fill="F2F5FA"/>
            <w:vAlign w:val="center"/>
          </w:tcPr>
          <w:p>
            <w:pPr>
              <w:spacing w:after="0"/>
            </w:pPr>
            <w:r>
              <w:rPr>
                <w:rFonts w:ascii="游ゴシック" w:hAnsi="游ゴシック" w:eastAsia="游ゴシック"/>
                <w:b/>
                <w:sz w:val="19"/>
              </w:rPr>
              <w:t>未利用の理由の把握</w:t>
            </w:r>
          </w:p>
        </w:tc>
        <w:tc>
          <w:tcPr>
            <w:tcW w:type="dxa" w:w="5102"/>
            <w:shd w:val="clear" w:color="auto" w:fill="F2F5FA"/>
            <w:vAlign w:val="center"/>
          </w:tcPr>
          <w:p>
            <w:pPr>
              <w:spacing w:after="0"/>
            </w:pPr>
            <w:r>
              <w:rPr>
                <w:rFonts w:ascii="游ゴシック" w:hAnsi="游ゴシック" w:eastAsia="游ゴシック"/>
                <w:b w:val="0"/>
                <w:sz w:val="19"/>
              </w:rPr>
              <w:t>認定を受けながら未利用の者が504人（認定者の25.7％）。理由は把握できていない</w:t>
            </w:r>
          </w:p>
        </w:tc>
        <w:tc>
          <w:tcPr>
            <w:tcW w:type="dxa" w:w="2835"/>
            <w:shd w:val="clear" w:color="auto" w:fill="F2F5FA"/>
            <w:vAlign w:val="center"/>
          </w:tcPr>
          <w:p>
            <w:pPr>
              <w:spacing w:after="0"/>
            </w:pPr>
            <w:r>
              <w:rPr>
                <w:rFonts w:ascii="游ゴシック" w:hAnsi="游ゴシック" w:eastAsia="游ゴシック"/>
                <w:b w:val="0"/>
                <w:sz w:val="19"/>
              </w:rPr>
              <w:t>確認できない。施策ではなく調査課題として整理する</w:t>
            </w:r>
          </w:p>
        </w:tc>
      </w:tr>
      <w:tr>
        <w:trPr>
          <w:cantSplit/>
        </w:trPr>
        <w:tc>
          <w:tcPr>
            <w:tcW w:type="dxa" w:w="1814"/>
            <w:vAlign w:val="center"/>
          </w:tcPr>
          <w:p>
            <w:pPr>
              <w:spacing w:after="0"/>
            </w:pPr>
            <w:r>
              <w:rPr>
                <w:rFonts w:ascii="游ゴシック" w:hAnsi="游ゴシック" w:eastAsia="游ゴシック"/>
                <w:b/>
                <w:sz w:val="19"/>
              </w:rPr>
              <w:t>人生の最終段階における</w:t>
              <w:br/>
              <w:t>意思決定支援</w:t>
            </w:r>
          </w:p>
        </w:tc>
        <w:tc>
          <w:tcPr>
            <w:tcW w:type="dxa" w:w="5102"/>
            <w:vAlign w:val="center"/>
          </w:tcPr>
          <w:p>
            <w:pPr>
              <w:spacing w:after="0"/>
            </w:pPr>
            <w:r>
              <w:rPr>
                <w:rFonts w:ascii="游ゴシック" w:hAnsi="游ゴシック" w:eastAsia="游ゴシック"/>
                <w:b w:val="0"/>
                <w:sz w:val="19"/>
              </w:rPr>
              <w:t>おひとりになった場合の終のすみか。居所変更実態調査における退去先（意思決定支援のニーズを示す関連情報であり、支援の実施状況を示すものではない）</w:t>
            </w:r>
          </w:p>
        </w:tc>
        <w:tc>
          <w:tcPr>
            <w:tcW w:type="dxa" w:w="2835"/>
            <w:vAlign w:val="center"/>
          </w:tcPr>
          <w:p>
            <w:pPr>
              <w:spacing w:after="0"/>
            </w:pPr>
            <w:r>
              <w:rPr>
                <w:rFonts w:ascii="游ゴシック" w:hAnsi="游ゴシック" w:eastAsia="游ゴシック"/>
                <w:b w:val="0"/>
                <w:sz w:val="19"/>
              </w:rPr>
              <w:t>確認できない</w:t>
            </w:r>
          </w:p>
        </w:tc>
      </w:tr>
      <w:tr>
        <w:trPr>
          <w:cantSplit/>
        </w:trPr>
        <w:tc>
          <w:tcPr>
            <w:tcW w:type="dxa" w:w="1814"/>
            <w:shd w:val="clear" w:color="auto" w:fill="F2F5FA"/>
            <w:vAlign w:val="center"/>
          </w:tcPr>
          <w:p>
            <w:pPr>
              <w:spacing w:after="0"/>
            </w:pPr>
            <w:r>
              <w:rPr>
                <w:rFonts w:ascii="游ゴシック" w:hAnsi="游ゴシック" w:eastAsia="游ゴシック"/>
                <w:b/>
                <w:sz w:val="19"/>
              </w:rPr>
              <w:t>身寄りのない高齢者</w:t>
            </w:r>
          </w:p>
        </w:tc>
        <w:tc>
          <w:tcPr>
            <w:tcW w:type="dxa" w:w="5102"/>
            <w:shd w:val="clear" w:color="auto" w:fill="F2F5FA"/>
            <w:vAlign w:val="center"/>
          </w:tcPr>
          <w:p>
            <w:pPr>
              <w:spacing w:after="0"/>
            </w:pPr>
            <w:r>
              <w:rPr>
                <w:rFonts w:ascii="游ゴシック" w:hAnsi="游ゴシック" w:eastAsia="游ゴシック"/>
                <w:b w:val="0"/>
                <w:sz w:val="19"/>
              </w:rPr>
              <w:t>世話をしてくれる人がいない8.7％（独居では32.4％）。話し相手がいない3.1％（独居では8.2％）</w:t>
            </w:r>
          </w:p>
        </w:tc>
        <w:tc>
          <w:tcPr>
            <w:tcW w:type="dxa" w:w="2835"/>
            <w:shd w:val="clear" w:color="auto" w:fill="F2F5FA"/>
            <w:vAlign w:val="center"/>
          </w:tcPr>
          <w:p>
            <w:pPr>
              <w:spacing w:after="0"/>
            </w:pPr>
            <w:r>
              <w:rPr>
                <w:rFonts w:ascii="游ゴシック" w:hAnsi="游ゴシック" w:eastAsia="游ゴシック"/>
                <w:b w:val="0"/>
                <w:sz w:val="19"/>
              </w:rPr>
              <w:t>施策2-4に一部含まれるが独立していない</w:t>
            </w:r>
          </w:p>
        </w:tc>
      </w:tr>
      <w:tr>
        <w:trPr>
          <w:cantSplit/>
        </w:trPr>
        <w:tc>
          <w:tcPr>
            <w:tcW w:type="dxa" w:w="1814"/>
            <w:vAlign w:val="center"/>
          </w:tcPr>
          <w:p>
            <w:pPr>
              <w:spacing w:after="0"/>
            </w:pPr>
            <w:r>
              <w:rPr>
                <w:rFonts w:ascii="游ゴシック" w:hAnsi="游ゴシック" w:eastAsia="游ゴシック"/>
                <w:b/>
                <w:sz w:val="19"/>
              </w:rPr>
              <w:t>未利用認定者への働きかけ</w:t>
            </w:r>
          </w:p>
        </w:tc>
        <w:tc>
          <w:tcPr>
            <w:tcW w:type="dxa" w:w="5102"/>
            <w:vAlign w:val="center"/>
          </w:tcPr>
          <w:p>
            <w:pPr>
              <w:spacing w:after="0"/>
            </w:pPr>
            <w:r>
              <w:rPr>
                <w:rFonts w:ascii="游ゴシック" w:hAnsi="游ゴシック" w:eastAsia="游ゴシック"/>
                <w:b w:val="0"/>
                <w:sz w:val="19"/>
              </w:rPr>
              <w:t>介護サービス利用率74.3％（平成28年度82.2％から7.9ポイント低下）。これとは別に、交付金評価の「アウトリーチ等の取組状況」の得点が全国平均比39.2％（2.0点／全国5.1点）</w:t>
            </w:r>
          </w:p>
        </w:tc>
        <w:tc>
          <w:tcPr>
            <w:tcW w:type="dxa" w:w="2835"/>
            <w:vAlign w:val="center"/>
          </w:tcPr>
          <w:p>
            <w:pPr>
              <w:spacing w:after="0"/>
            </w:pPr>
            <w:r>
              <w:rPr>
                <w:rFonts w:ascii="游ゴシック" w:hAnsi="游ゴシック" w:eastAsia="游ゴシック"/>
                <w:b w:val="0"/>
                <w:sz w:val="19"/>
              </w:rPr>
              <w:t>確認できない</w:t>
            </w:r>
          </w:p>
        </w:tc>
      </w:tr>
    </w:tbl>
    <w:p>
      <w:pPr>
        <w:ind w:left="227"/>
      </w:pPr>
      <w:r>
        <w:rPr>
          <w:rFonts w:ascii="游ゴシック" w:hAnsi="游ゴシック" w:eastAsia="游ゴシック"/>
          <w:sz w:val="18"/>
        </w:rPr>
        <w:t>※ 「未利用の理由の把握」について。健康とくらしの調査は一般高齢者及び総合事業対象者を対象としており、要支援者・要介護者を含みません。したがって未利用認定者504人の理由を同調査から確認することはできません。理由の把握は、資料提供依頼No.8により行います。</w:t>
      </w:r>
    </w:p>
    <w:p>
      <w:r>
        <w:rPr>
          <w:rFonts w:ascii="游ゴシック" w:hAnsi="游ゴシック" w:eastAsia="游ゴシック"/>
          <w:b w:val="0"/>
          <w:sz w:val="21"/>
        </w:rPr>
      </w:r>
    </w:p>
    <w:p>
      <w:pPr>
        <w:pStyle w:val="Heading2"/>
        <w:keepNext/>
        <w:spacing w:before="180" w:after="60"/>
      </w:pPr>
      <w:r>
        <w:rPr>
          <w:rFonts w:ascii="游ゴシック" w:hAnsi="游ゴシック" w:eastAsia="游ゴシック"/>
          <w:b/>
          <w:color w:val="000000"/>
          <w:sz w:val="22"/>
        </w:rPr>
        <w:t>第9期から引き継ぐ主要課題</w:t>
      </w:r>
    </w:p>
    <w:p>
      <w:pPr>
        <w:ind w:left="340" w:hanging="340"/>
      </w:pPr>
      <w:r>
        <w:rPr>
          <w:rFonts w:ascii="游ゴシック" w:hAnsi="游ゴシック" w:eastAsia="游ゴシック"/>
          <w:sz w:val="21"/>
        </w:rPr>
        <w:t>・指標不足：5目標19施策に対し代表KPIは4項目で、評価範囲が不足していました。</w:t>
      </w:r>
    </w:p>
    <w:p>
      <w:pPr>
        <w:ind w:left="340" w:hanging="340"/>
      </w:pPr>
      <w:r>
        <w:rPr>
          <w:rFonts w:ascii="游ゴシック" w:hAnsi="游ゴシック" w:eastAsia="游ゴシック"/>
          <w:sz w:val="21"/>
        </w:rPr>
        <w:t>・活動と成果の混在：開催数・延べ人数から、実人数・到達率・継続率・生活成果へ転換する必要があります。</w:t>
      </w:r>
    </w:p>
    <w:p>
      <w:pPr>
        <w:ind w:left="340" w:hanging="340"/>
      </w:pPr>
      <w:r>
        <w:rPr>
          <w:rFonts w:ascii="游ゴシック" w:hAnsi="游ゴシック" w:eastAsia="游ゴシック"/>
          <w:sz w:val="21"/>
        </w:rPr>
        <w:t>・年次評価の記録：第9期計画には代表KPIの検証を計画期末に行う旨のみが定められています。受領済みの資料及び公表資料からは、年度ごとの進捗確認と関係者間の共有の実施を確認できていません。実施の有無は、内部記録・評価票（資料No.15）の受領後に確定します。</w:t>
      </w:r>
    </w:p>
    <w:p>
      <w:pPr>
        <w:ind w:left="340" w:hanging="340"/>
      </w:pPr>
      <w:r>
        <w:rPr>
          <w:rFonts w:ascii="游ゴシック" w:hAnsi="游ゴシック" w:eastAsia="游ゴシック"/>
          <w:sz w:val="21"/>
        </w:rPr>
        <w:t>・地域差の平均化：3町・6圏域、年齢、要介護度、世帯、交通条件で分解する必要があります。</w:t>
      </w:r>
    </w:p>
    <w:p>
      <w:pPr>
        <w:ind w:left="340" w:hanging="340"/>
      </w:pPr>
      <w:r>
        <w:rPr>
          <w:rFonts w:ascii="游ゴシック" w:hAnsi="游ゴシック" w:eastAsia="游ゴシック"/>
          <w:sz w:val="21"/>
        </w:rPr>
        <w:t>・需要と供給制約の混同：利用減を需要減と決めず、受入不可、人材、休廃止、町外利用、そして事業所の不存在を確認する必要があります。</w:t>
      </w:r>
    </w:p>
    <w:p>
      <w:pPr>
        <w:ind w:left="340" w:hanging="340"/>
      </w:pPr>
      <w:r>
        <w:rPr>
          <w:rFonts w:ascii="游ゴシック" w:hAnsi="游ゴシック" w:eastAsia="游ゴシック"/>
          <w:sz w:val="21"/>
        </w:rPr>
        <w:t>・統計の不一致：代表KPI④は目標の根拠とした国の統計と実績の統計が異なっていました。</w:t>
      </w:r>
    </w:p>
    <w:p>
      <w:pPr>
        <w:ind w:left="340" w:hanging="340"/>
      </w:pPr>
      <w:r>
        <w:rPr>
          <w:rFonts w:ascii="游ゴシック" w:hAnsi="游ゴシック" w:eastAsia="游ゴシック"/>
          <w:sz w:val="21"/>
        </w:rPr>
        <w:t>・評価できない施策の存在：19施策のうち5施策は調査の裏づけも代表KPIもありません。</w:t>
      </w:r>
    </w:p>
    <w:p>
      <w:pPr>
        <w:ind w:left="340" w:hanging="340"/>
      </w:pPr>
      <w:r>
        <w:rPr>
          <w:rFonts w:ascii="游ゴシック" w:hAnsi="游ゴシック" w:eastAsia="游ゴシック"/>
          <w:sz w:val="21"/>
        </w:rPr>
        <w:t>・対応を確認できない候補領域：調査に所見があるが、広域連合の第9期計画に明示的な対応を確認できない領域が5つあります。</w:t>
      </w:r>
    </w:p>
    <w:p>
      <w:r>
        <w:br w:type="page"/>
      </w:r>
    </w:p>
    <w:p>
      <w:pPr>
        <w:pStyle w:val="Heading2"/>
        <w:keepNext/>
        <w:spacing w:before="180" w:after="60"/>
      </w:pPr>
      <w:r>
        <w:rPr>
          <w:rFonts w:ascii="游ゴシック" w:hAnsi="游ゴシック" w:eastAsia="游ゴシック"/>
          <w:b/>
          <w:color w:val="000000"/>
          <w:sz w:val="22"/>
        </w:rPr>
        <w:t>プロセス評価の暫定判定（実績の受領前に判定できる範囲）</w:t>
      </w:r>
    </w:p>
    <w:p>
      <w:r>
        <w:rPr>
          <w:rFonts w:ascii="游ゴシック" w:hAnsi="游ゴシック" w:eastAsia="游ゴシック"/>
          <w:b w:val="0"/>
          <w:sz w:val="20"/>
        </w:rPr>
        <w:t>施策・事業実績（資料提供依頼No.13）の受領前であっても、保険者機能強化推進交付金等の大項目別得点（53項目・構成3町・3か年）を19施策に割り当てることで、取組の有無と要件の充足の推移までは判定できます。ただし交付金は事業量・対象実人数・決算額を測るものではないため、プロセス評価の代替にはなりません。</w:t>
      </w:r>
    </w:p>
    <w:p>
      <w:pPr>
        <w:keepNext/>
        <w:spacing w:before="160" w:after="40"/>
      </w:pPr>
      <w:r>
        <w:rPr>
          <w:rFonts w:ascii="游ゴシック" w:hAnsi="游ゴシック" w:eastAsia="游ゴシック"/>
          <w:b/>
          <w:sz w:val="20"/>
        </w:rPr>
        <w:t>表11　交付金の得点による19施策の暫定判定</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1928"/>
            <w:shd w:val="clear" w:color="auto" w:fill="1F3864"/>
            <w:vAlign w:val="center"/>
          </w:tcPr>
          <w:p>
            <w:pPr>
              <w:spacing w:after="0"/>
              <w:jc w:val="center"/>
            </w:pPr>
            <w:r>
              <w:rPr>
                <w:rFonts w:ascii="游ゴシック" w:hAnsi="游ゴシック" w:eastAsia="游ゴシック"/>
                <w:b/>
                <w:color w:val="FFFFFF"/>
                <w:sz w:val="19"/>
              </w:rPr>
              <w:t>区分</w:t>
            </w:r>
          </w:p>
        </w:tc>
        <w:tc>
          <w:tcPr>
            <w:tcW w:type="dxa" w:w="794"/>
            <w:shd w:val="clear" w:color="auto" w:fill="1F3864"/>
            <w:vAlign w:val="center"/>
          </w:tcPr>
          <w:p>
            <w:pPr>
              <w:spacing w:after="0"/>
              <w:jc w:val="center"/>
            </w:pPr>
            <w:r>
              <w:rPr>
                <w:rFonts w:ascii="游ゴシック" w:hAnsi="游ゴシック" w:eastAsia="游ゴシック"/>
                <w:b/>
                <w:color w:val="FFFFFF"/>
                <w:sz w:val="19"/>
              </w:rPr>
              <w:t>施策数</w:t>
            </w:r>
          </w:p>
        </w:tc>
        <w:tc>
          <w:tcPr>
            <w:tcW w:type="dxa" w:w="2041"/>
            <w:shd w:val="clear" w:color="auto" w:fill="1F3864"/>
            <w:vAlign w:val="center"/>
          </w:tcPr>
          <w:p>
            <w:pPr>
              <w:spacing w:after="0"/>
              <w:jc w:val="center"/>
            </w:pPr>
            <w:r>
              <w:rPr>
                <w:rFonts w:ascii="游ゴシック" w:hAnsi="游ゴシック" w:eastAsia="游ゴシック"/>
                <w:b/>
                <w:color w:val="FFFFFF"/>
                <w:sz w:val="19"/>
              </w:rPr>
              <w:t>該当する施策</w:t>
            </w:r>
          </w:p>
        </w:tc>
        <w:tc>
          <w:tcPr>
            <w:tcW w:type="dxa" w:w="4989"/>
            <w:shd w:val="clear" w:color="auto" w:fill="1F3864"/>
            <w:vAlign w:val="center"/>
          </w:tcPr>
          <w:p>
            <w:pPr>
              <w:spacing w:after="0"/>
              <w:jc w:val="center"/>
            </w:pPr>
            <w:r>
              <w:rPr>
                <w:rFonts w:ascii="游ゴシック" w:hAnsi="游ゴシック" w:eastAsia="游ゴシック"/>
                <w:b/>
                <w:color w:val="FFFFFF"/>
                <w:sz w:val="19"/>
              </w:rPr>
              <w:t>内容</w:t>
            </w:r>
          </w:p>
        </w:tc>
      </w:tr>
      <w:tr>
        <w:trPr>
          <w:cantSplit/>
        </w:trPr>
        <w:tc>
          <w:tcPr>
            <w:tcW w:type="dxa" w:w="1928"/>
            <w:vAlign w:val="center"/>
          </w:tcPr>
          <w:p>
            <w:pPr>
              <w:spacing w:after="0"/>
            </w:pPr>
            <w:r>
              <w:rPr>
                <w:rFonts w:ascii="游ゴシック" w:hAnsi="游ゴシック" w:eastAsia="游ゴシック"/>
                <w:b/>
                <w:sz w:val="19"/>
              </w:rPr>
              <w:t>取組あり・改善</w:t>
            </w:r>
          </w:p>
        </w:tc>
        <w:tc>
          <w:tcPr>
            <w:tcW w:type="dxa" w:w="794"/>
            <w:vAlign w:val="center"/>
          </w:tcPr>
          <w:p>
            <w:pPr>
              <w:spacing w:after="0"/>
            </w:pPr>
            <w:r>
              <w:rPr>
                <w:rFonts w:ascii="游ゴシック" w:hAnsi="游ゴシック" w:eastAsia="游ゴシック"/>
                <w:b w:val="0"/>
                <w:sz w:val="19"/>
              </w:rPr>
              <w:t>4</w:t>
            </w:r>
          </w:p>
        </w:tc>
        <w:tc>
          <w:tcPr>
            <w:tcW w:type="dxa" w:w="2041"/>
            <w:vAlign w:val="center"/>
          </w:tcPr>
          <w:p>
            <w:pPr>
              <w:spacing w:after="0"/>
              <w:jc w:val="center"/>
            </w:pPr>
            <w:r>
              <w:rPr>
                <w:rFonts w:ascii="游ゴシック" w:hAnsi="游ゴシック" w:eastAsia="游ゴシック"/>
                <w:b w:val="0"/>
                <w:sz w:val="19"/>
              </w:rPr>
              <w:t>1-2、2-1、2-5、4-3</w:t>
            </w:r>
          </w:p>
        </w:tc>
        <w:tc>
          <w:tcPr>
            <w:tcW w:type="dxa" w:w="4989"/>
            <w:vAlign w:val="center"/>
          </w:tcPr>
          <w:p>
            <w:pPr>
              <w:spacing w:after="0"/>
            </w:pPr>
            <w:r>
              <w:rPr>
                <w:rFonts w:ascii="游ゴシック" w:hAnsi="游ゴシック" w:eastAsia="游ゴシック"/>
                <w:b w:val="0"/>
                <w:sz w:val="19"/>
              </w:rPr>
              <w:t>令和6年度から令和8年度にかけて得点率が5ポイント以上上がりました。地域ケア会議の推進（2-5）は58％から88％へ、介護給付費の適正化（4-3）は23％から38％へ上昇しています</w:t>
            </w:r>
          </w:p>
        </w:tc>
      </w:tr>
      <w:tr>
        <w:trPr>
          <w:cantSplit/>
        </w:trPr>
        <w:tc>
          <w:tcPr>
            <w:tcW w:type="dxa" w:w="1928"/>
            <w:shd w:val="clear" w:color="auto" w:fill="F2F5FA"/>
            <w:vAlign w:val="center"/>
          </w:tcPr>
          <w:p>
            <w:pPr>
              <w:spacing w:after="0"/>
            </w:pPr>
            <w:r>
              <w:rPr>
                <w:rFonts w:ascii="游ゴシック" w:hAnsi="游ゴシック" w:eastAsia="游ゴシック"/>
                <w:b/>
                <w:sz w:val="19"/>
              </w:rPr>
              <w:t>取組あり・横ばい</w:t>
            </w:r>
          </w:p>
        </w:tc>
        <w:tc>
          <w:tcPr>
            <w:tcW w:type="dxa" w:w="794"/>
            <w:shd w:val="clear" w:color="auto" w:fill="F2F5FA"/>
            <w:vAlign w:val="center"/>
          </w:tcPr>
          <w:p>
            <w:pPr>
              <w:spacing w:after="0"/>
            </w:pPr>
            <w:r>
              <w:rPr>
                <w:rFonts w:ascii="游ゴシック" w:hAnsi="游ゴシック" w:eastAsia="游ゴシック"/>
                <w:b w:val="0"/>
                <w:sz w:val="19"/>
              </w:rPr>
              <w:t>7</w:t>
            </w:r>
          </w:p>
        </w:tc>
        <w:tc>
          <w:tcPr>
            <w:tcW w:type="dxa" w:w="2041"/>
            <w:shd w:val="clear" w:color="auto" w:fill="F2F5FA"/>
            <w:vAlign w:val="center"/>
          </w:tcPr>
          <w:p>
            <w:pPr>
              <w:spacing w:after="0"/>
              <w:jc w:val="center"/>
            </w:pPr>
            <w:r>
              <w:rPr>
                <w:rFonts w:ascii="游ゴシック" w:hAnsi="游ゴシック" w:eastAsia="游ゴシック"/>
                <w:b w:val="0"/>
                <w:sz w:val="19"/>
              </w:rPr>
              <w:t>1-1、1-3、3-2、3-3、3-4、4-1、4-4</w:t>
            </w:r>
          </w:p>
        </w:tc>
        <w:tc>
          <w:tcPr>
            <w:tcW w:type="dxa" w:w="4989"/>
            <w:shd w:val="clear" w:color="auto" w:fill="F2F5FA"/>
            <w:vAlign w:val="center"/>
          </w:tcPr>
          <w:p>
            <w:pPr>
              <w:spacing w:after="0"/>
            </w:pPr>
            <w:r>
              <w:rPr>
                <w:rFonts w:ascii="游ゴシック" w:hAnsi="游ゴシック" w:eastAsia="游ゴシック"/>
                <w:b w:val="0"/>
                <w:sz w:val="19"/>
              </w:rPr>
              <w:t>得点率の変化が±5ポイント以内です。取組は継続していますが要件の充足が進んでいません</w:t>
            </w:r>
          </w:p>
        </w:tc>
      </w:tr>
      <w:tr>
        <w:trPr>
          <w:cantSplit/>
        </w:trPr>
        <w:tc>
          <w:tcPr>
            <w:tcW w:type="dxa" w:w="1928"/>
            <w:vAlign w:val="center"/>
          </w:tcPr>
          <w:p>
            <w:pPr>
              <w:spacing w:after="0"/>
            </w:pPr>
            <w:r>
              <w:rPr>
                <w:rFonts w:ascii="游ゴシック" w:hAnsi="游ゴシック" w:eastAsia="游ゴシック"/>
                <w:b/>
                <w:sz w:val="19"/>
              </w:rPr>
              <w:t>取組あり・低下</w:t>
            </w:r>
          </w:p>
        </w:tc>
        <w:tc>
          <w:tcPr>
            <w:tcW w:type="dxa" w:w="794"/>
            <w:vAlign w:val="center"/>
          </w:tcPr>
          <w:p>
            <w:pPr>
              <w:spacing w:after="0"/>
            </w:pPr>
            <w:r>
              <w:rPr>
                <w:rFonts w:ascii="游ゴシック" w:hAnsi="游ゴシック" w:eastAsia="游ゴシック"/>
                <w:b w:val="0"/>
                <w:sz w:val="19"/>
              </w:rPr>
              <w:t>4</w:t>
            </w:r>
          </w:p>
        </w:tc>
        <w:tc>
          <w:tcPr>
            <w:tcW w:type="dxa" w:w="2041"/>
            <w:vAlign w:val="center"/>
          </w:tcPr>
          <w:p>
            <w:pPr>
              <w:spacing w:after="0"/>
              <w:jc w:val="center"/>
            </w:pPr>
            <w:r>
              <w:rPr>
                <w:rFonts w:ascii="游ゴシック" w:hAnsi="游ゴシック" w:eastAsia="游ゴシック"/>
                <w:b w:val="0"/>
                <w:sz w:val="19"/>
              </w:rPr>
              <w:t>2-2、2-3、2-6、3-1</w:t>
            </w:r>
          </w:p>
        </w:tc>
        <w:tc>
          <w:tcPr>
            <w:tcW w:type="dxa" w:w="4989"/>
            <w:vAlign w:val="center"/>
          </w:tcPr>
          <w:p>
            <w:pPr>
              <w:spacing w:after="0"/>
            </w:pPr>
            <w:r>
              <w:rPr>
                <w:rFonts w:ascii="游ゴシック" w:hAnsi="游ゴシック" w:eastAsia="游ゴシック"/>
                <w:b w:val="0"/>
                <w:sz w:val="19"/>
              </w:rPr>
              <w:t>得点率が5ポイント以上下がりました。総合事業の推進（2-2）は34％から26％、認知症施策の推進（2-3）は36％から30％です。低下の理由（要件の変更か取組の縮小か）は評価調書によります</w:t>
            </w:r>
          </w:p>
        </w:tc>
      </w:tr>
      <w:tr>
        <w:trPr>
          <w:cantSplit/>
        </w:trPr>
        <w:tc>
          <w:tcPr>
            <w:tcW w:type="dxa" w:w="1928"/>
            <w:shd w:val="clear" w:color="auto" w:fill="F2F5FA"/>
            <w:vAlign w:val="center"/>
          </w:tcPr>
          <w:p>
            <w:pPr>
              <w:spacing w:after="0"/>
            </w:pPr>
            <w:r>
              <w:rPr>
                <w:rFonts w:ascii="游ゴシック" w:hAnsi="游ゴシック" w:eastAsia="游ゴシック"/>
                <w:b/>
                <w:sz w:val="19"/>
              </w:rPr>
              <w:t>交付金では判定できない</w:t>
            </w:r>
          </w:p>
        </w:tc>
        <w:tc>
          <w:tcPr>
            <w:tcW w:type="dxa" w:w="794"/>
            <w:shd w:val="clear" w:color="auto" w:fill="F2F5FA"/>
            <w:vAlign w:val="center"/>
          </w:tcPr>
          <w:p>
            <w:pPr>
              <w:spacing w:after="0"/>
            </w:pPr>
            <w:r>
              <w:rPr>
                <w:rFonts w:ascii="游ゴシック" w:hAnsi="游ゴシック" w:eastAsia="游ゴシック"/>
                <w:b w:val="0"/>
                <w:sz w:val="19"/>
              </w:rPr>
              <w:t>4</w:t>
            </w:r>
          </w:p>
        </w:tc>
        <w:tc>
          <w:tcPr>
            <w:tcW w:type="dxa" w:w="2041"/>
            <w:shd w:val="clear" w:color="auto" w:fill="F2F5FA"/>
            <w:vAlign w:val="center"/>
          </w:tcPr>
          <w:p>
            <w:pPr>
              <w:spacing w:after="0"/>
              <w:jc w:val="center"/>
            </w:pPr>
            <w:r>
              <w:rPr>
                <w:rFonts w:ascii="游ゴシック" w:hAnsi="游ゴシック" w:eastAsia="游ゴシック"/>
                <w:b w:val="0"/>
                <w:sz w:val="19"/>
              </w:rPr>
              <w:t>1-4、2-4、4-2、5-1</w:t>
            </w:r>
          </w:p>
        </w:tc>
        <w:tc>
          <w:tcPr>
            <w:tcW w:type="dxa" w:w="4989"/>
            <w:shd w:val="clear" w:color="auto" w:fill="F2F5FA"/>
            <w:vAlign w:val="center"/>
          </w:tcPr>
          <w:p>
            <w:pPr>
              <w:spacing w:after="0"/>
            </w:pPr>
            <w:r>
              <w:rPr>
                <w:rFonts w:ascii="游ゴシック" w:hAnsi="游ゴシック" w:eastAsia="游ゴシック"/>
                <w:b w:val="0"/>
                <w:sz w:val="19"/>
              </w:rPr>
              <w:t>該当する評価項目がありません。虐待防止、住まいと生活支援の一体化、事業者の適正・円滑な運営、災害・感染症対策は、実績がなければ判定できません</w:t>
            </w:r>
          </w:p>
        </w:tc>
      </w:tr>
    </w:tbl>
    <w:p>
      <w:pPr>
        <w:spacing w:before="40"/>
      </w:pPr>
      <w:r>
        <w:rPr>
          <w:rFonts w:ascii="游ゴシック" w:hAnsi="游ゴシック" w:eastAsia="游ゴシック"/>
          <w:sz w:val="17"/>
        </w:rPr>
        <w:t>資料：厚生労働省「保険者機能強化推進交付金・介護保険保険者努力支援交付金に係る評価指標（市町村分）」の全国集計結果（令和6〜8年度）</w:t>
      </w:r>
    </w:p>
    <w:p>
      <w:pPr>
        <w:ind w:left="227"/>
      </w:pPr>
      <w:r>
        <w:rPr>
          <w:rFonts w:ascii="游ゴシック" w:hAnsi="游ゴシック" w:eastAsia="游ゴシック"/>
          <w:sz w:val="18"/>
        </w:rPr>
        <w:t>※ 交付金の評価項目と19施策の割当ては受託者によるものです。1つの評価項目が複数の施策に対応する場合があります。割当てのご確認をお願いしています（確認事項No.61）。</w:t>
      </w:r>
    </w:p>
    <w:p>
      <w:r>
        <w:rPr>
          <w:rFonts w:ascii="游ゴシック" w:hAnsi="游ゴシック" w:eastAsia="游ゴシック"/>
          <w:b w:val="0"/>
          <w:sz w:val="21"/>
        </w:rPr>
      </w:r>
    </w:p>
    <w:p>
      <w:r>
        <w:rPr>
          <w:rFonts w:ascii="游ゴシック" w:hAnsi="游ゴシック" w:eastAsia="游ゴシック"/>
          <w:b/>
          <w:sz w:val="21"/>
        </w:rPr>
        <w:t>この暫定判定により、実績が届く前でも第10期の施策体系の検討を進めることができます。とくに「交付金では判定できない4施策」は、第9期において成果を測る手段も取組を確認する手段も持たない施策であり、第10期では指標の新設又は施策の統合を検討します。</w:t>
      </w:r>
    </w:p>
    <w:p>
      <w:r>
        <w:br w:type="page"/>
      </w:r>
    </w:p>
    <w:p>
      <w:pPr>
        <w:pStyle w:val="Heading1"/>
        <w:keepNext/>
        <w:spacing w:before="280" w:after="120"/>
      </w:pPr>
      <w:r>
        <w:rPr>
          <w:rFonts w:ascii="游ゴシック" w:hAnsi="游ゴシック" w:eastAsia="游ゴシック"/>
          <w:b/>
          <w:color w:val="1F3864"/>
          <w:sz w:val="26"/>
        </w:rPr>
        <w:t>第5節　不足している資料と確認事項</w:t>
      </w:r>
    </w:p>
    <w:p>
      <w:r>
        <w:rPr>
          <w:rFonts w:ascii="游ゴシック" w:hAnsi="游ゴシック" w:eastAsia="游ゴシック"/>
          <w:b w:val="0"/>
          <w:sz w:val="21"/>
        </w:rPr>
        <w:t>評価を確定するために不足している資料及び確認事項を洗い出しました。本節に、評価を確定するために必要なものを示します。</w:t>
      </w:r>
    </w:p>
    <w:p>
      <w:pPr>
        <w:pStyle w:val="Heading2"/>
        <w:keepNext/>
        <w:spacing w:before="180" w:after="60"/>
      </w:pPr>
      <w:r>
        <w:rPr>
          <w:rFonts w:ascii="游ゴシック" w:hAnsi="游ゴシック" w:eastAsia="游ゴシック"/>
          <w:b/>
          <w:color w:val="000000"/>
          <w:sz w:val="22"/>
        </w:rPr>
        <w:t>1　不足資料（優先度別）</w:t>
      </w:r>
    </w:p>
    <w:p>
      <w:pPr>
        <w:keepNext/>
        <w:spacing w:before="160" w:after="40"/>
      </w:pPr>
      <w:r>
        <w:rPr>
          <w:rFonts w:ascii="游ゴシック" w:hAnsi="游ゴシック" w:eastAsia="游ゴシック"/>
          <w:b/>
          <w:sz w:val="20"/>
        </w:rPr>
        <w:t>表12　第9期の評価を確定するために不足している資料</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1625"/>
        <w:gridCol w:w="1625"/>
        <w:gridCol w:w="1625"/>
        <w:gridCol w:w="1625"/>
        <w:gridCol w:w="1625"/>
        <w:gridCol w:w="1625"/>
      </w:tblGrid>
      <w:tr>
        <w:trPr>
          <w:tblHeader/>
        </w:trPr>
        <w:tc>
          <w:tcPr>
            <w:tcW w:type="dxa" w:w="680"/>
            <w:shd w:val="clear" w:color="auto" w:fill="1F3864"/>
            <w:vAlign w:val="center"/>
          </w:tcPr>
          <w:p>
            <w:pPr>
              <w:spacing w:after="0"/>
              <w:jc w:val="center"/>
            </w:pPr>
            <w:r>
              <w:rPr>
                <w:rFonts w:ascii="游ゴシック" w:hAnsi="游ゴシック" w:eastAsia="游ゴシック"/>
                <w:b/>
                <w:color w:val="FFFFFF"/>
                <w:sz w:val="19"/>
              </w:rPr>
              <w:t>優先</w:t>
            </w:r>
          </w:p>
        </w:tc>
        <w:tc>
          <w:tcPr>
            <w:tcW w:type="dxa" w:w="567"/>
            <w:shd w:val="clear" w:color="auto" w:fill="1F3864"/>
            <w:vAlign w:val="center"/>
          </w:tcPr>
          <w:p>
            <w:pPr>
              <w:spacing w:after="0"/>
              <w:jc w:val="center"/>
            </w:pPr>
            <w:r>
              <w:rPr>
                <w:rFonts w:ascii="游ゴシック" w:hAnsi="游ゴシック" w:eastAsia="游ゴシック"/>
                <w:b/>
                <w:color w:val="FFFFFF"/>
                <w:sz w:val="19"/>
              </w:rPr>
              <w:t>No.</w:t>
            </w:r>
          </w:p>
        </w:tc>
        <w:tc>
          <w:tcPr>
            <w:tcW w:type="dxa" w:w="2494"/>
            <w:shd w:val="clear" w:color="auto" w:fill="1F3864"/>
            <w:vAlign w:val="center"/>
          </w:tcPr>
          <w:p>
            <w:pPr>
              <w:spacing w:after="0"/>
              <w:jc w:val="center"/>
            </w:pPr>
            <w:r>
              <w:rPr>
                <w:rFonts w:ascii="游ゴシック" w:hAnsi="游ゴシック" w:eastAsia="游ゴシック"/>
                <w:b/>
                <w:color w:val="FFFFFF"/>
                <w:sz w:val="19"/>
              </w:rPr>
              <w:t>資料</w:t>
            </w:r>
          </w:p>
        </w:tc>
        <w:tc>
          <w:tcPr>
            <w:tcW w:type="dxa" w:w="3402"/>
            <w:shd w:val="clear" w:color="auto" w:fill="1F3864"/>
            <w:vAlign w:val="center"/>
          </w:tcPr>
          <w:p>
            <w:pPr>
              <w:spacing w:after="0"/>
              <w:jc w:val="center"/>
            </w:pPr>
            <w:r>
              <w:rPr>
                <w:rFonts w:ascii="游ゴシック" w:hAnsi="游ゴシック" w:eastAsia="游ゴシック"/>
                <w:b/>
                <w:color w:val="FFFFFF"/>
                <w:sz w:val="19"/>
              </w:rPr>
              <w:t>確定する内容</w:t>
            </w:r>
          </w:p>
        </w:tc>
        <w:tc>
          <w:tcPr>
            <w:tcW w:type="dxa" w:w="1134"/>
            <w:shd w:val="clear" w:color="auto" w:fill="1F3864"/>
            <w:vAlign w:val="center"/>
          </w:tcPr>
          <w:p>
            <w:pPr>
              <w:spacing w:after="0"/>
              <w:jc w:val="center"/>
            </w:pPr>
            <w:r>
              <w:rPr>
                <w:rFonts w:ascii="游ゴシック" w:hAnsi="游ゴシック" w:eastAsia="游ゴシック"/>
                <w:b/>
                <w:color w:val="FFFFFF"/>
                <w:sz w:val="19"/>
              </w:rPr>
              <w:t>状態</w:t>
            </w:r>
          </w:p>
        </w:tc>
        <w:tc>
          <w:tcPr>
            <w:tcW w:type="dxa" w:w="1247"/>
            <w:shd w:val="clear" w:color="auto" w:fill="1F3864"/>
            <w:vAlign w:val="center"/>
          </w:tcPr>
          <w:p>
            <w:pPr>
              <w:spacing w:after="0"/>
              <w:jc w:val="center"/>
            </w:pPr>
            <w:r>
              <w:rPr>
                <w:rFonts w:ascii="游ゴシック" w:hAnsi="游ゴシック" w:eastAsia="游ゴシック"/>
                <w:b/>
                <w:color w:val="FFFFFF"/>
                <w:sz w:val="19"/>
              </w:rPr>
              <w:t>希望時期</w:t>
            </w:r>
          </w:p>
        </w:tc>
      </w:tr>
      <w:tr>
        <w:trPr>
          <w:cantSplit/>
        </w:trPr>
        <w:tc>
          <w:tcPr>
            <w:tcW w:type="dxa" w:w="680"/>
            <w:vAlign w:val="center"/>
          </w:tcPr>
          <w:p>
            <w:pPr>
              <w:spacing w:after="0"/>
              <w:jc w:val="center"/>
            </w:pPr>
            <w:r>
              <w:rPr>
                <w:rFonts w:ascii="游ゴシック" w:hAnsi="游ゴシック" w:eastAsia="游ゴシック"/>
                <w:b/>
                <w:sz w:val="19"/>
              </w:rPr>
              <w:t>最高</w:t>
            </w:r>
          </w:p>
        </w:tc>
        <w:tc>
          <w:tcPr>
            <w:tcW w:type="dxa" w:w="567"/>
            <w:vAlign w:val="center"/>
          </w:tcPr>
          <w:p>
            <w:pPr>
              <w:spacing w:after="0"/>
              <w:jc w:val="center"/>
            </w:pPr>
            <w:r>
              <w:rPr>
                <w:rFonts w:ascii="游ゴシック" w:hAnsi="游ゴシック" w:eastAsia="游ゴシック"/>
                <w:b w:val="0"/>
                <w:sz w:val="19"/>
              </w:rPr>
              <w:t>13</w:t>
            </w:r>
          </w:p>
        </w:tc>
        <w:tc>
          <w:tcPr>
            <w:tcW w:type="dxa" w:w="2494"/>
            <w:vAlign w:val="center"/>
          </w:tcPr>
          <w:p>
            <w:pPr>
              <w:spacing w:after="0"/>
            </w:pPr>
            <w:r>
              <w:rPr>
                <w:rFonts w:ascii="游ゴシック" w:hAnsi="游ゴシック" w:eastAsia="游ゴシック"/>
                <w:b w:val="0"/>
                <w:sz w:val="19"/>
              </w:rPr>
              <w:t>令和6〜8年度の施策・事業実績、事業量、対象実人数、予算・決算</w:t>
            </w:r>
          </w:p>
        </w:tc>
        <w:tc>
          <w:tcPr>
            <w:tcW w:type="dxa" w:w="3402"/>
            <w:vAlign w:val="center"/>
          </w:tcPr>
          <w:p>
            <w:pPr>
              <w:spacing w:after="0"/>
            </w:pPr>
            <w:r>
              <w:rPr>
                <w:rFonts w:ascii="游ゴシック" w:hAnsi="游ゴシック" w:eastAsia="游ゴシック"/>
                <w:b w:val="0"/>
                <w:sz w:val="19"/>
              </w:rPr>
              <w:t>プロセス評価。これがないと施策が計画どおり実施されたかを判定できません。見える化システムの対計画比では代替できません</w:t>
            </w:r>
          </w:p>
        </w:tc>
        <w:tc>
          <w:tcPr>
            <w:tcW w:type="dxa" w:w="1134"/>
            <w:vAlign w:val="center"/>
          </w:tcPr>
          <w:p>
            <w:pPr>
              <w:spacing w:after="0"/>
              <w:jc w:val="center"/>
            </w:pPr>
            <w:r>
              <w:rPr>
                <w:rFonts w:ascii="游ゴシック" w:hAnsi="游ゴシック" w:eastAsia="游ゴシック"/>
                <w:b w:val="0"/>
                <w:sz w:val="19"/>
              </w:rPr>
              <w:t>未受領</w:t>
            </w:r>
          </w:p>
        </w:tc>
        <w:tc>
          <w:tcPr>
            <w:tcW w:type="dxa" w:w="1247"/>
            <w:vAlign w:val="center"/>
          </w:tcPr>
          <w:p>
            <w:pPr>
              <w:spacing w:after="0"/>
              <w:jc w:val="center"/>
            </w:pPr>
            <w:r>
              <w:rPr>
                <w:rFonts w:ascii="游ゴシック" w:hAnsi="游ゴシック" w:eastAsia="游ゴシック"/>
                <w:b w:val="0"/>
                <w:sz w:val="19"/>
              </w:rPr>
              <w:t>令和8年9月</w:t>
            </w:r>
          </w:p>
        </w:tc>
      </w:tr>
      <w:tr>
        <w:trPr>
          <w:cantSplit/>
        </w:trPr>
        <w:tc>
          <w:tcPr>
            <w:tcW w:type="dxa" w:w="680"/>
            <w:shd w:val="clear" w:color="auto" w:fill="F2F5FA"/>
            <w:vAlign w:val="center"/>
          </w:tcPr>
          <w:p>
            <w:pPr>
              <w:spacing w:after="0"/>
              <w:jc w:val="center"/>
            </w:pPr>
            <w:r>
              <w:rPr>
                <w:rFonts w:ascii="游ゴシック" w:hAnsi="游ゴシック" w:eastAsia="游ゴシック"/>
                <w:b/>
                <w:sz w:val="19"/>
              </w:rPr>
              <w:t>最高</w:t>
            </w:r>
          </w:p>
        </w:tc>
        <w:tc>
          <w:tcPr>
            <w:tcW w:type="dxa" w:w="567"/>
            <w:shd w:val="clear" w:color="auto" w:fill="F2F5FA"/>
            <w:vAlign w:val="center"/>
          </w:tcPr>
          <w:p>
            <w:pPr>
              <w:spacing w:after="0"/>
              <w:jc w:val="center"/>
            </w:pPr>
            <w:r>
              <w:rPr>
                <w:rFonts w:ascii="游ゴシック" w:hAnsi="游ゴシック" w:eastAsia="游ゴシック"/>
                <w:b w:val="0"/>
                <w:sz w:val="19"/>
              </w:rPr>
              <w:t>13</w:t>
            </w:r>
          </w:p>
        </w:tc>
        <w:tc>
          <w:tcPr>
            <w:tcW w:type="dxa" w:w="2494"/>
            <w:shd w:val="clear" w:color="auto" w:fill="F2F5FA"/>
            <w:vAlign w:val="center"/>
          </w:tcPr>
          <w:p>
            <w:pPr>
              <w:spacing w:after="0"/>
            </w:pPr>
            <w:r>
              <w:rPr>
                <w:rFonts w:ascii="游ゴシック" w:hAnsi="游ゴシック" w:eastAsia="游ゴシック"/>
                <w:b w:val="0"/>
                <w:sz w:val="19"/>
              </w:rPr>
              <w:t>包括的支援事業6事業及び任意事業の実績</w:t>
            </w:r>
          </w:p>
        </w:tc>
        <w:tc>
          <w:tcPr>
            <w:tcW w:type="dxa" w:w="3402"/>
            <w:shd w:val="clear" w:color="auto" w:fill="F2F5FA"/>
            <w:vAlign w:val="center"/>
          </w:tcPr>
          <w:p>
            <w:pPr>
              <w:spacing w:after="0"/>
            </w:pPr>
            <w:r>
              <w:rPr>
                <w:rFonts w:ascii="游ゴシック" w:hAnsi="游ゴシック" w:eastAsia="游ゴシック"/>
                <w:b w:val="0"/>
                <w:sz w:val="19"/>
              </w:rPr>
              <w:t>地域支援事業のプロセス評価。決算では「包括的支援事業・任意事業費」として一括計上されており、事業別の実績が分かりません</w:t>
            </w:r>
          </w:p>
        </w:tc>
        <w:tc>
          <w:tcPr>
            <w:tcW w:type="dxa" w:w="1134"/>
            <w:shd w:val="clear" w:color="auto" w:fill="F2F5FA"/>
            <w:vAlign w:val="center"/>
          </w:tcPr>
          <w:p>
            <w:pPr>
              <w:spacing w:after="0"/>
              <w:jc w:val="center"/>
            </w:pPr>
            <w:r>
              <w:rPr>
                <w:rFonts w:ascii="游ゴシック" w:hAnsi="游ゴシック" w:eastAsia="游ゴシック"/>
                <w:b w:val="0"/>
                <w:sz w:val="19"/>
              </w:rPr>
              <w:t>未受領</w:t>
            </w:r>
          </w:p>
        </w:tc>
        <w:tc>
          <w:tcPr>
            <w:tcW w:type="dxa" w:w="1247"/>
            <w:shd w:val="clear" w:color="auto" w:fill="F2F5FA"/>
            <w:vAlign w:val="center"/>
          </w:tcPr>
          <w:p>
            <w:pPr>
              <w:spacing w:after="0"/>
              <w:jc w:val="center"/>
            </w:pPr>
            <w:r>
              <w:rPr>
                <w:rFonts w:ascii="游ゴシック" w:hAnsi="游ゴシック" w:eastAsia="游ゴシック"/>
                <w:b w:val="0"/>
                <w:sz w:val="19"/>
              </w:rPr>
              <w:t>令和8年9月</w:t>
            </w:r>
          </w:p>
        </w:tc>
      </w:tr>
      <w:tr>
        <w:trPr>
          <w:cantSplit/>
        </w:trPr>
        <w:tc>
          <w:tcPr>
            <w:tcW w:type="dxa" w:w="680"/>
            <w:vAlign w:val="center"/>
          </w:tcPr>
          <w:p>
            <w:pPr>
              <w:spacing w:after="0"/>
              <w:jc w:val="center"/>
            </w:pPr>
            <w:r>
              <w:rPr>
                <w:rFonts w:ascii="游ゴシック" w:hAnsi="游ゴシック" w:eastAsia="游ゴシック"/>
                <w:b/>
                <w:sz w:val="19"/>
              </w:rPr>
              <w:t>最高</w:t>
            </w:r>
          </w:p>
        </w:tc>
        <w:tc>
          <w:tcPr>
            <w:tcW w:type="dxa" w:w="567"/>
            <w:vAlign w:val="center"/>
          </w:tcPr>
          <w:p>
            <w:pPr>
              <w:spacing w:after="0"/>
              <w:jc w:val="center"/>
            </w:pPr>
            <w:r>
              <w:rPr>
                <w:rFonts w:ascii="游ゴシック" w:hAnsi="游ゴシック" w:eastAsia="游ゴシック"/>
                <w:b w:val="0"/>
                <w:sz w:val="19"/>
              </w:rPr>
              <w:t>9</w:t>
            </w:r>
          </w:p>
        </w:tc>
        <w:tc>
          <w:tcPr>
            <w:tcW w:type="dxa" w:w="2494"/>
            <w:vAlign w:val="center"/>
          </w:tcPr>
          <w:p>
            <w:pPr>
              <w:spacing w:after="0"/>
            </w:pPr>
            <w:r>
              <w:rPr>
                <w:rFonts w:ascii="游ゴシック" w:hAnsi="游ゴシック" w:eastAsia="游ゴシック"/>
                <w:b w:val="0"/>
                <w:sz w:val="19"/>
              </w:rPr>
              <w:t>令和7年度の決算書又は年報様式4</w:t>
            </w:r>
          </w:p>
        </w:tc>
        <w:tc>
          <w:tcPr>
            <w:tcW w:type="dxa" w:w="3402"/>
            <w:vAlign w:val="center"/>
          </w:tcPr>
          <w:p>
            <w:pPr>
              <w:spacing w:after="0"/>
            </w:pPr>
            <w:r>
              <w:rPr>
                <w:rFonts w:ascii="游ゴシック" w:hAnsi="游ゴシック" w:eastAsia="游ゴシック"/>
                <w:b w:val="0"/>
                <w:sz w:val="19"/>
              </w:rPr>
              <w:t>令和7年度末の介護給付費準備基金残高。第9期の剰余額の確定と第10期の取崩方針</w:t>
            </w:r>
          </w:p>
        </w:tc>
        <w:tc>
          <w:tcPr>
            <w:tcW w:type="dxa" w:w="1134"/>
            <w:vAlign w:val="center"/>
          </w:tcPr>
          <w:p>
            <w:pPr>
              <w:spacing w:after="0"/>
              <w:jc w:val="center"/>
            </w:pPr>
            <w:r>
              <w:rPr>
                <w:rFonts w:ascii="游ゴシック" w:hAnsi="游ゴシック" w:eastAsia="游ゴシック"/>
                <w:b w:val="0"/>
                <w:sz w:val="19"/>
              </w:rPr>
              <w:t>未受領</w:t>
              <w:br/>
              <w:t>（令和8年12月頃）</w:t>
            </w:r>
          </w:p>
        </w:tc>
        <w:tc>
          <w:tcPr>
            <w:tcW w:type="dxa" w:w="1247"/>
            <w:vAlign w:val="center"/>
          </w:tcPr>
          <w:p>
            <w:pPr>
              <w:spacing w:after="0"/>
              <w:jc w:val="center"/>
            </w:pPr>
            <w:r>
              <w:rPr>
                <w:rFonts w:ascii="游ゴシック" w:hAnsi="游ゴシック" w:eastAsia="游ゴシック"/>
                <w:b w:val="0"/>
                <w:sz w:val="19"/>
              </w:rPr>
              <w:t>確定次第</w:t>
            </w:r>
          </w:p>
        </w:tc>
      </w:tr>
      <w:tr>
        <w:trPr>
          <w:cantSplit/>
        </w:trPr>
        <w:tc>
          <w:tcPr>
            <w:tcW w:type="dxa" w:w="680"/>
            <w:shd w:val="clear" w:color="auto" w:fill="F2F5FA"/>
            <w:vAlign w:val="center"/>
          </w:tcPr>
          <w:p>
            <w:pPr>
              <w:spacing w:after="0"/>
              <w:jc w:val="center"/>
            </w:pPr>
            <w:r>
              <w:rPr>
                <w:rFonts w:ascii="游ゴシック" w:hAnsi="游ゴシック" w:eastAsia="游ゴシック"/>
                <w:b/>
                <w:sz w:val="19"/>
              </w:rPr>
              <w:t>高</w:t>
            </w:r>
          </w:p>
        </w:tc>
        <w:tc>
          <w:tcPr>
            <w:tcW w:type="dxa" w:w="567"/>
            <w:shd w:val="clear" w:color="auto" w:fill="F2F5FA"/>
            <w:vAlign w:val="center"/>
          </w:tcPr>
          <w:p>
            <w:pPr>
              <w:spacing w:after="0"/>
              <w:jc w:val="center"/>
            </w:pPr>
            <w:r>
              <w:rPr>
                <w:rFonts w:ascii="游ゴシック" w:hAnsi="游ゴシック" w:eastAsia="游ゴシック"/>
                <w:b w:val="0"/>
                <w:sz w:val="19"/>
              </w:rPr>
              <w:t>5</w:t>
            </w:r>
          </w:p>
        </w:tc>
        <w:tc>
          <w:tcPr>
            <w:tcW w:type="dxa" w:w="2494"/>
            <w:shd w:val="clear" w:color="auto" w:fill="F2F5FA"/>
            <w:vAlign w:val="center"/>
          </w:tcPr>
          <w:p>
            <w:pPr>
              <w:spacing w:after="0"/>
            </w:pPr>
            <w:r>
              <w:rPr>
                <w:rFonts w:ascii="游ゴシック" w:hAnsi="游ゴシック" w:eastAsia="游ゴシック"/>
                <w:b w:val="0"/>
                <w:sz w:val="19"/>
              </w:rPr>
              <w:t>保険者機能強化推進交付金等の評価調書（令和4〜7年度分）</w:t>
            </w:r>
          </w:p>
        </w:tc>
        <w:tc>
          <w:tcPr>
            <w:tcW w:type="dxa" w:w="3402"/>
            <w:shd w:val="clear" w:color="auto" w:fill="F2F5FA"/>
            <w:vAlign w:val="center"/>
          </w:tcPr>
          <w:p>
            <w:pPr>
              <w:spacing w:after="0"/>
            </w:pPr>
            <w:r>
              <w:rPr>
                <w:rFonts w:ascii="游ゴシック" w:hAnsi="游ゴシック" w:eastAsia="游ゴシック"/>
                <w:b w:val="0"/>
                <w:sz w:val="19"/>
              </w:rPr>
              <w:t>0点項目が取組の不在か要件未充足かの判別。大項目別の得点は復元済みですが、0点の理由は判別できません</w:t>
            </w:r>
          </w:p>
        </w:tc>
        <w:tc>
          <w:tcPr>
            <w:tcW w:type="dxa" w:w="1134"/>
            <w:shd w:val="clear" w:color="auto" w:fill="F2F5FA"/>
            <w:vAlign w:val="center"/>
          </w:tcPr>
          <w:p>
            <w:pPr>
              <w:spacing w:after="0"/>
              <w:jc w:val="center"/>
            </w:pPr>
            <w:r>
              <w:rPr>
                <w:rFonts w:ascii="游ゴシック" w:hAnsi="游ゴシック" w:eastAsia="游ゴシック"/>
                <w:b w:val="0"/>
                <w:sz w:val="19"/>
              </w:rPr>
              <w:t>未受領</w:t>
            </w:r>
          </w:p>
        </w:tc>
        <w:tc>
          <w:tcPr>
            <w:tcW w:type="dxa" w:w="1247"/>
            <w:shd w:val="clear" w:color="auto" w:fill="F2F5FA"/>
            <w:vAlign w:val="center"/>
          </w:tcPr>
          <w:p>
            <w:pPr>
              <w:spacing w:after="0"/>
              <w:jc w:val="center"/>
            </w:pPr>
            <w:r>
              <w:rPr>
                <w:rFonts w:ascii="游ゴシック" w:hAnsi="游ゴシック" w:eastAsia="游ゴシック"/>
                <w:b w:val="0"/>
                <w:sz w:val="19"/>
              </w:rPr>
              <w:t>令和8年9月</w:t>
            </w:r>
          </w:p>
        </w:tc>
      </w:tr>
      <w:tr>
        <w:trPr>
          <w:cantSplit/>
        </w:trPr>
        <w:tc>
          <w:tcPr>
            <w:tcW w:type="dxa" w:w="680"/>
            <w:vAlign w:val="center"/>
          </w:tcPr>
          <w:p>
            <w:pPr>
              <w:spacing w:after="0"/>
              <w:jc w:val="center"/>
            </w:pPr>
            <w:r>
              <w:rPr>
                <w:rFonts w:ascii="游ゴシック" w:hAnsi="游ゴシック" w:eastAsia="游ゴシック"/>
                <w:b/>
                <w:sz w:val="19"/>
              </w:rPr>
              <w:t>高</w:t>
            </w:r>
          </w:p>
        </w:tc>
        <w:tc>
          <w:tcPr>
            <w:tcW w:type="dxa" w:w="567"/>
            <w:vAlign w:val="center"/>
          </w:tcPr>
          <w:p>
            <w:pPr>
              <w:spacing w:after="0"/>
              <w:jc w:val="center"/>
            </w:pPr>
            <w:r>
              <w:rPr>
                <w:rFonts w:ascii="游ゴシック" w:hAnsi="游ゴシック" w:eastAsia="游ゴシック"/>
                <w:b w:val="0"/>
                <w:sz w:val="19"/>
              </w:rPr>
              <w:t>8</w:t>
            </w:r>
          </w:p>
        </w:tc>
        <w:tc>
          <w:tcPr>
            <w:tcW w:type="dxa" w:w="2494"/>
            <w:vAlign w:val="center"/>
          </w:tcPr>
          <w:p>
            <w:pPr>
              <w:spacing w:after="0"/>
            </w:pPr>
            <w:r>
              <w:rPr>
                <w:rFonts w:ascii="游ゴシック" w:hAnsi="游ゴシック" w:eastAsia="游ゴシック"/>
                <w:b w:val="0"/>
                <w:sz w:val="19"/>
              </w:rPr>
              <w:t>未利用認定者の内訳とケアプランのサービス構成</w:t>
            </w:r>
          </w:p>
        </w:tc>
        <w:tc>
          <w:tcPr>
            <w:tcW w:type="dxa" w:w="3402"/>
            <w:vAlign w:val="center"/>
          </w:tcPr>
          <w:p>
            <w:pPr>
              <w:spacing w:after="0"/>
            </w:pPr>
            <w:r>
              <w:rPr>
                <w:rFonts w:ascii="游ゴシック" w:hAnsi="游ゴシック" w:eastAsia="游ゴシック"/>
                <w:b w:val="0"/>
                <w:sz w:val="19"/>
              </w:rPr>
              <w:t>介護サービス利用率の低下（7.9ポイント）の要因の分解</w:t>
            </w:r>
          </w:p>
        </w:tc>
        <w:tc>
          <w:tcPr>
            <w:tcW w:type="dxa" w:w="1134"/>
            <w:vAlign w:val="center"/>
          </w:tcPr>
          <w:p>
            <w:pPr>
              <w:spacing w:after="0"/>
              <w:jc w:val="center"/>
            </w:pPr>
            <w:r>
              <w:rPr>
                <w:rFonts w:ascii="游ゴシック" w:hAnsi="游ゴシック" w:eastAsia="游ゴシック"/>
                <w:b w:val="0"/>
                <w:sz w:val="19"/>
              </w:rPr>
              <w:t>未受領</w:t>
            </w:r>
          </w:p>
        </w:tc>
        <w:tc>
          <w:tcPr>
            <w:tcW w:type="dxa" w:w="1247"/>
            <w:vAlign w:val="center"/>
          </w:tcPr>
          <w:p>
            <w:pPr>
              <w:spacing w:after="0"/>
              <w:jc w:val="center"/>
            </w:pPr>
            <w:r>
              <w:rPr>
                <w:rFonts w:ascii="游ゴシック" w:hAnsi="游ゴシック" w:eastAsia="游ゴシック"/>
                <w:b w:val="0"/>
                <w:sz w:val="19"/>
              </w:rPr>
              <w:t>令和8年10月</w:t>
            </w:r>
          </w:p>
        </w:tc>
      </w:tr>
      <w:tr>
        <w:trPr>
          <w:cantSplit/>
        </w:trPr>
        <w:tc>
          <w:tcPr>
            <w:tcW w:type="dxa" w:w="680"/>
            <w:shd w:val="clear" w:color="auto" w:fill="F2F5FA"/>
            <w:vAlign w:val="center"/>
          </w:tcPr>
          <w:p>
            <w:pPr>
              <w:spacing w:after="0"/>
              <w:jc w:val="center"/>
            </w:pPr>
            <w:r>
              <w:rPr>
                <w:rFonts w:ascii="游ゴシック" w:hAnsi="游ゴシック" w:eastAsia="游ゴシック"/>
                <w:b/>
                <w:sz w:val="19"/>
              </w:rPr>
              <w:t>高</w:t>
            </w:r>
          </w:p>
        </w:tc>
        <w:tc>
          <w:tcPr>
            <w:tcW w:type="dxa" w:w="567"/>
            <w:shd w:val="clear" w:color="auto" w:fill="F2F5FA"/>
            <w:vAlign w:val="center"/>
          </w:tcPr>
          <w:p>
            <w:pPr>
              <w:spacing w:after="0"/>
              <w:jc w:val="center"/>
            </w:pPr>
            <w:r>
              <w:rPr>
                <w:rFonts w:ascii="游ゴシック" w:hAnsi="游ゴシック" w:eastAsia="游ゴシック"/>
                <w:b w:val="0"/>
                <w:sz w:val="19"/>
              </w:rPr>
              <w:t>7</w:t>
            </w:r>
          </w:p>
        </w:tc>
        <w:tc>
          <w:tcPr>
            <w:tcW w:type="dxa" w:w="2494"/>
            <w:shd w:val="clear" w:color="auto" w:fill="F2F5FA"/>
            <w:vAlign w:val="center"/>
          </w:tcPr>
          <w:p>
            <w:pPr>
              <w:spacing w:after="0"/>
            </w:pPr>
            <w:r>
              <w:rPr>
                <w:rFonts w:ascii="游ゴシック" w:hAnsi="游ゴシック" w:eastAsia="游ゴシック"/>
                <w:b w:val="0"/>
                <w:sz w:val="19"/>
              </w:rPr>
              <w:t>事業所・施設の定員と稼働の実績</w:t>
            </w:r>
          </w:p>
        </w:tc>
        <w:tc>
          <w:tcPr>
            <w:tcW w:type="dxa" w:w="3402"/>
            <w:shd w:val="clear" w:color="auto" w:fill="F2F5FA"/>
            <w:vAlign w:val="center"/>
          </w:tcPr>
          <w:p>
            <w:pPr>
              <w:spacing w:after="0"/>
            </w:pPr>
            <w:r>
              <w:rPr>
                <w:rFonts w:ascii="游ゴシック" w:hAnsi="游ゴシック" w:eastAsia="游ゴシック"/>
                <w:b w:val="0"/>
                <w:sz w:val="19"/>
              </w:rPr>
              <w:t>地域密着型通所介護の対計画比66％の要因（稼働率の低下の有無）。施設定員の減少の経緯</w:t>
            </w:r>
          </w:p>
        </w:tc>
        <w:tc>
          <w:tcPr>
            <w:tcW w:type="dxa" w:w="1134"/>
            <w:shd w:val="clear" w:color="auto" w:fill="F2F5FA"/>
            <w:vAlign w:val="center"/>
          </w:tcPr>
          <w:p>
            <w:pPr>
              <w:spacing w:after="0"/>
              <w:jc w:val="center"/>
            </w:pPr>
            <w:r>
              <w:rPr>
                <w:rFonts w:ascii="游ゴシック" w:hAnsi="游ゴシック" w:eastAsia="游ゴシック"/>
                <w:b w:val="0"/>
                <w:sz w:val="19"/>
              </w:rPr>
              <w:t>未受領</w:t>
            </w:r>
          </w:p>
        </w:tc>
        <w:tc>
          <w:tcPr>
            <w:tcW w:type="dxa" w:w="1247"/>
            <w:shd w:val="clear" w:color="auto" w:fill="F2F5FA"/>
            <w:vAlign w:val="center"/>
          </w:tcPr>
          <w:p>
            <w:pPr>
              <w:spacing w:after="0"/>
              <w:jc w:val="center"/>
            </w:pPr>
            <w:r>
              <w:rPr>
                <w:rFonts w:ascii="游ゴシック" w:hAnsi="游ゴシック" w:eastAsia="游ゴシック"/>
                <w:b w:val="0"/>
                <w:sz w:val="19"/>
              </w:rPr>
              <w:t>令和8年10月</w:t>
            </w:r>
          </w:p>
        </w:tc>
      </w:tr>
      <w:tr>
        <w:trPr>
          <w:cantSplit/>
        </w:trPr>
        <w:tc>
          <w:tcPr>
            <w:tcW w:type="dxa" w:w="680"/>
            <w:vAlign w:val="center"/>
          </w:tcPr>
          <w:p>
            <w:pPr>
              <w:spacing w:after="0"/>
              <w:jc w:val="center"/>
            </w:pPr>
            <w:r>
              <w:rPr>
                <w:rFonts w:ascii="游ゴシック" w:hAnsi="游ゴシック" w:eastAsia="游ゴシック"/>
                <w:b/>
                <w:sz w:val="19"/>
              </w:rPr>
              <w:t>中</w:t>
            </w:r>
          </w:p>
        </w:tc>
        <w:tc>
          <w:tcPr>
            <w:tcW w:type="dxa" w:w="567"/>
            <w:vAlign w:val="center"/>
          </w:tcPr>
          <w:p>
            <w:pPr>
              <w:spacing w:after="0"/>
              <w:jc w:val="center"/>
            </w:pPr>
            <w:r>
              <w:rPr>
                <w:rFonts w:ascii="游ゴシック" w:hAnsi="游ゴシック" w:eastAsia="游ゴシック"/>
                <w:b w:val="0"/>
                <w:sz w:val="19"/>
              </w:rPr>
              <w:t>15</w:t>
            </w:r>
          </w:p>
        </w:tc>
        <w:tc>
          <w:tcPr>
            <w:tcW w:type="dxa" w:w="2494"/>
            <w:vAlign w:val="center"/>
          </w:tcPr>
          <w:p>
            <w:pPr>
              <w:spacing w:after="0"/>
            </w:pPr>
            <w:r>
              <w:rPr>
                <w:rFonts w:ascii="游ゴシック" w:hAnsi="游ゴシック" w:eastAsia="游ゴシック"/>
                <w:b w:val="0"/>
                <w:sz w:val="19"/>
              </w:rPr>
              <w:t>第9期の自己評価と北海道への報告の実績</w:t>
            </w:r>
          </w:p>
        </w:tc>
        <w:tc>
          <w:tcPr>
            <w:tcW w:type="dxa" w:w="3402"/>
            <w:vAlign w:val="center"/>
          </w:tcPr>
          <w:p>
            <w:pPr>
              <w:spacing w:after="0"/>
            </w:pPr>
            <w:r>
              <w:rPr>
                <w:rFonts w:ascii="游ゴシック" w:hAnsi="游ゴシック" w:eastAsia="游ゴシック"/>
                <w:b w:val="0"/>
                <w:sz w:val="19"/>
              </w:rPr>
              <w:t>介護保険法第117条に基づく評価・公表の実績。受託者の評価との対照</w:t>
            </w:r>
          </w:p>
        </w:tc>
        <w:tc>
          <w:tcPr>
            <w:tcW w:type="dxa" w:w="1134"/>
            <w:vAlign w:val="center"/>
          </w:tcPr>
          <w:p>
            <w:pPr>
              <w:spacing w:after="0"/>
              <w:jc w:val="center"/>
            </w:pPr>
            <w:r>
              <w:rPr>
                <w:rFonts w:ascii="游ゴシック" w:hAnsi="游ゴシック" w:eastAsia="游ゴシック"/>
                <w:b w:val="0"/>
                <w:sz w:val="19"/>
              </w:rPr>
              <w:t>未受領</w:t>
            </w:r>
          </w:p>
        </w:tc>
        <w:tc>
          <w:tcPr>
            <w:tcW w:type="dxa" w:w="1247"/>
            <w:vAlign w:val="center"/>
          </w:tcPr>
          <w:p>
            <w:pPr>
              <w:spacing w:after="0"/>
              <w:jc w:val="center"/>
            </w:pPr>
            <w:r>
              <w:rPr>
                <w:rFonts w:ascii="游ゴシック" w:hAnsi="游ゴシック" w:eastAsia="游ゴシック"/>
                <w:b w:val="0"/>
                <w:sz w:val="19"/>
              </w:rPr>
              <w:t>令和8年9月</w:t>
            </w:r>
          </w:p>
        </w:tc>
      </w:tr>
      <w:tr>
        <w:trPr>
          <w:cantSplit/>
        </w:trPr>
        <w:tc>
          <w:tcPr>
            <w:tcW w:type="dxa" w:w="680"/>
            <w:shd w:val="clear" w:color="auto" w:fill="F2F5FA"/>
            <w:vAlign w:val="center"/>
          </w:tcPr>
          <w:p>
            <w:pPr>
              <w:spacing w:after="0"/>
              <w:jc w:val="center"/>
            </w:pPr>
            <w:r>
              <w:rPr>
                <w:rFonts w:ascii="游ゴシック" w:hAnsi="游ゴシック" w:eastAsia="游ゴシック"/>
                <w:b/>
                <w:sz w:val="19"/>
              </w:rPr>
              <w:t>―</w:t>
            </w:r>
          </w:p>
        </w:tc>
        <w:tc>
          <w:tcPr>
            <w:tcW w:type="dxa" w:w="567"/>
            <w:shd w:val="clear" w:color="auto" w:fill="F2F5FA"/>
            <w:vAlign w:val="center"/>
          </w:tcPr>
          <w:p>
            <w:pPr>
              <w:spacing w:after="0"/>
              <w:jc w:val="center"/>
            </w:pPr>
            <w:r>
              <w:rPr>
                <w:rFonts w:ascii="游ゴシック" w:hAnsi="游ゴシック" w:eastAsia="游ゴシック"/>
                <w:b w:val="0"/>
                <w:sz w:val="19"/>
              </w:rPr>
              <w:t>21</w:t>
              <w:br/>
              <w:t>22</w:t>
            </w:r>
          </w:p>
        </w:tc>
        <w:tc>
          <w:tcPr>
            <w:tcW w:type="dxa" w:w="2494"/>
            <w:shd w:val="clear" w:color="auto" w:fill="F2F5FA"/>
            <w:vAlign w:val="center"/>
          </w:tcPr>
          <w:p>
            <w:pPr>
              <w:spacing w:after="0"/>
            </w:pPr>
            <w:r>
              <w:rPr>
                <w:rFonts w:ascii="游ゴシック" w:hAnsi="游ゴシック" w:eastAsia="游ゴシック"/>
                <w:b w:val="0"/>
                <w:sz w:val="19"/>
              </w:rPr>
              <w:t>介護保険事業状況報告　年報（令和6・7年度）及び月報（令和8年4〜7月分）</w:t>
            </w:r>
          </w:p>
        </w:tc>
        <w:tc>
          <w:tcPr>
            <w:tcW w:type="dxa" w:w="3402"/>
            <w:shd w:val="clear" w:color="auto" w:fill="F2F5FA"/>
            <w:vAlign w:val="center"/>
          </w:tcPr>
          <w:p>
            <w:pPr>
              <w:spacing w:after="0"/>
            </w:pPr>
            <w:r>
              <w:rPr>
                <w:rFonts w:ascii="游ゴシック" w:hAnsi="游ゴシック" w:eastAsia="游ゴシック"/>
                <w:b w:val="0"/>
                <w:sz w:val="19"/>
              </w:rPr>
              <w:t>第9期の通年の確定値と令和8年度の推移</w:t>
            </w:r>
          </w:p>
        </w:tc>
        <w:tc>
          <w:tcPr>
            <w:tcW w:type="dxa" w:w="1134"/>
            <w:shd w:val="clear" w:color="auto" w:fill="F2F5FA"/>
            <w:vAlign w:val="center"/>
          </w:tcPr>
          <w:p>
            <w:pPr>
              <w:spacing w:after="0"/>
              <w:jc w:val="center"/>
            </w:pPr>
            <w:r>
              <w:rPr>
                <w:rFonts w:ascii="游ゴシック" w:hAnsi="游ゴシック" w:eastAsia="游ゴシック"/>
                <w:b w:val="0"/>
                <w:sz w:val="19"/>
              </w:rPr>
              <w:t>受領済</w:t>
              <w:br/>
              <w:t>（R8.8.28）</w:t>
            </w:r>
          </w:p>
        </w:tc>
        <w:tc>
          <w:tcPr>
            <w:tcW w:type="dxa" w:w="1247"/>
            <w:shd w:val="clear" w:color="auto" w:fill="F2F5FA"/>
            <w:vAlign w:val="center"/>
          </w:tcPr>
          <w:p>
            <w:pPr>
              <w:spacing w:after="0"/>
              <w:jc w:val="center"/>
            </w:pPr>
            <w:r>
              <w:rPr>
                <w:rFonts w:ascii="游ゴシック" w:hAnsi="游ゴシック" w:eastAsia="游ゴシック"/>
                <w:b w:val="0"/>
                <w:sz w:val="19"/>
              </w:rPr>
              <w:t>―</w:t>
            </w:r>
          </w:p>
        </w:tc>
      </w:tr>
      <w:tr>
        <w:trPr>
          <w:cantSplit/>
        </w:trPr>
        <w:tc>
          <w:tcPr>
            <w:tcW w:type="dxa" w:w="680"/>
            <w:vAlign w:val="center"/>
          </w:tcPr>
          <w:p>
            <w:pPr>
              <w:spacing w:after="0"/>
              <w:jc w:val="center"/>
            </w:pPr>
            <w:r>
              <w:rPr>
                <w:rFonts w:ascii="游ゴシック" w:hAnsi="游ゴシック" w:eastAsia="游ゴシック"/>
                <w:b/>
                <w:sz w:val="19"/>
              </w:rPr>
              <w:t>―</w:t>
            </w:r>
          </w:p>
        </w:tc>
        <w:tc>
          <w:tcPr>
            <w:tcW w:type="dxa" w:w="567"/>
            <w:vAlign w:val="center"/>
          </w:tcPr>
          <w:p>
            <w:pPr>
              <w:spacing w:after="0"/>
              <w:jc w:val="center"/>
            </w:pPr>
            <w:r>
              <w:rPr>
                <w:rFonts w:ascii="游ゴシック" w:hAnsi="游ゴシック" w:eastAsia="游ゴシック"/>
                <w:b w:val="0"/>
                <w:sz w:val="19"/>
              </w:rPr>
              <w:t>23</w:t>
            </w:r>
          </w:p>
        </w:tc>
        <w:tc>
          <w:tcPr>
            <w:tcW w:type="dxa" w:w="2494"/>
            <w:vAlign w:val="center"/>
          </w:tcPr>
          <w:p>
            <w:pPr>
              <w:spacing w:after="0"/>
            </w:pPr>
            <w:r>
              <w:rPr>
                <w:rFonts w:ascii="游ゴシック" w:hAnsi="游ゴシック" w:eastAsia="游ゴシック"/>
                <w:b w:val="0"/>
                <w:sz w:val="19"/>
              </w:rPr>
              <w:t>給付実績データ（サービス別の利用者数・利用日数等）</w:t>
            </w:r>
          </w:p>
        </w:tc>
        <w:tc>
          <w:tcPr>
            <w:tcW w:type="dxa" w:w="3402"/>
            <w:vAlign w:val="center"/>
          </w:tcPr>
          <w:p>
            <w:pPr>
              <w:spacing w:after="0"/>
            </w:pPr>
            <w:r>
              <w:rPr>
                <w:rFonts w:ascii="游ゴシック" w:hAnsi="游ゴシック" w:eastAsia="游ゴシック"/>
                <w:b w:val="0"/>
                <w:sz w:val="19"/>
              </w:rPr>
              <w:t>サービス見込量の推定の基礎</w:t>
            </w:r>
          </w:p>
        </w:tc>
        <w:tc>
          <w:tcPr>
            <w:tcW w:type="dxa" w:w="1134"/>
            <w:vAlign w:val="center"/>
          </w:tcPr>
          <w:p>
            <w:pPr>
              <w:spacing w:after="0"/>
              <w:jc w:val="center"/>
            </w:pPr>
            <w:r>
              <w:rPr>
                <w:rFonts w:ascii="游ゴシック" w:hAnsi="游ゴシック" w:eastAsia="游ゴシック"/>
                <w:b w:val="0"/>
                <w:sz w:val="19"/>
              </w:rPr>
              <w:t>受領済</w:t>
              <w:br/>
              <w:t>（R8.8.28）</w:t>
            </w:r>
          </w:p>
        </w:tc>
        <w:tc>
          <w:tcPr>
            <w:tcW w:type="dxa" w:w="1247"/>
            <w:vAlign w:val="center"/>
          </w:tcPr>
          <w:p>
            <w:pPr>
              <w:spacing w:after="0"/>
              <w:jc w:val="center"/>
            </w:pPr>
            <w:r>
              <w:rPr>
                <w:rFonts w:ascii="游ゴシック" w:hAnsi="游ゴシック" w:eastAsia="游ゴシック"/>
                <w:b w:val="0"/>
                <w:sz w:val="19"/>
              </w:rPr>
              <w:t>―</w:t>
            </w:r>
          </w:p>
        </w:tc>
      </w:tr>
      <w:tr>
        <w:trPr>
          <w:cantSplit/>
        </w:trPr>
        <w:tc>
          <w:tcPr>
            <w:tcW w:type="dxa" w:w="680"/>
            <w:shd w:val="clear" w:color="auto" w:fill="F2F5FA"/>
            <w:vAlign w:val="center"/>
          </w:tcPr>
          <w:p>
            <w:pPr>
              <w:spacing w:after="0"/>
              <w:jc w:val="center"/>
            </w:pPr>
            <w:r>
              <w:rPr>
                <w:rFonts w:ascii="游ゴシック" w:hAnsi="游ゴシック" w:eastAsia="游ゴシック"/>
                <w:b/>
                <w:sz w:val="19"/>
              </w:rPr>
              <w:t>―</w:t>
            </w:r>
          </w:p>
        </w:tc>
        <w:tc>
          <w:tcPr>
            <w:tcW w:type="dxa" w:w="567"/>
            <w:shd w:val="clear" w:color="auto" w:fill="F2F5FA"/>
            <w:vAlign w:val="center"/>
          </w:tcPr>
          <w:p>
            <w:pPr>
              <w:spacing w:after="0"/>
              <w:jc w:val="center"/>
            </w:pPr>
            <w:r>
              <w:rPr>
                <w:rFonts w:ascii="游ゴシック" w:hAnsi="游ゴシック" w:eastAsia="游ゴシック"/>
                <w:b w:val="0"/>
                <w:sz w:val="19"/>
              </w:rPr>
              <w:t>9</w:t>
            </w:r>
          </w:p>
        </w:tc>
        <w:tc>
          <w:tcPr>
            <w:tcW w:type="dxa" w:w="2494"/>
            <w:shd w:val="clear" w:color="auto" w:fill="F2F5FA"/>
            <w:vAlign w:val="center"/>
          </w:tcPr>
          <w:p>
            <w:pPr>
              <w:spacing w:after="0"/>
            </w:pPr>
            <w:r>
              <w:rPr>
                <w:rFonts w:ascii="游ゴシック" w:hAnsi="游ゴシック" w:eastAsia="游ゴシック"/>
                <w:b w:val="0"/>
                <w:sz w:val="19"/>
              </w:rPr>
              <w:t>令和6年度決算書、基金条例</w:t>
            </w:r>
          </w:p>
        </w:tc>
        <w:tc>
          <w:tcPr>
            <w:tcW w:type="dxa" w:w="3402"/>
            <w:shd w:val="clear" w:color="auto" w:fill="F2F5FA"/>
            <w:vAlign w:val="center"/>
          </w:tcPr>
          <w:p>
            <w:pPr>
              <w:spacing w:after="0"/>
            </w:pPr>
            <w:r>
              <w:rPr>
                <w:rFonts w:ascii="游ゴシック" w:hAnsi="游ゴシック" w:eastAsia="游ゴシック"/>
                <w:b w:val="0"/>
                <w:sz w:val="19"/>
              </w:rPr>
              <w:t>令和6年度末の基金残高、条例による取崩しの要件と積立ての上限</w:t>
            </w:r>
          </w:p>
        </w:tc>
        <w:tc>
          <w:tcPr>
            <w:tcW w:type="dxa" w:w="1134"/>
            <w:shd w:val="clear" w:color="auto" w:fill="F2F5FA"/>
            <w:vAlign w:val="center"/>
          </w:tcPr>
          <w:p>
            <w:pPr>
              <w:spacing w:after="0"/>
              <w:jc w:val="center"/>
            </w:pPr>
            <w:r>
              <w:rPr>
                <w:rFonts w:ascii="游ゴシック" w:hAnsi="游ゴシック" w:eastAsia="游ゴシック"/>
                <w:b w:val="0"/>
                <w:sz w:val="19"/>
              </w:rPr>
              <w:t>受領済</w:t>
              <w:br/>
              <w:t>（R8.8.28）</w:t>
            </w:r>
          </w:p>
        </w:tc>
        <w:tc>
          <w:tcPr>
            <w:tcW w:type="dxa" w:w="1247"/>
            <w:shd w:val="clear" w:color="auto" w:fill="F2F5FA"/>
            <w:vAlign w:val="center"/>
          </w:tcPr>
          <w:p>
            <w:pPr>
              <w:spacing w:after="0"/>
              <w:jc w:val="center"/>
            </w:pPr>
            <w:r>
              <w:rPr>
                <w:rFonts w:ascii="游ゴシック" w:hAnsi="游ゴシック" w:eastAsia="游ゴシック"/>
                <w:b w:val="0"/>
                <w:sz w:val="19"/>
              </w:rPr>
              <w:t>―</w:t>
            </w:r>
          </w:p>
        </w:tc>
      </w:tr>
      <w:tr>
        <w:trPr>
          <w:cantSplit/>
        </w:trPr>
        <w:tc>
          <w:tcPr>
            <w:tcW w:type="dxa" w:w="680"/>
            <w:vAlign w:val="center"/>
          </w:tcPr>
          <w:p>
            <w:pPr>
              <w:spacing w:after="0"/>
              <w:jc w:val="center"/>
            </w:pPr>
            <w:r>
              <w:rPr>
                <w:rFonts w:ascii="游ゴシック" w:hAnsi="游ゴシック" w:eastAsia="游ゴシック"/>
                <w:b/>
                <w:sz w:val="19"/>
              </w:rPr>
              <w:t>―</w:t>
            </w:r>
          </w:p>
        </w:tc>
        <w:tc>
          <w:tcPr>
            <w:tcW w:type="dxa" w:w="567"/>
            <w:vAlign w:val="center"/>
          </w:tcPr>
          <w:p>
            <w:pPr>
              <w:spacing w:after="0"/>
              <w:jc w:val="center"/>
            </w:pPr>
            <w:r>
              <w:rPr>
                <w:rFonts w:ascii="游ゴシック" w:hAnsi="游ゴシック" w:eastAsia="游ゴシック"/>
                <w:b w:val="0"/>
                <w:sz w:val="19"/>
              </w:rPr>
              <w:t>―</w:t>
            </w:r>
          </w:p>
        </w:tc>
        <w:tc>
          <w:tcPr>
            <w:tcW w:type="dxa" w:w="2494"/>
            <w:vAlign w:val="center"/>
          </w:tcPr>
          <w:p>
            <w:pPr>
              <w:spacing w:after="0"/>
            </w:pPr>
            <w:r>
              <w:rPr>
                <w:rFonts w:ascii="游ゴシック" w:hAnsi="游ゴシック" w:eastAsia="游ゴシック"/>
                <w:b w:val="0"/>
                <w:sz w:val="19"/>
              </w:rPr>
              <w:t>総合事業の実施状況に関する調査（令和6年度）</w:t>
            </w:r>
          </w:p>
        </w:tc>
        <w:tc>
          <w:tcPr>
            <w:tcW w:type="dxa" w:w="3402"/>
            <w:vAlign w:val="center"/>
          </w:tcPr>
          <w:p>
            <w:pPr>
              <w:spacing w:after="0"/>
            </w:pPr>
            <w:r>
              <w:rPr>
                <w:rFonts w:ascii="游ゴシック" w:hAnsi="游ゴシック" w:eastAsia="游ゴシック"/>
                <w:b w:val="0"/>
                <w:sz w:val="19"/>
              </w:rPr>
              <w:t>通いの場の実績、一般介護予防事業の実施状況。代表KPI H05の総合事業ベースの基準値</w:t>
            </w:r>
          </w:p>
        </w:tc>
        <w:tc>
          <w:tcPr>
            <w:tcW w:type="dxa" w:w="1134"/>
            <w:vAlign w:val="center"/>
          </w:tcPr>
          <w:p>
            <w:pPr>
              <w:spacing w:after="0"/>
              <w:jc w:val="center"/>
            </w:pPr>
            <w:r>
              <w:rPr>
                <w:rFonts w:ascii="游ゴシック" w:hAnsi="游ゴシック" w:eastAsia="游ゴシック"/>
                <w:b w:val="0"/>
                <w:sz w:val="19"/>
              </w:rPr>
              <w:t>受領済</w:t>
              <w:br/>
              <w:t>（R8.8.28）</w:t>
            </w:r>
          </w:p>
        </w:tc>
        <w:tc>
          <w:tcPr>
            <w:tcW w:type="dxa" w:w="1247"/>
            <w:vAlign w:val="center"/>
          </w:tcPr>
          <w:p>
            <w:pPr>
              <w:spacing w:after="0"/>
              <w:jc w:val="center"/>
            </w:pPr>
            <w:r>
              <w:rPr>
                <w:rFonts w:ascii="游ゴシック" w:hAnsi="游ゴシック" w:eastAsia="游ゴシック"/>
                <w:b w:val="0"/>
                <w:sz w:val="19"/>
              </w:rPr>
              <w:t>―</w:t>
            </w:r>
          </w:p>
        </w:tc>
      </w:tr>
      <w:tr>
        <w:trPr>
          <w:cantSplit/>
        </w:trPr>
        <w:tc>
          <w:tcPr>
            <w:tcW w:type="dxa" w:w="680"/>
            <w:shd w:val="clear" w:color="auto" w:fill="F2F5FA"/>
            <w:vAlign w:val="center"/>
          </w:tcPr>
          <w:p>
            <w:pPr>
              <w:spacing w:after="0"/>
              <w:jc w:val="center"/>
            </w:pPr>
            <w:r>
              <w:rPr>
                <w:rFonts w:ascii="游ゴシック" w:hAnsi="游ゴシック" w:eastAsia="游ゴシック"/>
                <w:b/>
                <w:sz w:val="19"/>
              </w:rPr>
              <w:t>―</w:t>
            </w:r>
          </w:p>
        </w:tc>
        <w:tc>
          <w:tcPr>
            <w:tcW w:type="dxa" w:w="567"/>
            <w:shd w:val="clear" w:color="auto" w:fill="F2F5FA"/>
            <w:vAlign w:val="center"/>
          </w:tcPr>
          <w:p>
            <w:pPr>
              <w:spacing w:after="0"/>
              <w:jc w:val="center"/>
            </w:pPr>
            <w:r>
              <w:rPr>
                <w:rFonts w:ascii="游ゴシック" w:hAnsi="游ゴシック" w:eastAsia="游ゴシック"/>
                <w:b w:val="0"/>
                <w:sz w:val="19"/>
              </w:rPr>
              <w:t>1</w:t>
            </w:r>
          </w:p>
        </w:tc>
        <w:tc>
          <w:tcPr>
            <w:tcW w:type="dxa" w:w="2494"/>
            <w:shd w:val="clear" w:color="auto" w:fill="F2F5FA"/>
            <w:vAlign w:val="center"/>
          </w:tcPr>
          <w:p>
            <w:pPr>
              <w:spacing w:after="0"/>
            </w:pPr>
            <w:r>
              <w:rPr>
                <w:rFonts w:ascii="游ゴシック" w:hAnsi="游ゴシック" w:eastAsia="游ゴシック"/>
                <w:b w:val="0"/>
                <w:sz w:val="19"/>
              </w:rPr>
              <w:t>見える化システムの総括表・管理指標グラフ</w:t>
            </w:r>
          </w:p>
        </w:tc>
        <w:tc>
          <w:tcPr>
            <w:tcW w:type="dxa" w:w="3402"/>
            <w:shd w:val="clear" w:color="auto" w:fill="F2F5FA"/>
            <w:vAlign w:val="center"/>
          </w:tcPr>
          <w:p>
            <w:pPr>
              <w:spacing w:after="0"/>
            </w:pPr>
            <w:r>
              <w:rPr>
                <w:rFonts w:ascii="游ゴシック" w:hAnsi="游ゴシック" w:eastAsia="游ゴシック"/>
                <w:b w:val="0"/>
                <w:sz w:val="19"/>
              </w:rPr>
              <w:t>第9期の計画値と実績値の対比、サービス別の乖離、保険料基準額の計画と実績</w:t>
            </w:r>
          </w:p>
        </w:tc>
        <w:tc>
          <w:tcPr>
            <w:tcW w:type="dxa" w:w="1134"/>
            <w:shd w:val="clear" w:color="auto" w:fill="F2F5FA"/>
            <w:vAlign w:val="center"/>
          </w:tcPr>
          <w:p>
            <w:pPr>
              <w:spacing w:after="0"/>
              <w:jc w:val="center"/>
            </w:pPr>
            <w:r>
              <w:rPr>
                <w:rFonts w:ascii="游ゴシック" w:hAnsi="游ゴシック" w:eastAsia="游ゴシック"/>
                <w:b w:val="0"/>
                <w:sz w:val="19"/>
              </w:rPr>
              <w:t>受領済</w:t>
              <w:br/>
              <w:t>（R8.8.31）</w:t>
            </w:r>
          </w:p>
        </w:tc>
        <w:tc>
          <w:tcPr>
            <w:tcW w:type="dxa" w:w="1247"/>
            <w:shd w:val="clear" w:color="auto" w:fill="F2F5FA"/>
            <w:vAlign w:val="center"/>
          </w:tcPr>
          <w:p>
            <w:pPr>
              <w:spacing w:after="0"/>
              <w:jc w:val="center"/>
            </w:pPr>
            <w:r>
              <w:rPr>
                <w:rFonts w:ascii="游ゴシック" w:hAnsi="游ゴシック" w:eastAsia="游ゴシック"/>
                <w:b w:val="0"/>
                <w:sz w:val="19"/>
              </w:rPr>
              <w:t>―</w:t>
            </w:r>
          </w:p>
        </w:tc>
      </w:tr>
    </w:tbl>
    <w:p>
      <w:pPr>
        <w:ind w:left="227"/>
      </w:pPr>
      <w:r>
        <w:rPr>
          <w:rFonts w:ascii="游ゴシック" w:hAnsi="游ゴシック" w:eastAsia="游ゴシック"/>
          <w:sz w:val="18"/>
        </w:rPr>
        <w:t>※ 資料番号は業務工程管理表 06_資料提供依頼一覧によります。本表は第9期の評価に関わるものに限っています。</w:t>
      </w:r>
    </w:p>
    <w:p>
      <w:r>
        <w:rPr>
          <w:rFonts w:ascii="游ゴシック" w:hAnsi="游ゴシック" w:eastAsia="游ゴシック"/>
          <w:b w:val="0"/>
          <w:sz w:val="21"/>
        </w:rPr>
      </w:r>
    </w:p>
    <w:p>
      <w:r>
        <w:rPr>
          <w:rFonts w:ascii="游ゴシック" w:hAnsi="游ゴシック" w:eastAsia="游ゴシック"/>
          <w:b/>
          <w:sz w:val="21"/>
        </w:rPr>
        <w:t>令和8年8月28日及び31日の受領により、成果評価は公表資料及び受領資料で成立する見通しとなりました。残るのはプロセス評価に必要な資料で、最高優先は3件です。うち資料No.13の2件は他の統計では代替できず、9月以降にプロセス評価へ進むために受領が必要となります。</w:t>
      </w:r>
    </w:p>
    <w:p>
      <w:pPr>
        <w:pStyle w:val="Heading2"/>
        <w:keepNext/>
        <w:spacing w:before="180" w:after="60"/>
      </w:pPr>
      <w:r>
        <w:rPr>
          <w:rFonts w:ascii="游ゴシック" w:hAnsi="游ゴシック" w:eastAsia="游ゴシック"/>
          <w:b/>
          <w:color w:val="000000"/>
          <w:sz w:val="22"/>
        </w:rPr>
        <w:t>2　確認事項</w:t>
      </w:r>
    </w:p>
    <w:p>
      <w:r>
        <w:rPr>
          <w:rFonts w:ascii="游ゴシック" w:hAnsi="游ゴシック" w:eastAsia="游ゴシック"/>
          <w:b w:val="0"/>
          <w:sz w:val="21"/>
        </w:rPr>
        <w:t>評価の書き方について、発注者のご決定を要する事項が5件あります。</w:t>
      </w:r>
    </w:p>
    <w:p>
      <w:pPr>
        <w:keepNext/>
        <w:spacing w:before="160" w:after="40"/>
      </w:pPr>
      <w:r>
        <w:rPr>
          <w:rFonts w:ascii="游ゴシック" w:hAnsi="游ゴシック" w:eastAsia="游ゴシック"/>
          <w:b/>
          <w:sz w:val="20"/>
        </w:rPr>
        <w:t>表13　第9期の評価に関する確認事項</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794"/>
            <w:shd w:val="clear" w:color="auto" w:fill="1F3864"/>
            <w:vAlign w:val="center"/>
          </w:tcPr>
          <w:p>
            <w:pPr>
              <w:spacing w:after="0"/>
              <w:jc w:val="center"/>
            </w:pPr>
            <w:r>
              <w:rPr>
                <w:rFonts w:ascii="游ゴシック" w:hAnsi="游ゴシック" w:eastAsia="游ゴシック"/>
                <w:b/>
                <w:color w:val="FFFFFF"/>
                <w:sz w:val="19"/>
              </w:rPr>
              <w:t>No.</w:t>
            </w:r>
          </w:p>
        </w:tc>
        <w:tc>
          <w:tcPr>
            <w:tcW w:type="dxa" w:w="2381"/>
            <w:shd w:val="clear" w:color="auto" w:fill="1F3864"/>
            <w:vAlign w:val="center"/>
          </w:tcPr>
          <w:p>
            <w:pPr>
              <w:spacing w:after="0"/>
              <w:jc w:val="center"/>
            </w:pPr>
            <w:r>
              <w:rPr>
                <w:rFonts w:ascii="游ゴシック" w:hAnsi="游ゴシック" w:eastAsia="游ゴシック"/>
                <w:b/>
                <w:color w:val="FFFFFF"/>
                <w:sz w:val="19"/>
              </w:rPr>
              <w:t>確認事項</w:t>
            </w:r>
          </w:p>
        </w:tc>
        <w:tc>
          <w:tcPr>
            <w:tcW w:type="dxa" w:w="3288"/>
            <w:shd w:val="clear" w:color="auto" w:fill="1F3864"/>
            <w:vAlign w:val="center"/>
          </w:tcPr>
          <w:p>
            <w:pPr>
              <w:spacing w:after="0"/>
              <w:jc w:val="center"/>
            </w:pPr>
            <w:r>
              <w:rPr>
                <w:rFonts w:ascii="游ゴシック" w:hAnsi="游ゴシック" w:eastAsia="游ゴシック"/>
                <w:b/>
                <w:color w:val="FFFFFF"/>
                <w:sz w:val="19"/>
              </w:rPr>
              <w:t>背景</w:t>
            </w:r>
          </w:p>
        </w:tc>
        <w:tc>
          <w:tcPr>
            <w:tcW w:type="dxa" w:w="3288"/>
            <w:shd w:val="clear" w:color="auto" w:fill="1F3864"/>
            <w:vAlign w:val="center"/>
          </w:tcPr>
          <w:p>
            <w:pPr>
              <w:spacing w:after="0"/>
              <w:jc w:val="center"/>
            </w:pPr>
            <w:r>
              <w:rPr>
                <w:rFonts w:ascii="游ゴシック" w:hAnsi="游ゴシック" w:eastAsia="游ゴシック"/>
                <w:b/>
                <w:color w:val="FFFFFF"/>
                <w:sz w:val="19"/>
              </w:rPr>
              <w:t>受託者の案</w:t>
            </w:r>
          </w:p>
        </w:tc>
      </w:tr>
      <w:tr>
        <w:trPr>
          <w:cantSplit/>
        </w:trPr>
        <w:tc>
          <w:tcPr>
            <w:tcW w:type="dxa" w:w="794"/>
            <w:vAlign w:val="center"/>
          </w:tcPr>
          <w:p>
            <w:pPr>
              <w:spacing w:after="0"/>
              <w:jc w:val="center"/>
            </w:pPr>
            <w:r>
              <w:rPr>
                <w:rFonts w:ascii="游ゴシック" w:hAnsi="游ゴシック" w:eastAsia="游ゴシック"/>
                <w:b/>
                <w:sz w:val="19"/>
              </w:rPr>
              <w:t>A-11</w:t>
            </w:r>
          </w:p>
        </w:tc>
        <w:tc>
          <w:tcPr>
            <w:tcW w:type="dxa" w:w="2381"/>
            <w:vAlign w:val="center"/>
          </w:tcPr>
          <w:p>
            <w:pPr>
              <w:spacing w:after="0"/>
            </w:pPr>
            <w:r>
              <w:rPr>
                <w:rFonts w:ascii="游ゴシック" w:hAnsi="游ゴシック" w:eastAsia="游ゴシック"/>
                <w:b w:val="0"/>
                <w:sz w:val="19"/>
              </w:rPr>
              <w:t>第9期代表KPIの評価の表現</w:t>
            </w:r>
          </w:p>
        </w:tc>
        <w:tc>
          <w:tcPr>
            <w:tcW w:type="dxa" w:w="3288"/>
            <w:vAlign w:val="center"/>
          </w:tcPr>
          <w:p>
            <w:pPr>
              <w:spacing w:after="0"/>
            </w:pPr>
            <w:r>
              <w:rPr>
                <w:rFonts w:ascii="游ゴシック" w:hAnsi="游ゴシック" w:eastAsia="游ゴシック"/>
                <w:b w:val="0"/>
                <w:sz w:val="19"/>
              </w:rPr>
              <w:t>代表KPI①の目標は「令和5年度の実績を維持」であり、認定率の引下げを目標としたものではありません</w:t>
            </w:r>
          </w:p>
        </w:tc>
        <w:tc>
          <w:tcPr>
            <w:tcW w:type="dxa" w:w="3288"/>
            <w:vAlign w:val="center"/>
          </w:tcPr>
          <w:p>
            <w:pPr>
              <w:spacing w:after="0"/>
            </w:pPr>
            <w:r>
              <w:rPr>
                <w:rFonts w:ascii="游ゴシック" w:hAnsi="游ゴシック" w:eastAsia="游ゴシック"/>
                <w:b w:val="0"/>
                <w:sz w:val="19"/>
              </w:rPr>
              <w:t>「未達であるが実態が悪化したとは言えない」という評価を本文に書いてよいか</w:t>
            </w:r>
          </w:p>
        </w:tc>
      </w:tr>
      <w:tr>
        <w:trPr>
          <w:cantSplit/>
        </w:trPr>
        <w:tc>
          <w:tcPr>
            <w:tcW w:type="dxa" w:w="794"/>
            <w:shd w:val="clear" w:color="auto" w:fill="F2F5FA"/>
            <w:vAlign w:val="center"/>
          </w:tcPr>
          <w:p>
            <w:pPr>
              <w:spacing w:after="0"/>
              <w:jc w:val="center"/>
            </w:pPr>
            <w:r>
              <w:rPr>
                <w:rFonts w:ascii="游ゴシック" w:hAnsi="游ゴシック" w:eastAsia="游ゴシック"/>
                <w:b/>
                <w:sz w:val="19"/>
              </w:rPr>
              <w:t>A-12</w:t>
            </w:r>
          </w:p>
        </w:tc>
        <w:tc>
          <w:tcPr>
            <w:tcW w:type="dxa" w:w="2381"/>
            <w:shd w:val="clear" w:color="auto" w:fill="F2F5FA"/>
            <w:vAlign w:val="center"/>
          </w:tcPr>
          <w:p>
            <w:pPr>
              <w:spacing w:after="0"/>
            </w:pPr>
            <w:r>
              <w:rPr>
                <w:rFonts w:ascii="游ゴシック" w:hAnsi="游ゴシック" w:eastAsia="游ゴシック"/>
                <w:b w:val="0"/>
                <w:sz w:val="19"/>
              </w:rPr>
              <w:t>第9期評価の範囲の明示</w:t>
            </w:r>
          </w:p>
        </w:tc>
        <w:tc>
          <w:tcPr>
            <w:tcW w:type="dxa" w:w="3288"/>
            <w:shd w:val="clear" w:color="auto" w:fill="F2F5FA"/>
            <w:vAlign w:val="center"/>
          </w:tcPr>
          <w:p>
            <w:pPr>
              <w:spacing w:after="0"/>
            </w:pPr>
            <w:r>
              <w:rPr>
                <w:rFonts w:ascii="游ゴシック" w:hAnsi="游ゴシック" w:eastAsia="游ゴシック"/>
                <w:b w:val="0"/>
                <w:sz w:val="19"/>
              </w:rPr>
              <w:t>現在の評価は構造評価と成果評価であり、プロセス評価は資料の受領後です</w:t>
            </w:r>
          </w:p>
        </w:tc>
        <w:tc>
          <w:tcPr>
            <w:tcW w:type="dxa" w:w="3288"/>
            <w:shd w:val="clear" w:color="auto" w:fill="F2F5FA"/>
            <w:vAlign w:val="center"/>
          </w:tcPr>
          <w:p>
            <w:pPr>
              <w:spacing w:after="0"/>
            </w:pPr>
            <w:r>
              <w:rPr>
                <w:rFonts w:ascii="游ゴシック" w:hAnsi="游ゴシック" w:eastAsia="游ゴシック"/>
                <w:b w:val="0"/>
                <w:sz w:val="19"/>
              </w:rPr>
              <w:t>現時点の評価の範囲を本文に明記してよいか。成果評価をいつの時点で行うかの記載</w:t>
            </w:r>
          </w:p>
        </w:tc>
      </w:tr>
      <w:tr>
        <w:trPr>
          <w:cantSplit/>
        </w:trPr>
        <w:tc>
          <w:tcPr>
            <w:tcW w:type="dxa" w:w="794"/>
            <w:vAlign w:val="center"/>
          </w:tcPr>
          <w:p>
            <w:pPr>
              <w:spacing w:after="0"/>
              <w:jc w:val="center"/>
            </w:pPr>
            <w:r>
              <w:rPr>
                <w:rFonts w:ascii="游ゴシック" w:hAnsi="游ゴシック" w:eastAsia="游ゴシック"/>
                <w:b/>
                <w:sz w:val="19"/>
              </w:rPr>
              <w:t>A-25</w:t>
            </w:r>
          </w:p>
        </w:tc>
        <w:tc>
          <w:tcPr>
            <w:tcW w:type="dxa" w:w="2381"/>
            <w:vAlign w:val="center"/>
          </w:tcPr>
          <w:p>
            <w:pPr>
              <w:spacing w:after="0"/>
            </w:pPr>
            <w:r>
              <w:rPr>
                <w:rFonts w:ascii="游ゴシック" w:hAnsi="游ゴシック" w:eastAsia="游ゴシック"/>
                <w:b w:val="0"/>
                <w:sz w:val="19"/>
              </w:rPr>
              <w:t>給付水準の評価に管内の位置と長期の推移を加えるか</w:t>
            </w:r>
          </w:p>
        </w:tc>
        <w:tc>
          <w:tcPr>
            <w:tcW w:type="dxa" w:w="3288"/>
            <w:vAlign w:val="center"/>
          </w:tcPr>
          <w:p>
            <w:pPr>
              <w:spacing w:after="0"/>
            </w:pPr>
            <w:r>
              <w:rPr>
                <w:rFonts w:ascii="游ゴシック" w:hAnsi="游ゴシック" w:eastAsia="游ゴシック"/>
                <w:b w:val="0"/>
                <w:sz w:val="19"/>
              </w:rPr>
              <w:t>給付月額指数1.08は全国を8％上回りますが、上川管内21保険者では8〜10位で管内中位です</w:t>
            </w:r>
          </w:p>
        </w:tc>
        <w:tc>
          <w:tcPr>
            <w:tcW w:type="dxa" w:w="3288"/>
            <w:vAlign w:val="center"/>
          </w:tcPr>
          <w:p>
            <w:pPr>
              <w:spacing w:after="0"/>
            </w:pPr>
            <w:r>
              <w:rPr>
                <w:rFonts w:ascii="游ゴシック" w:hAnsi="游ゴシック" w:eastAsia="游ゴシック"/>
                <w:b w:val="0"/>
                <w:sz w:val="19"/>
              </w:rPr>
              <w:t>「水準は全国を上回るが管内では平均並みであり、17年間の伸びは管内で小さい」と評価してよいか</w:t>
            </w:r>
          </w:p>
        </w:tc>
      </w:tr>
      <w:tr>
        <w:trPr>
          <w:cantSplit/>
        </w:trPr>
        <w:tc>
          <w:tcPr>
            <w:tcW w:type="dxa" w:w="794"/>
            <w:shd w:val="clear" w:color="auto" w:fill="F2F5FA"/>
            <w:vAlign w:val="center"/>
          </w:tcPr>
          <w:p>
            <w:pPr>
              <w:spacing w:after="0"/>
              <w:jc w:val="center"/>
            </w:pPr>
            <w:r>
              <w:rPr>
                <w:rFonts w:ascii="游ゴシック" w:hAnsi="游ゴシック" w:eastAsia="游ゴシック"/>
                <w:b/>
                <w:sz w:val="19"/>
              </w:rPr>
              <w:t>決定5</w:t>
            </w:r>
          </w:p>
        </w:tc>
        <w:tc>
          <w:tcPr>
            <w:tcW w:type="dxa" w:w="2381"/>
            <w:shd w:val="clear" w:color="auto" w:fill="F2F5FA"/>
            <w:vAlign w:val="center"/>
          </w:tcPr>
          <w:p>
            <w:pPr>
              <w:spacing w:after="0"/>
            </w:pPr>
            <w:r>
              <w:rPr>
                <w:rFonts w:ascii="游ゴシック" w:hAnsi="游ゴシック" w:eastAsia="游ゴシック"/>
                <w:b w:val="0"/>
                <w:sz w:val="19"/>
              </w:rPr>
              <w:t>暫定評価のルール</w:t>
            </w:r>
          </w:p>
        </w:tc>
        <w:tc>
          <w:tcPr>
            <w:tcW w:type="dxa" w:w="3288"/>
            <w:shd w:val="clear" w:color="auto" w:fill="F2F5FA"/>
            <w:vAlign w:val="center"/>
          </w:tcPr>
          <w:p>
            <w:pPr>
              <w:spacing w:after="0"/>
            </w:pPr>
            <w:r>
              <w:rPr>
                <w:rFonts w:ascii="游ゴシック" w:hAnsi="游ゴシック" w:eastAsia="游ゴシック"/>
                <w:b w:val="0"/>
                <w:sz w:val="19"/>
              </w:rPr>
              <w:t>資料No.13が期限までに揃わない場合の扱い</w:t>
            </w:r>
          </w:p>
        </w:tc>
        <w:tc>
          <w:tcPr>
            <w:tcW w:type="dxa" w:w="3288"/>
            <w:shd w:val="clear" w:color="auto" w:fill="F2F5FA"/>
            <w:vAlign w:val="center"/>
          </w:tcPr>
          <w:p>
            <w:pPr>
              <w:spacing w:after="0"/>
            </w:pPr>
            <w:r>
              <w:rPr>
                <w:rFonts w:ascii="游ゴシック" w:hAnsi="游ゴシック" w:eastAsia="游ゴシック"/>
                <w:b w:val="0"/>
                <w:sz w:val="19"/>
              </w:rPr>
              <w:t>受領できた年度のみで評価し、未受領年度は「未把握」と明記する。「実施されなかった」とは書き分ける</w:t>
            </w:r>
          </w:p>
        </w:tc>
      </w:tr>
      <w:tr>
        <w:trPr>
          <w:cantSplit/>
        </w:trPr>
        <w:tc>
          <w:tcPr>
            <w:tcW w:type="dxa" w:w="794"/>
            <w:vAlign w:val="center"/>
          </w:tcPr>
          <w:p>
            <w:pPr>
              <w:spacing w:after="0"/>
              <w:jc w:val="center"/>
            </w:pPr>
            <w:r>
              <w:rPr>
                <w:rFonts w:ascii="游ゴシック" w:hAnsi="游ゴシック" w:eastAsia="游ゴシック"/>
                <w:b/>
                <w:sz w:val="19"/>
              </w:rPr>
              <w:t>決定6</w:t>
            </w:r>
          </w:p>
        </w:tc>
        <w:tc>
          <w:tcPr>
            <w:tcW w:type="dxa" w:w="2381"/>
            <w:vAlign w:val="center"/>
          </w:tcPr>
          <w:p>
            <w:pPr>
              <w:spacing w:after="0"/>
            </w:pPr>
            <w:r>
              <w:rPr>
                <w:rFonts w:ascii="游ゴシック" w:hAnsi="游ゴシック" w:eastAsia="游ゴシック"/>
                <w:b w:val="0"/>
                <w:sz w:val="19"/>
              </w:rPr>
              <w:t>対応を確認できない5領域の扱い</w:t>
            </w:r>
          </w:p>
        </w:tc>
        <w:tc>
          <w:tcPr>
            <w:tcW w:type="dxa" w:w="3288"/>
            <w:vAlign w:val="center"/>
          </w:tcPr>
          <w:p>
            <w:pPr>
              <w:spacing w:after="0"/>
            </w:pPr>
            <w:r>
              <w:rPr>
                <w:rFonts w:ascii="游ゴシック" w:hAnsi="游ゴシック" w:eastAsia="游ゴシック"/>
                <w:b w:val="0"/>
                <w:sz w:val="19"/>
              </w:rPr>
              <w:t>調査に所見があるのに施策がない5領域</w:t>
            </w:r>
          </w:p>
        </w:tc>
        <w:tc>
          <w:tcPr>
            <w:tcW w:type="dxa" w:w="3288"/>
            <w:vAlign w:val="center"/>
          </w:tcPr>
          <w:p>
            <w:pPr>
              <w:spacing w:after="0"/>
            </w:pPr>
            <w:r>
              <w:rPr>
                <w:rFonts w:ascii="游ゴシック" w:hAnsi="游ゴシック" w:eastAsia="游ゴシック"/>
                <w:b w:val="0"/>
                <w:sz w:val="19"/>
              </w:rPr>
              <w:t>身寄りのない高齢者は広域連合の計画に位置づけ、移動・交通は3町の計画に委ねる。他の3領域は協議を要する</w:t>
            </w:r>
          </w:p>
        </w:tc>
      </w:tr>
    </w:tbl>
    <w:p>
      <w:r>
        <w:rPr>
          <w:rFonts w:ascii="游ゴシック" w:hAnsi="游ゴシック" w:eastAsia="游ゴシック"/>
          <w:b w:val="0"/>
          <w:sz w:val="21"/>
        </w:rPr>
      </w:r>
    </w:p>
    <w:p>
      <w:r>
        <w:rPr>
          <w:rFonts w:ascii="游ゴシック" w:hAnsi="游ゴシック" w:eastAsia="游ゴシック"/>
          <w:b/>
          <w:sz w:val="21"/>
        </w:rPr>
        <w:t>このうち決定5と決定6は、追加の資料を要さずご決定いただけます。決定5をご承認いただければ、資料の到着を待たずに評価を進め、後から差し替えることができます。</w:t>
      </w:r>
    </w:p>
    <w:p>
      <w:r>
        <w:br w:type="page"/>
      </w:r>
    </w:p>
    <w:p>
      <w:pPr>
        <w:pStyle w:val="Heading1"/>
        <w:keepNext/>
        <w:spacing w:before="280" w:after="120"/>
      </w:pPr>
      <w:r>
        <w:rPr>
          <w:rFonts w:ascii="游ゴシック" w:hAnsi="游ゴシック" w:eastAsia="游ゴシック"/>
          <w:b/>
          <w:color w:val="1F3864"/>
          <w:sz w:val="26"/>
        </w:rPr>
        <w:t>第6節　評価方法の妥当性確認</w:t>
      </w:r>
    </w:p>
    <w:p>
      <w:r>
        <w:rPr>
          <w:rFonts w:ascii="游ゴシック" w:hAnsi="游ゴシック" w:eastAsia="游ゴシック"/>
          <w:b w:val="0"/>
          <w:sz w:val="21"/>
        </w:rPr>
        <w:t>本報告の評価について、用いたデータの定義、算定の方法、結論を導く過程が妥当かを内部で点検しました。その結果、記述を改めた論点と、現時点で留保が残る論点は次のとおりです。</w:t>
      </w:r>
    </w:p>
    <w:p>
      <w:pPr>
        <w:keepNext/>
        <w:spacing w:before="160" w:after="40"/>
      </w:pPr>
      <w:r>
        <w:rPr>
          <w:rFonts w:ascii="游ゴシック" w:hAnsi="游ゴシック" w:eastAsia="游ゴシック"/>
          <w:b/>
          <w:sz w:val="20"/>
        </w:rPr>
        <w:t>表14　確認した論点と対応</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1701"/>
            <w:shd w:val="clear" w:color="auto" w:fill="1F3864"/>
            <w:vAlign w:val="center"/>
          </w:tcPr>
          <w:p>
            <w:pPr>
              <w:spacing w:after="0"/>
              <w:jc w:val="center"/>
            </w:pPr>
            <w:r>
              <w:rPr>
                <w:rFonts w:ascii="游ゴシック" w:hAnsi="游ゴシック" w:eastAsia="游ゴシック"/>
                <w:b/>
                <w:color w:val="FFFFFF"/>
                <w:sz w:val="19"/>
              </w:rPr>
              <w:t>論点</w:t>
            </w:r>
          </w:p>
        </w:tc>
        <w:tc>
          <w:tcPr>
            <w:tcW w:type="dxa" w:w="3628"/>
            <w:shd w:val="clear" w:color="auto" w:fill="1F3864"/>
            <w:vAlign w:val="center"/>
          </w:tcPr>
          <w:p>
            <w:pPr>
              <w:spacing w:after="0"/>
              <w:jc w:val="center"/>
            </w:pPr>
            <w:r>
              <w:rPr>
                <w:rFonts w:ascii="游ゴシック" w:hAnsi="游ゴシック" w:eastAsia="游ゴシック"/>
                <w:b/>
                <w:color w:val="FFFFFF"/>
                <w:sz w:val="19"/>
              </w:rPr>
              <w:t>確認の内容</w:t>
            </w:r>
          </w:p>
        </w:tc>
        <w:tc>
          <w:tcPr>
            <w:tcW w:type="dxa" w:w="2608"/>
            <w:shd w:val="clear" w:color="auto" w:fill="1F3864"/>
            <w:vAlign w:val="center"/>
          </w:tcPr>
          <w:p>
            <w:pPr>
              <w:spacing w:after="0"/>
              <w:jc w:val="center"/>
            </w:pPr>
            <w:r>
              <w:rPr>
                <w:rFonts w:ascii="游ゴシック" w:hAnsi="游ゴシック" w:eastAsia="游ゴシック"/>
                <w:b/>
                <w:color w:val="FFFFFF"/>
                <w:sz w:val="19"/>
              </w:rPr>
              <w:t>対応</w:t>
            </w:r>
          </w:p>
        </w:tc>
        <w:tc>
          <w:tcPr>
            <w:tcW w:type="dxa" w:w="1814"/>
            <w:shd w:val="clear" w:color="auto" w:fill="1F3864"/>
            <w:vAlign w:val="center"/>
          </w:tcPr>
          <w:p>
            <w:pPr>
              <w:spacing w:after="0"/>
              <w:jc w:val="center"/>
            </w:pPr>
            <w:r>
              <w:rPr>
                <w:rFonts w:ascii="游ゴシック" w:hAnsi="游ゴシック" w:eastAsia="游ゴシック"/>
                <w:b/>
                <w:color w:val="FFFFFF"/>
                <w:sz w:val="19"/>
              </w:rPr>
              <w:t>残る留保</w:t>
            </w:r>
          </w:p>
        </w:tc>
      </w:tr>
      <w:tr>
        <w:trPr>
          <w:cantSplit/>
        </w:trPr>
        <w:tc>
          <w:tcPr>
            <w:tcW w:type="dxa" w:w="1701"/>
            <w:vAlign w:val="center"/>
          </w:tcPr>
          <w:p>
            <w:pPr>
              <w:spacing w:after="0"/>
            </w:pPr>
            <w:r>
              <w:rPr>
                <w:rFonts w:ascii="游ゴシック" w:hAnsi="游ゴシック" w:eastAsia="游ゴシック"/>
                <w:b/>
                <w:sz w:val="19"/>
              </w:rPr>
              <w:t>認定率の推移の読み方</w:t>
            </w:r>
          </w:p>
        </w:tc>
        <w:tc>
          <w:tcPr>
            <w:tcW w:type="dxa" w:w="3628"/>
            <w:vAlign w:val="center"/>
          </w:tcPr>
          <w:p>
            <w:pPr>
              <w:spacing w:after="0"/>
            </w:pPr>
            <w:r>
              <w:rPr>
                <w:rFonts w:ascii="游ゴシック" w:hAnsi="游ゴシック" w:eastAsia="游ゴシック"/>
                <w:b w:val="0"/>
                <w:sz w:val="19"/>
              </w:rPr>
              <w:t>粗率（全要介護度・年齢調整なし）と、年齢階級別及び性・年齢調整済みの率とで方向が異なる。</w:t>
            </w:r>
          </w:p>
        </w:tc>
        <w:tc>
          <w:tcPr>
            <w:tcW w:type="dxa" w:w="2608"/>
            <w:vAlign w:val="center"/>
          </w:tcPr>
          <w:p>
            <w:pPr>
              <w:spacing w:after="0"/>
            </w:pPr>
            <w:r>
              <w:rPr>
                <w:rFonts w:ascii="游ゴシック" w:hAnsi="游ゴシック" w:eastAsia="游ゴシック"/>
                <w:b w:val="0"/>
                <w:sz w:val="19"/>
              </w:rPr>
              <w:t>3つを併記し、粗率のみで判断しない記述に改めた。</w:t>
            </w:r>
          </w:p>
        </w:tc>
        <w:tc>
          <w:tcPr>
            <w:tcW w:type="dxa" w:w="1814"/>
            <w:vAlign w:val="center"/>
          </w:tcPr>
          <w:p>
            <w:pPr>
              <w:spacing w:after="0"/>
            </w:pPr>
            <w:r>
              <w:rPr>
                <w:rFonts w:ascii="游ゴシック" w:hAnsi="游ゴシック" w:eastAsia="游ゴシック"/>
                <w:b w:val="0"/>
                <w:sz w:val="19"/>
              </w:rPr>
              <w:t>年齢構成以外の要因は分離していない</w:t>
            </w:r>
          </w:p>
        </w:tc>
      </w:tr>
      <w:tr>
        <w:trPr>
          <w:cantSplit/>
        </w:trPr>
        <w:tc>
          <w:tcPr>
            <w:tcW w:type="dxa" w:w="1701"/>
            <w:shd w:val="clear" w:color="auto" w:fill="F2F5FA"/>
            <w:vAlign w:val="center"/>
          </w:tcPr>
          <w:p>
            <w:pPr>
              <w:spacing w:after="0"/>
            </w:pPr>
            <w:r>
              <w:rPr>
                <w:rFonts w:ascii="游ゴシック" w:hAnsi="游ゴシック" w:eastAsia="游ゴシック"/>
                <w:b/>
                <w:sz w:val="19"/>
              </w:rPr>
              <w:t>給付水準の高さの要因</w:t>
            </w:r>
          </w:p>
        </w:tc>
        <w:tc>
          <w:tcPr>
            <w:tcW w:type="dxa" w:w="3628"/>
            <w:shd w:val="clear" w:color="auto" w:fill="F2F5FA"/>
            <w:vAlign w:val="center"/>
          </w:tcPr>
          <w:p>
            <w:pPr>
              <w:spacing w:after="0"/>
            </w:pPr>
            <w:r>
              <w:rPr>
                <w:rFonts w:ascii="游ゴシック" w:hAnsi="游ゴシック" w:eastAsia="游ゴシック"/>
                <w:b w:val="0"/>
                <w:sz w:val="19"/>
              </w:rPr>
              <w:t>受給率と受給者単価はいずれも高いが、両者は独立ではなく、寄与を分けて示すことができない。</w:t>
            </w:r>
          </w:p>
        </w:tc>
        <w:tc>
          <w:tcPr>
            <w:tcW w:type="dxa" w:w="2608"/>
            <w:shd w:val="clear" w:color="auto" w:fill="F2F5FA"/>
            <w:vAlign w:val="center"/>
          </w:tcPr>
          <w:p>
            <w:pPr>
              <w:spacing w:after="0"/>
            </w:pPr>
            <w:r>
              <w:rPr>
                <w:rFonts w:ascii="游ゴシック" w:hAnsi="游ゴシック" w:eastAsia="游ゴシック"/>
                <w:b w:val="0"/>
                <w:sz w:val="19"/>
              </w:rPr>
              <w:t>各要素を並列の指標として示し、要因の按分による説明は採用しないこととした。</w:t>
            </w:r>
          </w:p>
        </w:tc>
        <w:tc>
          <w:tcPr>
            <w:tcW w:type="dxa" w:w="1814"/>
            <w:shd w:val="clear" w:color="auto" w:fill="F2F5FA"/>
            <w:vAlign w:val="center"/>
          </w:tcPr>
          <w:p>
            <w:pPr>
              <w:spacing w:after="0"/>
            </w:pPr>
            <w:r>
              <w:rPr>
                <w:rFonts w:ascii="游ゴシック" w:hAnsi="游ゴシック" w:eastAsia="游ゴシック"/>
                <w:b w:val="0"/>
                <w:sz w:val="19"/>
              </w:rPr>
              <w:t>要因の特定には管内21保険者の分布による確認を要する</w:t>
            </w:r>
          </w:p>
        </w:tc>
      </w:tr>
      <w:tr>
        <w:trPr>
          <w:cantSplit/>
        </w:trPr>
        <w:tc>
          <w:tcPr>
            <w:tcW w:type="dxa" w:w="1701"/>
            <w:vAlign w:val="center"/>
          </w:tcPr>
          <w:p>
            <w:pPr>
              <w:spacing w:after="0"/>
            </w:pPr>
            <w:r>
              <w:rPr>
                <w:rFonts w:ascii="游ゴシック" w:hAnsi="游ゴシック" w:eastAsia="游ゴシック"/>
                <w:b/>
                <w:sz w:val="19"/>
              </w:rPr>
              <w:t>地域差指数の分解</w:t>
            </w:r>
          </w:p>
        </w:tc>
        <w:tc>
          <w:tcPr>
            <w:tcW w:type="dxa" w:w="3628"/>
            <w:vAlign w:val="center"/>
          </w:tcPr>
          <w:p>
            <w:pPr>
              <w:spacing w:after="0"/>
            </w:pPr>
            <w:r>
              <w:rPr>
                <w:rFonts w:ascii="游ゴシック" w:hAnsi="游ゴシック" w:eastAsia="游ゴシック"/>
                <w:b w:val="0"/>
                <w:sz w:val="19"/>
              </w:rPr>
              <w:t>受給率×受給者単価は給付月額指数に一致しない。上川管内21保険者のうち16保険者で0.03を超える差がある。</w:t>
            </w:r>
          </w:p>
        </w:tc>
        <w:tc>
          <w:tcPr>
            <w:tcW w:type="dxa" w:w="2608"/>
            <w:vAlign w:val="center"/>
          </w:tcPr>
          <w:p>
            <w:pPr>
              <w:spacing w:after="0"/>
            </w:pPr>
            <w:r>
              <w:rPr>
                <w:rFonts w:ascii="游ゴシック" w:hAnsi="游ゴシック" w:eastAsia="游ゴシック"/>
                <w:b w:val="0"/>
                <w:sz w:val="19"/>
              </w:rPr>
              <w:t>指数の分解による要因の按分は採用しないこととした。</w:t>
            </w:r>
          </w:p>
        </w:tc>
        <w:tc>
          <w:tcPr>
            <w:tcW w:type="dxa" w:w="1814"/>
            <w:vAlign w:val="center"/>
          </w:tcPr>
          <w:p>
            <w:pPr>
              <w:spacing w:after="0"/>
            </w:pPr>
            <w:r>
              <w:rPr>
                <w:rFonts w:ascii="游ゴシック" w:hAnsi="游ゴシック" w:eastAsia="游ゴシック"/>
                <w:b w:val="0"/>
                <w:sz w:val="19"/>
              </w:rPr>
              <w:t>見える化D49の指標定義の確認を要する</w:t>
            </w:r>
          </w:p>
        </w:tc>
      </w:tr>
      <w:tr>
        <w:trPr>
          <w:cantSplit/>
        </w:trPr>
        <w:tc>
          <w:tcPr>
            <w:tcW w:type="dxa" w:w="1701"/>
            <w:shd w:val="clear" w:color="auto" w:fill="F2F5FA"/>
            <w:vAlign w:val="center"/>
          </w:tcPr>
          <w:p>
            <w:pPr>
              <w:spacing w:after="0"/>
            </w:pPr>
            <w:r>
              <w:rPr>
                <w:rFonts w:ascii="游ゴシック" w:hAnsi="游ゴシック" w:eastAsia="游ゴシック"/>
                <w:b/>
                <w:sz w:val="19"/>
              </w:rPr>
              <w:t>3町計画の数値目標の有無</w:t>
            </w:r>
          </w:p>
        </w:tc>
        <w:tc>
          <w:tcPr>
            <w:tcW w:type="dxa" w:w="3628"/>
            <w:shd w:val="clear" w:color="auto" w:fill="F2F5FA"/>
            <w:vAlign w:val="center"/>
          </w:tcPr>
          <w:p>
            <w:pPr>
              <w:spacing w:after="0"/>
            </w:pPr>
            <w:r>
              <w:rPr>
                <w:rFonts w:ascii="游ゴシック" w:hAnsi="游ゴシック" w:eastAsia="游ゴシック"/>
                <w:b w:val="0"/>
                <w:sz w:val="19"/>
              </w:rPr>
              <w:t>「数値目標」「目標値」の語による検索では確認できなかったが、語を用いずに数値で目標を示している例がある。</w:t>
            </w:r>
          </w:p>
        </w:tc>
        <w:tc>
          <w:tcPr>
            <w:tcW w:type="dxa" w:w="2608"/>
            <w:shd w:val="clear" w:color="auto" w:fill="F2F5FA"/>
            <w:vAlign w:val="center"/>
          </w:tcPr>
          <w:p>
            <w:pPr>
              <w:spacing w:after="0"/>
            </w:pPr>
            <w:r>
              <w:rPr>
                <w:rFonts w:ascii="游ゴシック" w:hAnsi="游ゴシック" w:eastAsia="游ゴシック"/>
                <w:b w:val="0"/>
                <w:sz w:val="19"/>
              </w:rPr>
              <w:t>検索語によらず、記載内容により判定する方法に改めた。</w:t>
            </w:r>
          </w:p>
        </w:tc>
        <w:tc>
          <w:tcPr>
            <w:tcW w:type="dxa" w:w="1814"/>
            <w:shd w:val="clear" w:color="auto" w:fill="F2F5FA"/>
            <w:vAlign w:val="center"/>
          </w:tcPr>
          <w:p>
            <w:pPr>
              <w:spacing w:after="0"/>
            </w:pPr>
            <w:r>
              <w:rPr>
                <w:rFonts w:ascii="游ゴシック" w:hAnsi="游ゴシック" w:eastAsia="游ゴシック"/>
                <w:b w:val="0"/>
                <w:sz w:val="19"/>
              </w:rPr>
              <w:t>―</w:t>
            </w:r>
          </w:p>
        </w:tc>
      </w:tr>
      <w:tr>
        <w:trPr>
          <w:cantSplit/>
        </w:trPr>
        <w:tc>
          <w:tcPr>
            <w:tcW w:type="dxa" w:w="1701"/>
            <w:vAlign w:val="center"/>
          </w:tcPr>
          <w:p>
            <w:pPr>
              <w:spacing w:after="0"/>
            </w:pPr>
            <w:r>
              <w:rPr>
                <w:rFonts w:ascii="游ゴシック" w:hAnsi="游ゴシック" w:eastAsia="游ゴシック"/>
                <w:b/>
                <w:sz w:val="19"/>
              </w:rPr>
              <w:t>交付金評価の解釈</w:t>
            </w:r>
          </w:p>
        </w:tc>
        <w:tc>
          <w:tcPr>
            <w:tcW w:type="dxa" w:w="3628"/>
            <w:vAlign w:val="center"/>
          </w:tcPr>
          <w:p>
            <w:pPr>
              <w:spacing w:after="0"/>
            </w:pPr>
            <w:r>
              <w:rPr>
                <w:rFonts w:ascii="游ゴシック" w:hAnsi="游ゴシック" w:eastAsia="游ゴシック"/>
                <w:b w:val="0"/>
                <w:sz w:val="19"/>
              </w:rPr>
              <w:t>活動指標群の得点が低い原因は、未実施・要件未充足・記録及び報告の不備のいずれとも判別できない。</w:t>
            </w:r>
          </w:p>
        </w:tc>
        <w:tc>
          <w:tcPr>
            <w:tcW w:type="dxa" w:w="2608"/>
            <w:vAlign w:val="center"/>
          </w:tcPr>
          <w:p>
            <w:pPr>
              <w:spacing w:after="0"/>
            </w:pPr>
            <w:r>
              <w:rPr>
                <w:rFonts w:ascii="游ゴシック" w:hAnsi="游ゴシック" w:eastAsia="游ゴシック"/>
                <w:b w:val="0"/>
                <w:sz w:val="19"/>
              </w:rPr>
              <w:t>原因を特定する記述を用いないこととした。</w:t>
            </w:r>
          </w:p>
        </w:tc>
        <w:tc>
          <w:tcPr>
            <w:tcW w:type="dxa" w:w="1814"/>
            <w:vAlign w:val="center"/>
          </w:tcPr>
          <w:p>
            <w:pPr>
              <w:spacing w:after="0"/>
            </w:pPr>
            <w:r>
              <w:rPr>
                <w:rFonts w:ascii="游ゴシック" w:hAnsi="游ゴシック" w:eastAsia="游ゴシック"/>
                <w:b w:val="0"/>
                <w:sz w:val="19"/>
              </w:rPr>
              <w:t>評価調書（資料No.5）の受領を要する</w:t>
            </w:r>
          </w:p>
        </w:tc>
      </w:tr>
      <w:tr>
        <w:trPr>
          <w:cantSplit/>
        </w:trPr>
        <w:tc>
          <w:tcPr>
            <w:tcW w:type="dxa" w:w="1701"/>
            <w:shd w:val="clear" w:color="auto" w:fill="F2F5FA"/>
            <w:vAlign w:val="center"/>
          </w:tcPr>
          <w:p>
            <w:pPr>
              <w:spacing w:after="0"/>
            </w:pPr>
            <w:r>
              <w:rPr>
                <w:rFonts w:ascii="游ゴシック" w:hAnsi="游ゴシック" w:eastAsia="游ゴシック"/>
                <w:b/>
                <w:sz w:val="19"/>
              </w:rPr>
              <w:t>外部評価の水準の表現</w:t>
            </w:r>
          </w:p>
        </w:tc>
        <w:tc>
          <w:tcPr>
            <w:tcW w:type="dxa" w:w="3628"/>
            <w:shd w:val="clear" w:color="auto" w:fill="F2F5FA"/>
            <w:vAlign w:val="center"/>
          </w:tcPr>
          <w:p>
            <w:pPr>
              <w:spacing w:after="0"/>
            </w:pPr>
            <w:r>
              <w:rPr>
                <w:rFonts w:ascii="游ゴシック" w:hAnsi="游ゴシック" w:eastAsia="游ゴシック"/>
                <w:b w:val="0"/>
                <w:sz w:val="19"/>
              </w:rPr>
              <w:t>成果指標は認定者約1,960人を母集団とし、単年度の変動が大きい。分子・分母の実数を確認していない。</w:t>
            </w:r>
          </w:p>
        </w:tc>
        <w:tc>
          <w:tcPr>
            <w:tcW w:type="dxa" w:w="2608"/>
            <w:shd w:val="clear" w:color="auto" w:fill="F2F5FA"/>
            <w:vAlign w:val="center"/>
          </w:tcPr>
          <w:p>
            <w:pPr>
              <w:spacing w:after="0"/>
            </w:pPr>
            <w:r>
              <w:rPr>
                <w:rFonts w:ascii="游ゴシック" w:hAnsi="游ゴシック" w:eastAsia="游ゴシック"/>
                <w:b w:val="0"/>
                <w:sz w:val="19"/>
              </w:rPr>
              <w:t>水準を強調する表現を用いないこととした。</w:t>
            </w:r>
          </w:p>
        </w:tc>
        <w:tc>
          <w:tcPr>
            <w:tcW w:type="dxa" w:w="1814"/>
            <w:shd w:val="clear" w:color="auto" w:fill="F2F5FA"/>
            <w:vAlign w:val="center"/>
          </w:tcPr>
          <w:p>
            <w:pPr>
              <w:spacing w:after="0"/>
            </w:pPr>
            <w:r>
              <w:rPr>
                <w:rFonts w:ascii="游ゴシック" w:hAnsi="游ゴシック" w:eastAsia="游ゴシック"/>
                <w:b w:val="0"/>
                <w:sz w:val="19"/>
              </w:rPr>
              <w:t>分子・分母の実数の確認を要する</w:t>
            </w:r>
          </w:p>
        </w:tc>
      </w:tr>
    </w:tbl>
    <w:p>
      <w:r>
        <w:rPr>
          <w:rFonts w:ascii="游ゴシック" w:hAnsi="游ゴシック" w:eastAsia="游ゴシック"/>
          <w:b w:val="0"/>
          <w:sz w:val="21"/>
        </w:rPr>
      </w:r>
    </w:p>
    <w:p>
      <w:r>
        <w:rPr>
          <w:rFonts w:ascii="游ゴシック" w:hAnsi="游ゴシック" w:eastAsia="游ゴシック"/>
          <w:b w:val="0"/>
          <w:sz w:val="20"/>
        </w:rPr>
        <w:t>このほか、本報告及び分析資料に用いた主張について、根拠の水準（実測値・算定値・推論・仮説）を区分して棚卸しし、根拠が弱い主張には断定を避ける表現を用いています。</w:t>
      </w:r>
    </w:p>
    <w:p>
      <w:pPr>
        <w:ind w:left="227"/>
      </w:pPr>
      <w:r>
        <w:rPr>
          <w:rFonts w:ascii="游ゴシック" w:hAnsi="游ゴシック" w:eastAsia="游ゴシック"/>
          <w:sz w:val="18"/>
        </w:rPr>
        <w:t>※ 記述に当たっては、次の5つの表現を用いないこととしています。①原因を1つに特定する表現、②他の資料と一致することを根拠とする表現、③観測の範囲を示さずに皆無であるとする表現、④統計的な有意差がないことをもって関連がないとする表現、⑤外部評価の1時点の値をもって水準を強調する表現。</w:t>
      </w:r>
    </w:p>
    <w:p>
      <w:pPr>
        <w:pStyle w:val="Heading1"/>
        <w:keepNext/>
        <w:spacing w:before="280" w:after="120"/>
      </w:pPr>
      <w:r>
        <w:rPr>
          <w:rFonts w:ascii="游ゴシック" w:hAnsi="游ゴシック" w:eastAsia="游ゴシック"/>
          <w:b/>
          <w:color w:val="1F3864"/>
          <w:sz w:val="26"/>
        </w:rPr>
        <w:t>第7節　9月以降の進め方</w:t>
      </w:r>
    </w:p>
    <w:p>
      <w:pPr>
        <w:keepNext/>
        <w:spacing w:before="160" w:after="40"/>
      </w:pPr>
      <w:r>
        <w:rPr>
          <w:rFonts w:ascii="游ゴシック" w:hAnsi="游ゴシック" w:eastAsia="游ゴシック"/>
          <w:b/>
          <w:sz w:val="20"/>
        </w:rPr>
        <w:t>表15　第9期の評価・検証の工程</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1247"/>
            <w:shd w:val="clear" w:color="auto" w:fill="1F3864"/>
            <w:vAlign w:val="center"/>
          </w:tcPr>
          <w:p>
            <w:pPr>
              <w:spacing w:after="0"/>
              <w:jc w:val="center"/>
            </w:pPr>
            <w:r>
              <w:rPr>
                <w:rFonts w:ascii="游ゴシック" w:hAnsi="游ゴシック" w:eastAsia="游ゴシック"/>
                <w:b/>
                <w:color w:val="FFFFFF"/>
                <w:sz w:val="19"/>
              </w:rPr>
              <w:t>時期</w:t>
            </w:r>
          </w:p>
        </w:tc>
        <w:tc>
          <w:tcPr>
            <w:tcW w:type="dxa" w:w="3175"/>
            <w:shd w:val="clear" w:color="auto" w:fill="1F3864"/>
            <w:vAlign w:val="center"/>
          </w:tcPr>
          <w:p>
            <w:pPr>
              <w:spacing w:after="0"/>
              <w:jc w:val="center"/>
            </w:pPr>
            <w:r>
              <w:rPr>
                <w:rFonts w:ascii="游ゴシック" w:hAnsi="游ゴシック" w:eastAsia="游ゴシック"/>
                <w:b/>
                <w:color w:val="FFFFFF"/>
                <w:sz w:val="19"/>
              </w:rPr>
              <w:t>作業</w:t>
            </w:r>
          </w:p>
        </w:tc>
        <w:tc>
          <w:tcPr>
            <w:tcW w:type="dxa" w:w="3061"/>
            <w:shd w:val="clear" w:color="auto" w:fill="1F3864"/>
            <w:vAlign w:val="center"/>
          </w:tcPr>
          <w:p>
            <w:pPr>
              <w:spacing w:after="0"/>
              <w:jc w:val="center"/>
            </w:pPr>
            <w:r>
              <w:rPr>
                <w:rFonts w:ascii="游ゴシック" w:hAnsi="游ゴシック" w:eastAsia="游ゴシック"/>
                <w:b/>
                <w:color w:val="FFFFFF"/>
                <w:sz w:val="19"/>
              </w:rPr>
              <w:t>前提</w:t>
            </w:r>
          </w:p>
        </w:tc>
        <w:tc>
          <w:tcPr>
            <w:tcW w:type="dxa" w:w="2268"/>
            <w:shd w:val="clear" w:color="auto" w:fill="1F3864"/>
            <w:vAlign w:val="center"/>
          </w:tcPr>
          <w:p>
            <w:pPr>
              <w:spacing w:after="0"/>
              <w:jc w:val="center"/>
            </w:pPr>
            <w:r>
              <w:rPr>
                <w:rFonts w:ascii="游ゴシック" w:hAnsi="游ゴシック" w:eastAsia="游ゴシック"/>
                <w:b/>
                <w:color w:val="FFFFFF"/>
                <w:sz w:val="19"/>
              </w:rPr>
              <w:t>到達点</w:t>
            </w:r>
          </w:p>
        </w:tc>
      </w:tr>
      <w:tr>
        <w:trPr>
          <w:cantSplit/>
        </w:trPr>
        <w:tc>
          <w:tcPr>
            <w:tcW w:type="dxa" w:w="1247"/>
            <w:vAlign w:val="center"/>
          </w:tcPr>
          <w:p>
            <w:pPr>
              <w:spacing w:after="0"/>
            </w:pPr>
            <w:r>
              <w:rPr>
                <w:rFonts w:ascii="游ゴシック" w:hAnsi="游ゴシック" w:eastAsia="游ゴシック"/>
                <w:b/>
                <w:sz w:val="19"/>
              </w:rPr>
              <w:t>令和8年8月</w:t>
              <w:br/>
              <w:t>（本報告）</w:t>
            </w:r>
          </w:p>
        </w:tc>
        <w:tc>
          <w:tcPr>
            <w:tcW w:type="dxa" w:w="3175"/>
            <w:vAlign w:val="center"/>
          </w:tcPr>
          <w:p>
            <w:pPr>
              <w:spacing w:after="0"/>
            </w:pPr>
            <w:r>
              <w:rPr>
                <w:rFonts w:ascii="游ゴシック" w:hAnsi="游ゴシック" w:eastAsia="游ゴシック"/>
                <w:b w:val="0"/>
                <w:sz w:val="19"/>
              </w:rPr>
              <w:t>現状の整理と不足の洗い出し</w:t>
            </w:r>
          </w:p>
        </w:tc>
        <w:tc>
          <w:tcPr>
            <w:tcW w:type="dxa" w:w="3061"/>
            <w:vAlign w:val="center"/>
          </w:tcPr>
          <w:p>
            <w:pPr>
              <w:spacing w:after="0"/>
            </w:pPr>
            <w:r>
              <w:rPr>
                <w:rFonts w:ascii="游ゴシック" w:hAnsi="游ゴシック" w:eastAsia="游ゴシック"/>
                <w:b w:val="0"/>
                <w:sz w:val="19"/>
              </w:rPr>
              <w:t>なし</w:t>
            </w:r>
          </w:p>
        </w:tc>
        <w:tc>
          <w:tcPr>
            <w:tcW w:type="dxa" w:w="2268"/>
            <w:vAlign w:val="center"/>
          </w:tcPr>
          <w:p>
            <w:pPr>
              <w:spacing w:after="0"/>
            </w:pPr>
            <w:r>
              <w:rPr>
                <w:rFonts w:ascii="游ゴシック" w:hAnsi="游ゴシック" w:eastAsia="游ゴシック"/>
                <w:b w:val="0"/>
                <w:sz w:val="19"/>
              </w:rPr>
              <w:t>成果評価・構造評価を整理。不足資料7件・確認事項5件を特定</w:t>
            </w:r>
          </w:p>
        </w:tc>
      </w:tr>
      <w:tr>
        <w:trPr>
          <w:cantSplit/>
        </w:trPr>
        <w:tc>
          <w:tcPr>
            <w:tcW w:type="dxa" w:w="1247"/>
            <w:shd w:val="clear" w:color="auto" w:fill="F2F5FA"/>
            <w:vAlign w:val="center"/>
          </w:tcPr>
          <w:p>
            <w:pPr>
              <w:spacing w:after="0"/>
            </w:pPr>
            <w:r>
              <w:rPr>
                <w:rFonts w:ascii="游ゴシック" w:hAnsi="游ゴシック" w:eastAsia="游ゴシック"/>
                <w:b/>
                <w:sz w:val="19"/>
              </w:rPr>
              <w:t>令和8年9月</w:t>
            </w:r>
          </w:p>
        </w:tc>
        <w:tc>
          <w:tcPr>
            <w:tcW w:type="dxa" w:w="3175"/>
            <w:shd w:val="clear" w:color="auto" w:fill="F2F5FA"/>
            <w:vAlign w:val="center"/>
          </w:tcPr>
          <w:p>
            <w:pPr>
              <w:spacing w:after="0"/>
            </w:pPr>
            <w:r>
              <w:rPr>
                <w:rFonts w:ascii="游ゴシック" w:hAnsi="游ゴシック" w:eastAsia="游ゴシック"/>
                <w:b w:val="0"/>
                <w:sz w:val="19"/>
              </w:rPr>
              <w:t>施策別評価表への実績の入力</w:t>
            </w:r>
          </w:p>
        </w:tc>
        <w:tc>
          <w:tcPr>
            <w:tcW w:type="dxa" w:w="3061"/>
            <w:shd w:val="clear" w:color="auto" w:fill="F2F5FA"/>
            <w:vAlign w:val="center"/>
          </w:tcPr>
          <w:p>
            <w:pPr>
              <w:spacing w:after="0"/>
            </w:pPr>
            <w:r>
              <w:rPr>
                <w:rFonts w:ascii="游ゴシック" w:hAnsi="游ゴシック" w:eastAsia="游ゴシック"/>
                <w:b w:val="0"/>
                <w:sz w:val="19"/>
              </w:rPr>
              <w:t>資料No.13の受領、又は決定5（暫定評価ルール）の承認</w:t>
            </w:r>
          </w:p>
        </w:tc>
        <w:tc>
          <w:tcPr>
            <w:tcW w:type="dxa" w:w="2268"/>
            <w:shd w:val="clear" w:color="auto" w:fill="F2F5FA"/>
            <w:vAlign w:val="center"/>
          </w:tcPr>
          <w:p>
            <w:pPr>
              <w:spacing w:after="0"/>
            </w:pPr>
            <w:r>
              <w:rPr>
                <w:rFonts w:ascii="游ゴシック" w:hAnsi="游ゴシック" w:eastAsia="游ゴシック"/>
                <w:b w:val="0"/>
                <w:sz w:val="19"/>
              </w:rPr>
              <w:t>プロセス評価の着手</w:t>
            </w:r>
          </w:p>
        </w:tc>
      </w:tr>
      <w:tr>
        <w:trPr>
          <w:cantSplit/>
        </w:trPr>
        <w:tc>
          <w:tcPr>
            <w:tcW w:type="dxa" w:w="1247"/>
            <w:vAlign w:val="center"/>
          </w:tcPr>
          <w:p>
            <w:pPr>
              <w:spacing w:after="0"/>
            </w:pPr>
            <w:r>
              <w:rPr>
                <w:rFonts w:ascii="游ゴシック" w:hAnsi="游ゴシック" w:eastAsia="游ゴシック"/>
                <w:b/>
                <w:sz w:val="19"/>
              </w:rPr>
              <w:t>令和8年9月</w:t>
            </w:r>
          </w:p>
        </w:tc>
        <w:tc>
          <w:tcPr>
            <w:tcW w:type="dxa" w:w="3175"/>
            <w:vAlign w:val="center"/>
          </w:tcPr>
          <w:p>
            <w:pPr>
              <w:spacing w:after="0"/>
            </w:pPr>
            <w:r>
              <w:rPr>
                <w:rFonts w:ascii="游ゴシック" w:hAnsi="游ゴシック" w:eastAsia="游ゴシック"/>
                <w:b w:val="0"/>
                <w:sz w:val="19"/>
              </w:rPr>
              <w:t>第5章の施策体系の再設計</w:t>
            </w:r>
          </w:p>
        </w:tc>
        <w:tc>
          <w:tcPr>
            <w:tcW w:type="dxa" w:w="3061"/>
            <w:vAlign w:val="center"/>
          </w:tcPr>
          <w:p>
            <w:pPr>
              <w:spacing w:after="0"/>
            </w:pPr>
            <w:r>
              <w:rPr>
                <w:rFonts w:ascii="游ゴシック" w:hAnsi="游ゴシック" w:eastAsia="游ゴシック"/>
                <w:b w:val="0"/>
                <w:sz w:val="19"/>
              </w:rPr>
              <w:t>決定6（対応を確認できない5領域の扱い）</w:t>
            </w:r>
          </w:p>
        </w:tc>
        <w:tc>
          <w:tcPr>
            <w:tcW w:type="dxa" w:w="2268"/>
            <w:vAlign w:val="center"/>
          </w:tcPr>
          <w:p>
            <w:pPr>
              <w:spacing w:after="0"/>
            </w:pPr>
            <w:r>
              <w:rPr>
                <w:rFonts w:ascii="游ゴシック" w:hAnsi="游ゴシック" w:eastAsia="游ゴシック"/>
                <w:b w:val="0"/>
                <w:sz w:val="19"/>
              </w:rPr>
              <w:t>判定「なし」5施策の扱いの確定</w:t>
            </w:r>
          </w:p>
        </w:tc>
      </w:tr>
      <w:tr>
        <w:trPr>
          <w:cantSplit/>
        </w:trPr>
        <w:tc>
          <w:tcPr>
            <w:tcW w:type="dxa" w:w="1247"/>
            <w:shd w:val="clear" w:color="auto" w:fill="F2F5FA"/>
            <w:vAlign w:val="center"/>
          </w:tcPr>
          <w:p>
            <w:pPr>
              <w:spacing w:after="0"/>
            </w:pPr>
            <w:r>
              <w:rPr>
                <w:rFonts w:ascii="游ゴシック" w:hAnsi="游ゴシック" w:eastAsia="游ゴシック"/>
                <w:b/>
                <w:sz w:val="19"/>
              </w:rPr>
              <w:t>令和8年10月</w:t>
            </w:r>
          </w:p>
        </w:tc>
        <w:tc>
          <w:tcPr>
            <w:tcW w:type="dxa" w:w="3175"/>
            <w:shd w:val="clear" w:color="auto" w:fill="F2F5FA"/>
            <w:vAlign w:val="center"/>
          </w:tcPr>
          <w:p>
            <w:pPr>
              <w:spacing w:after="0"/>
            </w:pPr>
            <w:r>
              <w:rPr>
                <w:rFonts w:ascii="游ゴシック" w:hAnsi="游ゴシック" w:eastAsia="游ゴシック"/>
                <w:b w:val="0"/>
                <w:sz w:val="19"/>
              </w:rPr>
              <w:t>評価の確定と委員会用スコアカードの作成</w:t>
            </w:r>
          </w:p>
        </w:tc>
        <w:tc>
          <w:tcPr>
            <w:tcW w:type="dxa" w:w="3061"/>
            <w:shd w:val="clear" w:color="auto" w:fill="F2F5FA"/>
            <w:vAlign w:val="center"/>
          </w:tcPr>
          <w:p>
            <w:pPr>
              <w:spacing w:after="0"/>
            </w:pPr>
            <w:r>
              <w:rPr>
                <w:rFonts w:ascii="游ゴシック" w:hAnsi="游ゴシック" w:eastAsia="游ゴシック"/>
                <w:b w:val="0"/>
                <w:sz w:val="19"/>
              </w:rPr>
              <w:t>上記の完了</w:t>
            </w:r>
          </w:p>
        </w:tc>
        <w:tc>
          <w:tcPr>
            <w:tcW w:type="dxa" w:w="2268"/>
            <w:shd w:val="clear" w:color="auto" w:fill="F2F5FA"/>
            <w:vAlign w:val="center"/>
          </w:tcPr>
          <w:p>
            <w:pPr>
              <w:spacing w:after="0"/>
            </w:pPr>
            <w:r>
              <w:rPr>
                <w:rFonts w:ascii="游ゴシック" w:hAnsi="游ゴシック" w:eastAsia="游ゴシック"/>
                <w:b w:val="0"/>
                <w:sz w:val="19"/>
              </w:rPr>
              <w:t>第1回策定委員会への提示</w:t>
            </w:r>
          </w:p>
        </w:tc>
      </w:tr>
      <w:tr>
        <w:trPr>
          <w:cantSplit/>
        </w:trPr>
        <w:tc>
          <w:tcPr>
            <w:tcW w:type="dxa" w:w="1247"/>
            <w:vAlign w:val="center"/>
          </w:tcPr>
          <w:p>
            <w:pPr>
              <w:spacing w:after="0"/>
            </w:pPr>
            <w:r>
              <w:rPr>
                <w:rFonts w:ascii="游ゴシック" w:hAnsi="游ゴシック" w:eastAsia="游ゴシック"/>
                <w:b/>
                <w:sz w:val="19"/>
              </w:rPr>
              <w:t>令和8年11月</w:t>
            </w:r>
          </w:p>
        </w:tc>
        <w:tc>
          <w:tcPr>
            <w:tcW w:type="dxa" w:w="3175"/>
            <w:vAlign w:val="center"/>
          </w:tcPr>
          <w:p>
            <w:pPr>
              <w:spacing w:after="0"/>
            </w:pPr>
            <w:r>
              <w:rPr>
                <w:rFonts w:ascii="游ゴシック" w:hAnsi="游ゴシック" w:eastAsia="游ゴシック"/>
                <w:b w:val="0"/>
                <w:sz w:val="19"/>
              </w:rPr>
              <w:t>3町の意見を反映した評価の確定</w:t>
            </w:r>
          </w:p>
        </w:tc>
        <w:tc>
          <w:tcPr>
            <w:tcW w:type="dxa" w:w="3061"/>
            <w:vAlign w:val="center"/>
          </w:tcPr>
          <w:p>
            <w:pPr>
              <w:spacing w:after="0"/>
            </w:pPr>
            <w:r>
              <w:rPr>
                <w:rFonts w:ascii="游ゴシック" w:hAnsi="游ゴシック" w:eastAsia="游ゴシック"/>
                <w:b w:val="0"/>
                <w:sz w:val="19"/>
              </w:rPr>
              <w:t>3町との協議</w:t>
            </w:r>
          </w:p>
        </w:tc>
        <w:tc>
          <w:tcPr>
            <w:tcW w:type="dxa" w:w="2268"/>
            <w:vAlign w:val="center"/>
          </w:tcPr>
          <w:p>
            <w:pPr>
              <w:spacing w:after="0"/>
            </w:pPr>
            <w:r>
              <w:rPr>
                <w:rFonts w:ascii="游ゴシック" w:hAnsi="游ゴシック" w:eastAsia="游ゴシック"/>
                <w:b w:val="0"/>
                <w:sz w:val="19"/>
              </w:rPr>
              <w:t>第3章の確定</w:t>
            </w:r>
          </w:p>
        </w:tc>
      </w:tr>
    </w:tbl>
    <w:p>
      <w:r>
        <w:rPr>
          <w:rFonts w:ascii="游ゴシック" w:hAnsi="游ゴシック" w:eastAsia="游ゴシック"/>
          <w:b w:val="0"/>
          <w:sz w:val="21"/>
        </w:rPr>
      </w:r>
    </w:p>
    <w:p>
      <w:r>
        <w:rPr>
          <w:rFonts w:ascii="游ゴシック" w:hAnsi="游ゴシック" w:eastAsia="游ゴシック"/>
          <w:b/>
          <w:sz w:val="21"/>
        </w:rPr>
        <w:t>令和8年8月末を「全資料の受領日」ではなく、「未受領時の扱いも含めて評価方法を確定する締切」として運用させていただきたいと考えております。これにより、資料の到着を待って評価全体が停止することを避けられます。</w:t>
      </w:r>
    </w:p>
    <w:p>
      <w:pPr>
        <w:pStyle w:val="Heading2"/>
        <w:keepNext/>
        <w:spacing w:before="180" w:after="60"/>
      </w:pPr>
      <w:r>
        <w:rPr>
          <w:rFonts w:ascii="游ゴシック" w:hAnsi="游ゴシック" w:eastAsia="游ゴシック"/>
          <w:b/>
          <w:color w:val="000000"/>
          <w:sz w:val="22"/>
        </w:rPr>
        <w:t>本報告に関連する成果品</w:t>
      </w:r>
    </w:p>
    <w:p>
      <w:pPr>
        <w:keepNext/>
        <w:spacing w:before="160" w:after="40"/>
      </w:pPr>
      <w:r>
        <w:rPr>
          <w:rFonts w:ascii="游ゴシック" w:hAnsi="游ゴシック" w:eastAsia="游ゴシック"/>
          <w:b/>
          <w:sz w:val="20"/>
        </w:rPr>
        <w:t>表16　第9期の評価に関する成果品</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2835"/>
            <w:shd w:val="clear" w:color="auto" w:fill="1F3864"/>
            <w:vAlign w:val="center"/>
          </w:tcPr>
          <w:p>
            <w:pPr>
              <w:spacing w:after="0"/>
              <w:jc w:val="center"/>
            </w:pPr>
            <w:r>
              <w:rPr>
                <w:rFonts w:ascii="游ゴシック" w:hAnsi="游ゴシック" w:eastAsia="游ゴシック"/>
                <w:b/>
                <w:color w:val="FFFFFF"/>
                <w:sz w:val="19"/>
              </w:rPr>
              <w:t>成果品</w:t>
            </w:r>
          </w:p>
        </w:tc>
        <w:tc>
          <w:tcPr>
            <w:tcW w:type="dxa" w:w="4082"/>
            <w:shd w:val="clear" w:color="auto" w:fill="1F3864"/>
            <w:vAlign w:val="center"/>
          </w:tcPr>
          <w:p>
            <w:pPr>
              <w:spacing w:after="0"/>
              <w:jc w:val="center"/>
            </w:pPr>
            <w:r>
              <w:rPr>
                <w:rFonts w:ascii="游ゴシック" w:hAnsi="游ゴシック" w:eastAsia="游ゴシック"/>
                <w:b/>
                <w:color w:val="FFFFFF"/>
                <w:sz w:val="19"/>
              </w:rPr>
              <w:t>内容</w:t>
            </w:r>
          </w:p>
        </w:tc>
        <w:tc>
          <w:tcPr>
            <w:tcW w:type="dxa" w:w="2835"/>
            <w:shd w:val="clear" w:color="auto" w:fill="1F3864"/>
            <w:vAlign w:val="center"/>
          </w:tcPr>
          <w:p>
            <w:pPr>
              <w:spacing w:after="0"/>
              <w:jc w:val="center"/>
            </w:pPr>
            <w:r>
              <w:rPr>
                <w:rFonts w:ascii="游ゴシック" w:hAnsi="游ゴシック" w:eastAsia="游ゴシック"/>
                <w:b/>
                <w:color w:val="FFFFFF"/>
                <w:sz w:val="19"/>
              </w:rPr>
              <w:t>本報告との関係</w:t>
            </w:r>
          </w:p>
        </w:tc>
      </w:tr>
      <w:tr>
        <w:trPr>
          <w:cantSplit/>
        </w:trPr>
        <w:tc>
          <w:tcPr>
            <w:tcW w:type="dxa" w:w="2835"/>
            <w:vAlign w:val="center"/>
          </w:tcPr>
          <w:p>
            <w:pPr>
              <w:spacing w:after="0"/>
            </w:pPr>
            <w:r>
              <w:rPr>
                <w:rFonts w:ascii="游ゴシック" w:hAnsi="游ゴシック" w:eastAsia="游ゴシック"/>
                <w:b/>
                <w:sz w:val="19"/>
              </w:rPr>
              <w:t>妥当性検証報告書（24シート）</w:t>
            </w:r>
          </w:p>
        </w:tc>
        <w:tc>
          <w:tcPr>
            <w:tcW w:type="dxa" w:w="4082"/>
            <w:vAlign w:val="center"/>
          </w:tcPr>
          <w:p>
            <w:pPr>
              <w:spacing w:after="0"/>
            </w:pPr>
            <w:r>
              <w:rPr>
                <w:rFonts w:ascii="游ゴシック" w:hAnsi="游ゴシック" w:eastAsia="游ゴシック"/>
                <w:b w:val="0"/>
                <w:sz w:val="19"/>
              </w:rPr>
              <w:t>第9期KPI・需要推計・給付費と保険料・供給基盤・国及び北海道の方針との整合など24の観点による検証</w:t>
            </w:r>
          </w:p>
        </w:tc>
        <w:tc>
          <w:tcPr>
            <w:tcW w:type="dxa" w:w="2835"/>
            <w:vAlign w:val="center"/>
          </w:tcPr>
          <w:p>
            <w:pPr>
              <w:spacing w:after="0"/>
            </w:pPr>
            <w:r>
              <w:rPr>
                <w:rFonts w:ascii="游ゴシック" w:hAnsi="游ゴシック" w:eastAsia="游ゴシック"/>
                <w:b w:val="0"/>
                <w:sz w:val="19"/>
              </w:rPr>
              <w:t>評価の基礎。主要所見20件</w:t>
            </w:r>
          </w:p>
        </w:tc>
      </w:tr>
      <w:tr>
        <w:trPr>
          <w:cantSplit/>
        </w:trPr>
        <w:tc>
          <w:tcPr>
            <w:tcW w:type="dxa" w:w="2835"/>
            <w:shd w:val="clear" w:color="auto" w:fill="F2F5FA"/>
            <w:vAlign w:val="center"/>
          </w:tcPr>
          <w:p>
            <w:pPr>
              <w:spacing w:after="0"/>
            </w:pPr>
            <w:r>
              <w:rPr>
                <w:rFonts w:ascii="游ゴシック" w:hAnsi="游ゴシック" w:eastAsia="游ゴシック"/>
                <w:b/>
                <w:sz w:val="19"/>
              </w:rPr>
              <w:t>第9期施策と調査・KPIの紐付けレビュー（7シート）</w:t>
            </w:r>
          </w:p>
        </w:tc>
        <w:tc>
          <w:tcPr>
            <w:tcW w:type="dxa" w:w="4082"/>
            <w:shd w:val="clear" w:color="auto" w:fill="F2F5FA"/>
            <w:vAlign w:val="center"/>
          </w:tcPr>
          <w:p>
            <w:pPr>
              <w:spacing w:after="0"/>
            </w:pPr>
            <w:r>
              <w:rPr>
                <w:rFonts w:ascii="游ゴシック" w:hAnsi="游ゴシック" w:eastAsia="游ゴシック"/>
                <w:b w:val="0"/>
                <w:sz w:val="19"/>
              </w:rPr>
              <w:t>19施策と4調査・代表KPIの対応と判定</w:t>
            </w:r>
          </w:p>
        </w:tc>
        <w:tc>
          <w:tcPr>
            <w:tcW w:type="dxa" w:w="2835"/>
            <w:shd w:val="clear" w:color="auto" w:fill="F2F5FA"/>
            <w:vAlign w:val="center"/>
          </w:tcPr>
          <w:p>
            <w:pPr>
              <w:spacing w:after="0"/>
            </w:pPr>
            <w:r>
              <w:rPr>
                <w:rFonts w:ascii="游ゴシック" w:hAnsi="游ゴシック" w:eastAsia="游ゴシック"/>
                <w:b w:val="0"/>
                <w:sz w:val="19"/>
              </w:rPr>
              <w:t>第4節（構造評価）の根拠</w:t>
            </w:r>
          </w:p>
        </w:tc>
      </w:tr>
      <w:tr>
        <w:trPr>
          <w:cantSplit/>
        </w:trPr>
        <w:tc>
          <w:tcPr>
            <w:tcW w:type="dxa" w:w="2835"/>
            <w:vAlign w:val="center"/>
          </w:tcPr>
          <w:p>
            <w:pPr>
              <w:spacing w:after="0"/>
            </w:pPr>
            <w:r>
              <w:rPr>
                <w:rFonts w:ascii="游ゴシック" w:hAnsi="游ゴシック" w:eastAsia="游ゴシック"/>
                <w:b/>
                <w:sz w:val="19"/>
              </w:rPr>
              <w:t>第9期施策別評価表（中間版）と暫定評価ルール（6シート）</w:t>
            </w:r>
          </w:p>
        </w:tc>
        <w:tc>
          <w:tcPr>
            <w:tcW w:type="dxa" w:w="4082"/>
            <w:vAlign w:val="center"/>
          </w:tcPr>
          <w:p>
            <w:pPr>
              <w:spacing w:after="0"/>
            </w:pPr>
            <w:r>
              <w:rPr>
                <w:rFonts w:ascii="游ゴシック" w:hAnsi="游ゴシック" w:eastAsia="游ゴシック"/>
                <w:b w:val="0"/>
                <w:sz w:val="19"/>
              </w:rPr>
              <w:t>施策別評価表の受け皿、実績の入力様式、暫定評価ルール、委員会用スコアカード</w:t>
            </w:r>
          </w:p>
        </w:tc>
        <w:tc>
          <w:tcPr>
            <w:tcW w:type="dxa" w:w="2835"/>
            <w:vAlign w:val="center"/>
          </w:tcPr>
          <w:p>
            <w:pPr>
              <w:spacing w:after="0"/>
            </w:pPr>
            <w:r>
              <w:rPr>
                <w:rFonts w:ascii="游ゴシック" w:hAnsi="游ゴシック" w:eastAsia="游ゴシック"/>
                <w:b w:val="0"/>
                <w:sz w:val="19"/>
              </w:rPr>
              <w:t>第5節（不足）・第7節（9月以降）の根拠</w:t>
            </w:r>
          </w:p>
        </w:tc>
      </w:tr>
      <w:tr>
        <w:trPr>
          <w:cantSplit/>
        </w:trPr>
        <w:tc>
          <w:tcPr>
            <w:tcW w:type="dxa" w:w="2835"/>
            <w:shd w:val="clear" w:color="auto" w:fill="F2F5FA"/>
            <w:vAlign w:val="center"/>
          </w:tcPr>
          <w:p>
            <w:pPr>
              <w:spacing w:after="0"/>
            </w:pPr>
            <w:r>
              <w:rPr>
                <w:rFonts w:ascii="游ゴシック" w:hAnsi="游ゴシック" w:eastAsia="游ゴシック"/>
                <w:b/>
                <w:sz w:val="19"/>
              </w:rPr>
              <w:t>施策体系新旧対照表（5シート）</w:t>
            </w:r>
          </w:p>
        </w:tc>
        <w:tc>
          <w:tcPr>
            <w:tcW w:type="dxa" w:w="4082"/>
            <w:shd w:val="clear" w:color="auto" w:fill="F2F5FA"/>
            <w:vAlign w:val="center"/>
          </w:tcPr>
          <w:p>
            <w:pPr>
              <w:spacing w:after="0"/>
            </w:pPr>
            <w:r>
              <w:rPr>
                <w:rFonts w:ascii="游ゴシック" w:hAnsi="游ゴシック" w:eastAsia="游ゴシック"/>
                <w:b w:val="0"/>
                <w:sz w:val="19"/>
              </w:rPr>
              <w:t>第9期と第10期の基本目標・施策・KPIの対照</w:t>
            </w:r>
          </w:p>
        </w:tc>
        <w:tc>
          <w:tcPr>
            <w:tcW w:type="dxa" w:w="2835"/>
            <w:shd w:val="clear" w:color="auto" w:fill="F2F5FA"/>
            <w:vAlign w:val="center"/>
          </w:tcPr>
          <w:p>
            <w:pPr>
              <w:spacing w:after="0"/>
            </w:pPr>
            <w:r>
              <w:rPr>
                <w:rFonts w:ascii="游ゴシック" w:hAnsi="游ゴシック" w:eastAsia="游ゴシック"/>
                <w:b w:val="0"/>
                <w:sz w:val="19"/>
              </w:rPr>
              <w:t>第4節（構造評価）の前提</w:t>
            </w:r>
          </w:p>
        </w:tc>
      </w:tr>
      <w:tr>
        <w:trPr>
          <w:cantSplit/>
        </w:trPr>
        <w:tc>
          <w:tcPr>
            <w:tcW w:type="dxa" w:w="2835"/>
            <w:vAlign w:val="center"/>
          </w:tcPr>
          <w:p>
            <w:pPr>
              <w:spacing w:after="0"/>
            </w:pPr>
            <w:r>
              <w:rPr>
                <w:rFonts w:ascii="游ゴシック" w:hAnsi="游ゴシック" w:eastAsia="游ゴシック"/>
                <w:b/>
                <w:sz w:val="19"/>
              </w:rPr>
              <w:t>認定率の補足分析</w:t>
            </w:r>
          </w:p>
        </w:tc>
        <w:tc>
          <w:tcPr>
            <w:tcW w:type="dxa" w:w="4082"/>
            <w:vAlign w:val="center"/>
          </w:tcPr>
          <w:p>
            <w:pPr>
              <w:spacing w:after="0"/>
            </w:pPr>
            <w:r>
              <w:rPr>
                <w:rFonts w:ascii="游ゴシック" w:hAnsi="游ゴシック" w:eastAsia="游ゴシック"/>
                <w:b w:val="0"/>
                <w:sz w:val="19"/>
              </w:rPr>
              <w:t>年齢階級別及び年齢調整済み認定率の推移</w:t>
            </w:r>
          </w:p>
        </w:tc>
        <w:tc>
          <w:tcPr>
            <w:tcW w:type="dxa" w:w="2835"/>
            <w:vAlign w:val="center"/>
          </w:tcPr>
          <w:p>
            <w:pPr>
              <w:spacing w:after="0"/>
            </w:pPr>
            <w:r>
              <w:rPr>
                <w:rFonts w:ascii="游ゴシック" w:hAnsi="游ゴシック" w:eastAsia="游ゴシック"/>
                <w:b w:val="0"/>
                <w:sz w:val="19"/>
              </w:rPr>
              <w:t>第3節（成果評価）の根拠</w:t>
            </w:r>
          </w:p>
        </w:tc>
      </w:tr>
      <w:tr>
        <w:trPr>
          <w:cantSplit/>
        </w:trPr>
        <w:tc>
          <w:tcPr>
            <w:tcW w:type="dxa" w:w="2835"/>
            <w:shd w:val="clear" w:color="auto" w:fill="F2F5FA"/>
            <w:vAlign w:val="center"/>
          </w:tcPr>
          <w:p>
            <w:pPr>
              <w:spacing w:after="0"/>
            </w:pPr>
            <w:r>
              <w:rPr>
                <w:rFonts w:ascii="游ゴシック" w:hAnsi="游ゴシック" w:eastAsia="游ゴシック"/>
                <w:b/>
                <w:sz w:val="19"/>
              </w:rPr>
              <w:t>発注者確認事項一覧</w:t>
            </w:r>
          </w:p>
        </w:tc>
        <w:tc>
          <w:tcPr>
            <w:tcW w:type="dxa" w:w="4082"/>
            <w:shd w:val="clear" w:color="auto" w:fill="F2F5FA"/>
            <w:vAlign w:val="center"/>
          </w:tcPr>
          <w:p>
            <w:pPr>
              <w:spacing w:after="0"/>
            </w:pPr>
            <w:r>
              <w:rPr>
                <w:rFonts w:ascii="游ゴシック" w:hAnsi="游ゴシック" w:eastAsia="游ゴシック"/>
                <w:b w:val="0"/>
                <w:sz w:val="19"/>
              </w:rPr>
              <w:t>不足資料と、資料がない場合の評価の扱い</w:t>
            </w:r>
          </w:p>
        </w:tc>
        <w:tc>
          <w:tcPr>
            <w:tcW w:type="dxa" w:w="2835"/>
            <w:shd w:val="clear" w:color="auto" w:fill="F2F5FA"/>
            <w:vAlign w:val="center"/>
          </w:tcPr>
          <w:p>
            <w:pPr>
              <w:spacing w:after="0"/>
            </w:pPr>
            <w:r>
              <w:rPr>
                <w:rFonts w:ascii="游ゴシック" w:hAnsi="游ゴシック" w:eastAsia="游ゴシック"/>
                <w:b w:val="0"/>
                <w:sz w:val="19"/>
              </w:rPr>
              <w:t>第5節（不足）の根拠</w:t>
            </w:r>
          </w:p>
        </w:tc>
      </w:tr>
      <w:tr>
        <w:trPr>
          <w:cantSplit/>
        </w:trPr>
        <w:tc>
          <w:tcPr>
            <w:tcW w:type="dxa" w:w="2835"/>
            <w:vAlign w:val="center"/>
          </w:tcPr>
          <w:p>
            <w:pPr>
              <w:spacing w:after="0"/>
            </w:pPr>
            <w:r>
              <w:rPr>
                <w:rFonts w:ascii="游ゴシック" w:hAnsi="游ゴシック" w:eastAsia="游ゴシック"/>
                <w:b/>
                <w:sz w:val="19"/>
              </w:rPr>
              <w:t>協議用素案（令和8年8月時点） 第3章</w:t>
            </w:r>
          </w:p>
        </w:tc>
        <w:tc>
          <w:tcPr>
            <w:tcW w:type="dxa" w:w="4082"/>
            <w:vAlign w:val="center"/>
          </w:tcPr>
          <w:p>
            <w:pPr>
              <w:spacing w:after="0"/>
            </w:pPr>
            <w:r>
              <w:rPr>
                <w:rFonts w:ascii="游ゴシック" w:hAnsi="游ゴシック" w:eastAsia="游ゴシック"/>
                <w:b w:val="0"/>
                <w:sz w:val="19"/>
              </w:rPr>
              <w:t>第9期計画の実施状況と評価（第1〜5節）</w:t>
            </w:r>
          </w:p>
        </w:tc>
        <w:tc>
          <w:tcPr>
            <w:tcW w:type="dxa" w:w="2835"/>
            <w:vAlign w:val="center"/>
          </w:tcPr>
          <w:p>
            <w:pPr>
              <w:spacing w:after="0"/>
            </w:pPr>
            <w:r>
              <w:rPr>
                <w:rFonts w:ascii="游ゴシック" w:hAnsi="游ゴシック" w:eastAsia="游ゴシック"/>
                <w:b w:val="0"/>
                <w:sz w:val="19"/>
              </w:rPr>
              <w:t>本報告の内容を計画本文に反映したもの</w:t>
            </w:r>
          </w:p>
        </w:tc>
      </w:tr>
    </w:tbl>
    <w:sectPr w:rsidR="00FC693F" w:rsidRPr="0006063C" w:rsidSect="00034616">
      <w:pgSz w:w="11906" w:h="16838"/>
      <w:pgMar w:top="1134" w:right="1077" w:bottom="113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