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游ゴシック" w:hAnsi="游ゴシック" w:eastAsia="游ゴシック"/>
          <w:b/>
          <w:sz w:val="28"/>
        </w:rPr>
        <w:t>大雪地区広域連合　第10期介護保険事業計画</w:t>
      </w:r>
    </w:p>
    <w:p>
      <w:pPr>
        <w:spacing w:after="480"/>
        <w:jc w:val="center"/>
      </w:pPr>
      <w:r>
        <w:rPr>
          <w:rFonts w:ascii="游ゴシック" w:hAnsi="游ゴシック" w:eastAsia="游ゴシック"/>
          <w:b/>
          <w:color w:val="1F3864"/>
          <w:sz w:val="40"/>
        </w:rPr>
        <w:t>構成3町ヒアリング資料</w:t>
      </w:r>
    </w:p>
    <w:p>
      <w:pPr>
        <w:jc w:val="center"/>
      </w:pPr>
      <w:r>
        <w:rPr>
          <w:rFonts w:ascii="游ゴシック" w:hAnsi="游ゴシック" w:eastAsia="游ゴシック"/>
          <w:sz w:val="22"/>
        </w:rPr>
        <w:t>現在の試算の共有と、ご提供をお願いする資料</w:t>
      </w:r>
    </w:p>
    <w:p>
      <w:pPr>
        <w:spacing w:before="600"/>
        <w:jc w:val="center"/>
      </w:pPr>
      <w:r>
        <w:rPr>
          <w:rFonts w:ascii="游ゴシック" w:hAnsi="游ゴシック" w:eastAsia="游ゴシック"/>
          <w:sz w:val="22"/>
        </w:rPr>
        <w:t>令和8年8月</w:t>
      </w:r>
    </w:p>
    <w:p>
      <w:r>
        <w:br w:type="page"/>
      </w:r>
    </w:p>
    <w:p>
      <w:pPr>
        <w:keepNext/>
        <w:spacing w:before="280" w:after="120"/>
      </w:pPr>
      <w:r>
        <w:rPr>
          <w:rFonts w:ascii="游ゴシック" w:hAnsi="游ゴシック" w:eastAsia="游ゴシック"/>
          <w:b/>
          <w:color w:val="1F3864"/>
          <w:sz w:val="26"/>
        </w:rPr>
        <w:t>第1節　この資料の趣旨と進め方</w:t>
      </w:r>
    </w:p>
    <w:p>
      <w:r>
        <w:rPr>
          <w:rFonts w:ascii="游ゴシック" w:hAnsi="游ゴシック" w:eastAsia="游ゴシック"/>
          <w:b w:val="0"/>
          <w:sz w:val="21"/>
        </w:rPr>
        <w:t>令和8年8月6日のキックオフ会議において、構成3町のデータを平準化させて計画の施策へ反映させること、及び令和6〜8年度の第9期実績を8月中旬から下旬にかけて受領することが確認されました。</w:t>
      </w:r>
    </w:p>
    <w:p>
      <w:r>
        <w:rPr>
          <w:rFonts w:ascii="游ゴシック" w:hAnsi="游ゴシック" w:eastAsia="游ゴシック"/>
          <w:b w:val="0"/>
          <w:sz w:val="21"/>
        </w:rPr>
        <w:t>本資料は、構成3町の皆様へのヒアリングにおいて、現在の試算の内容と前提をご説明し、ご提供をお願いする資料を提示し、町別の論点についてお考えを伺うために作成したものです。</w:t>
      </w:r>
    </w:p>
    <w:p>
      <w:pPr>
        <w:keepNext/>
        <w:spacing w:before="180" w:after="60"/>
      </w:pPr>
      <w:r>
        <w:rPr>
          <w:rFonts w:ascii="游ゴシック" w:hAnsi="游ゴシック" w:eastAsia="游ゴシック"/>
          <w:b/>
          <w:sz w:val="22"/>
        </w:rPr>
        <w:t>1　ヒアリングの目的</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567"/>
            <w:shd w:val="clear" w:color="auto" w:fill="1F3864"/>
            <w:vAlign w:val="center"/>
          </w:tcPr>
          <w:p>
            <w:pPr>
              <w:spacing w:after="0"/>
              <w:jc w:val="center"/>
            </w:pPr>
            <w:r>
              <w:rPr>
                <w:rFonts w:ascii="游ゴシック" w:hAnsi="游ゴシック" w:eastAsia="游ゴシック"/>
                <w:b/>
                <w:color w:val="FFFFFF"/>
                <w:sz w:val="19"/>
              </w:rPr>
            </w:r>
          </w:p>
        </w:tc>
        <w:tc>
          <w:tcPr>
            <w:tcW w:type="dxa" w:w="2268"/>
            <w:shd w:val="clear" w:color="auto" w:fill="1F3864"/>
            <w:vAlign w:val="center"/>
          </w:tcPr>
          <w:p>
            <w:pPr>
              <w:spacing w:after="0"/>
              <w:jc w:val="center"/>
            </w:pPr>
            <w:r>
              <w:rPr>
                <w:rFonts w:ascii="游ゴシック" w:hAnsi="游ゴシック" w:eastAsia="游ゴシック"/>
                <w:b/>
                <w:color w:val="FFFFFF"/>
                <w:sz w:val="19"/>
              </w:rPr>
              <w:t>目的</w:t>
            </w:r>
          </w:p>
        </w:tc>
        <w:tc>
          <w:tcPr>
            <w:tcW w:type="dxa" w:w="6917"/>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567"/>
            <w:vAlign w:val="center"/>
          </w:tcPr>
          <w:p>
            <w:pPr>
              <w:spacing w:after="0"/>
              <w:jc w:val="center"/>
            </w:pPr>
            <w:r>
              <w:rPr>
                <w:rFonts w:ascii="游ゴシック" w:hAnsi="游ゴシック" w:eastAsia="游ゴシック"/>
                <w:b w:val="0"/>
                <w:sz w:val="19"/>
              </w:rPr>
              <w:t>①</w:t>
            </w:r>
          </w:p>
        </w:tc>
        <w:tc>
          <w:tcPr>
            <w:tcW w:type="dxa" w:w="2268"/>
            <w:vAlign w:val="center"/>
          </w:tcPr>
          <w:p>
            <w:pPr>
              <w:spacing w:after="0"/>
            </w:pPr>
            <w:r>
              <w:rPr>
                <w:rFonts w:ascii="游ゴシック" w:hAnsi="游ゴシック" w:eastAsia="游ゴシック"/>
                <w:b w:val="0"/>
                <w:sz w:val="19"/>
              </w:rPr>
              <w:t>資料のご提供のお願い</w:t>
            </w:r>
          </w:p>
        </w:tc>
        <w:tc>
          <w:tcPr>
            <w:tcW w:type="dxa" w:w="6917"/>
            <w:vAlign w:val="center"/>
          </w:tcPr>
          <w:p>
            <w:pPr>
              <w:spacing w:after="0"/>
            </w:pPr>
            <w:r>
              <w:rPr>
                <w:rFonts w:ascii="游ゴシック" w:hAnsi="游ゴシック" w:eastAsia="游ゴシック"/>
                <w:b w:val="0"/>
                <w:sz w:val="19"/>
              </w:rPr>
              <w:t>令和6〜8年度の施策・事業実績と、町別の第1号被保険者数（年齢階級別）。この2件は、これがないと業務そのものが完了しない資料です。</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9"/>
              </w:rPr>
              <w:t>②</w:t>
            </w:r>
          </w:p>
        </w:tc>
        <w:tc>
          <w:tcPr>
            <w:tcW w:type="dxa" w:w="2268"/>
            <w:shd w:val="clear" w:color="auto" w:fill="F2F5FA"/>
            <w:vAlign w:val="center"/>
          </w:tcPr>
          <w:p>
            <w:pPr>
              <w:spacing w:after="0"/>
            </w:pPr>
            <w:r>
              <w:rPr>
                <w:rFonts w:ascii="游ゴシック" w:hAnsi="游ゴシック" w:eastAsia="游ゴシック"/>
                <w:b w:val="0"/>
                <w:sz w:val="19"/>
              </w:rPr>
              <w:t>現在の試算の共有</w:t>
            </w:r>
          </w:p>
        </w:tc>
        <w:tc>
          <w:tcPr>
            <w:tcW w:type="dxa" w:w="6917"/>
            <w:shd w:val="clear" w:color="auto" w:fill="F2F5FA"/>
            <w:vAlign w:val="center"/>
          </w:tcPr>
          <w:p>
            <w:pPr>
              <w:spacing w:after="0"/>
            </w:pPr>
            <w:r>
              <w:rPr>
                <w:rFonts w:ascii="游ゴシック" w:hAnsi="游ゴシック" w:eastAsia="游ゴシック"/>
                <w:b w:val="0"/>
                <w:sz w:val="19"/>
              </w:rPr>
              <w:t>人口・認定者数・サービス見込量・保険料の現在の試算と、その前提。前提は決定していただくもので、受託者の案としてお示しします。</w:t>
            </w:r>
          </w:p>
        </w:tc>
      </w:tr>
      <w:tr>
        <w:trPr>
          <w:cantSplit/>
        </w:trPr>
        <w:tc>
          <w:tcPr>
            <w:tcW w:type="dxa" w:w="567"/>
            <w:vAlign w:val="center"/>
          </w:tcPr>
          <w:p>
            <w:pPr>
              <w:spacing w:after="0"/>
              <w:jc w:val="center"/>
            </w:pPr>
            <w:r>
              <w:rPr>
                <w:rFonts w:ascii="游ゴシック" w:hAnsi="游ゴシック" w:eastAsia="游ゴシック"/>
                <w:b w:val="0"/>
                <w:sz w:val="19"/>
              </w:rPr>
              <w:t>③</w:t>
            </w:r>
          </w:p>
        </w:tc>
        <w:tc>
          <w:tcPr>
            <w:tcW w:type="dxa" w:w="2268"/>
            <w:vAlign w:val="center"/>
          </w:tcPr>
          <w:p>
            <w:pPr>
              <w:spacing w:after="0"/>
            </w:pPr>
            <w:r>
              <w:rPr>
                <w:rFonts w:ascii="游ゴシック" w:hAnsi="游ゴシック" w:eastAsia="游ゴシック"/>
                <w:b w:val="0"/>
                <w:sz w:val="19"/>
              </w:rPr>
              <w:t>町別の論点の確認</w:t>
            </w:r>
          </w:p>
        </w:tc>
        <w:tc>
          <w:tcPr>
            <w:tcW w:type="dxa" w:w="6917"/>
            <w:vAlign w:val="center"/>
          </w:tcPr>
          <w:p>
            <w:pPr>
              <w:spacing w:after="0"/>
            </w:pPr>
            <w:r>
              <w:rPr>
                <w:rFonts w:ascii="游ゴシック" w:hAnsi="游ゴシック" w:eastAsia="游ゴシック"/>
                <w:b w:val="0"/>
                <w:sz w:val="19"/>
              </w:rPr>
              <w:t>自給率・供給体制・人口動態の3町間の差について、各町のお考えを伺います。</w:t>
            </w:r>
          </w:p>
        </w:tc>
      </w:tr>
    </w:tbl>
    <w:p>
      <w:pPr>
        <w:keepNext/>
        <w:spacing w:before="180" w:after="60"/>
      </w:pPr>
      <w:r>
        <w:rPr>
          <w:rFonts w:ascii="游ゴシック" w:hAnsi="游ゴシック" w:eastAsia="游ゴシック"/>
          <w:b/>
          <w:sz w:val="22"/>
        </w:rPr>
        <w:t>2　現在の作業の状況</w:t>
      </w:r>
    </w:p>
    <w:p>
      <w:r>
        <w:rPr>
          <w:rFonts w:ascii="游ゴシック" w:hAnsi="游ゴシック" w:eastAsia="游ゴシック"/>
          <w:b w:val="0"/>
          <w:sz w:val="21"/>
        </w:rPr>
        <w:t>令和8年8月6日現在、次の作業が完了しています。</w:t>
      </w:r>
    </w:p>
    <w:p>
      <w:pPr>
        <w:ind w:left="340" w:hanging="340"/>
      </w:pPr>
      <w:r>
        <w:rPr>
          <w:rFonts w:ascii="游ゴシック" w:hAnsi="游ゴシック" w:eastAsia="游ゴシック"/>
          <w:sz w:val="21"/>
        </w:rPr>
        <w:t>・実施済み4調査（在宅生活改善調査・居所変更実態調査・介護人材実態調査・介護予防・日常生活圏域ニーズ調査）の集計と分析</w:t>
      </w:r>
    </w:p>
    <w:p>
      <w:pPr>
        <w:ind w:left="340" w:hanging="340"/>
      </w:pPr>
      <w:r>
        <w:rPr>
          <w:rFonts w:ascii="游ゴシック" w:hAnsi="游ゴシック" w:eastAsia="游ゴシック"/>
          <w:sz w:val="21"/>
        </w:rPr>
        <w:t>・第9期計画の評価（代表KPI・施策体系・保険者機能強化推進交付金）</w:t>
      </w:r>
    </w:p>
    <w:p>
      <w:pPr>
        <w:ind w:left="340" w:hanging="340"/>
      </w:pPr>
      <w:r>
        <w:rPr>
          <w:rFonts w:ascii="游ゴシック" w:hAnsi="游ゴシック" w:eastAsia="游ゴシック"/>
          <w:sz w:val="21"/>
        </w:rPr>
        <w:t>・将来推計の第1段階（人口・認定者数）と第2段階（サービス見込量）</w:t>
      </w:r>
    </w:p>
    <w:p>
      <w:pPr>
        <w:ind w:left="340" w:hanging="340"/>
      </w:pPr>
      <w:r>
        <w:rPr>
          <w:rFonts w:ascii="游ゴシック" w:hAnsi="游ゴシック" w:eastAsia="游ゴシック"/>
          <w:sz w:val="21"/>
        </w:rPr>
        <w:t>・計画素案（第1章〜第6章及び資料編）と計画骨子案</w:t>
      </w:r>
    </w:p>
    <w:p>
      <w:r>
        <w:rPr>
          <w:rFonts w:ascii="游ゴシック" w:hAnsi="游ゴシック" w:eastAsia="游ゴシック"/>
          <w:b w:val="0"/>
          <w:sz w:val="21"/>
        </w:rPr>
        <w:t>残るのは、令和6〜8年度の事業実績による第9期のプロセス評価と、給付費・保険料の算定（第3段階）です。いずれも資料のご提供を待っている状態です。</w:t>
      </w:r>
    </w:p>
    <w:p>
      <w:pPr>
        <w:ind w:left="227"/>
      </w:pPr>
      <w:r>
        <w:rPr>
          <w:rFonts w:ascii="游ゴシック" w:hAnsi="游ゴシック" w:eastAsia="游ゴシック"/>
          <w:sz w:val="18"/>
        </w:rPr>
        <w:t>※ 本資料の数値は令和8年8月6日現在の試算です。前提が決定していないため、いずれも確定値ではありません。特に給付費と保険料は、単価・基金残高・収納率・所得段階別被保険者数の受領後に算定します。</w:t>
      </w:r>
    </w:p>
    <w:p>
      <w:r>
        <w:br w:type="page"/>
      </w:r>
    </w:p>
    <w:p>
      <w:pPr>
        <w:keepNext/>
        <w:spacing w:before="280" w:after="120"/>
      </w:pPr>
      <w:r>
        <w:rPr>
          <w:rFonts w:ascii="游ゴシック" w:hAnsi="游ゴシック" w:eastAsia="游ゴシック"/>
          <w:b/>
          <w:color w:val="1F3864"/>
          <w:sz w:val="26"/>
        </w:rPr>
        <w:t>第2節　現在の試算（3町計）</w:t>
      </w:r>
    </w:p>
    <w:p>
      <w:pPr>
        <w:keepNext/>
        <w:spacing w:before="180" w:after="60"/>
      </w:pPr>
      <w:r>
        <w:rPr>
          <w:rFonts w:ascii="游ゴシック" w:hAnsi="游ゴシック" w:eastAsia="游ゴシック"/>
          <w:b/>
          <w:sz w:val="22"/>
        </w:rPr>
        <w:t>1　人口と認定者数</w:t>
      </w:r>
    </w:p>
    <w:p>
      <w:r>
        <w:rPr>
          <w:rFonts w:ascii="游ゴシック" w:hAnsi="游ゴシック" w:eastAsia="游ゴシック"/>
          <w:b w:val="0"/>
          <w:sz w:val="21"/>
        </w:rPr>
        <w:t>人口は地域包括ケア「見える化」システムのA系列（国勢調査及び国立社会保障・人口問題研究所推計）、認定者数は要介護度別の認定率を令和元年から令和8年の趨勢で令和11年度まで延長した値です。</w:t>
      </w:r>
    </w:p>
    <w:p>
      <w:pPr>
        <w:keepNext/>
        <w:spacing w:before="160" w:after="40"/>
      </w:pPr>
      <w:r>
        <w:rPr>
          <w:rFonts w:ascii="游ゴシック" w:hAnsi="游ゴシック" w:eastAsia="游ゴシック"/>
          <w:b/>
          <w:sz w:val="20"/>
        </w:rPr>
        <w:t>表1　人口と認定者数の試算（3町計）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9"/>
              </w:rPr>
              <w:t>区分</w:t>
            </w:r>
          </w:p>
        </w:tc>
        <w:tc>
          <w:tcPr>
            <w:tcW w:type="dxa" w:w="1587"/>
            <w:shd w:val="clear" w:color="auto" w:fill="1F3864"/>
            <w:vAlign w:val="center"/>
          </w:tcPr>
          <w:p>
            <w:pPr>
              <w:spacing w:after="0"/>
              <w:jc w:val="center"/>
            </w:pPr>
            <w:r>
              <w:rPr>
                <w:rFonts w:ascii="游ゴシック" w:hAnsi="游ゴシック" w:eastAsia="游ゴシック"/>
                <w:b/>
                <w:color w:val="FFFFFF"/>
                <w:sz w:val="19"/>
              </w:rPr>
              <w:t>令和2年度</w:t>
            </w:r>
          </w:p>
        </w:tc>
        <w:tc>
          <w:tcPr>
            <w:tcW w:type="dxa" w:w="1587"/>
            <w:shd w:val="clear" w:color="auto" w:fill="1F3864"/>
            <w:vAlign w:val="center"/>
          </w:tcPr>
          <w:p>
            <w:pPr>
              <w:spacing w:after="0"/>
              <w:jc w:val="center"/>
            </w:pPr>
            <w:r>
              <w:rPr>
                <w:rFonts w:ascii="游ゴシック" w:hAnsi="游ゴシック" w:eastAsia="游ゴシック"/>
                <w:b/>
                <w:color w:val="FFFFFF"/>
                <w:sz w:val="19"/>
              </w:rPr>
              <w:t>令和7年度</w:t>
            </w:r>
          </w:p>
        </w:tc>
        <w:tc>
          <w:tcPr>
            <w:tcW w:type="dxa" w:w="1587"/>
            <w:shd w:val="clear" w:color="auto" w:fill="1F3864"/>
            <w:vAlign w:val="center"/>
          </w:tcPr>
          <w:p>
            <w:pPr>
              <w:spacing w:after="0"/>
              <w:jc w:val="center"/>
            </w:pPr>
            <w:r>
              <w:rPr>
                <w:rFonts w:ascii="游ゴシック" w:hAnsi="游ゴシック" w:eastAsia="游ゴシック"/>
                <w:b/>
                <w:color w:val="FFFFFF"/>
                <w:sz w:val="19"/>
              </w:rPr>
              <w:t>令和9年度</w:t>
            </w:r>
          </w:p>
        </w:tc>
        <w:tc>
          <w:tcPr>
            <w:tcW w:type="dxa" w:w="1587"/>
            <w:shd w:val="clear" w:color="auto" w:fill="1F3864"/>
            <w:vAlign w:val="center"/>
          </w:tcPr>
          <w:p>
            <w:pPr>
              <w:spacing w:after="0"/>
              <w:jc w:val="center"/>
            </w:pPr>
            <w:r>
              <w:rPr>
                <w:rFonts w:ascii="游ゴシック" w:hAnsi="游ゴシック" w:eastAsia="游ゴシック"/>
                <w:b/>
                <w:color w:val="FFFFFF"/>
                <w:sz w:val="19"/>
              </w:rPr>
              <w:t>令和11年度</w:t>
            </w:r>
          </w:p>
        </w:tc>
        <w:tc>
          <w:tcPr>
            <w:tcW w:type="dxa" w:w="1474"/>
            <w:shd w:val="clear" w:color="auto" w:fill="1F3864"/>
            <w:vAlign w:val="center"/>
          </w:tcPr>
          <w:p>
            <w:pPr>
              <w:spacing w:after="0"/>
              <w:jc w:val="center"/>
            </w:pPr>
            <w:r>
              <w:rPr>
                <w:rFonts w:ascii="游ゴシック" w:hAnsi="游ゴシック" w:eastAsia="游ゴシック"/>
                <w:b/>
                <w:color w:val="FFFFFF"/>
                <w:sz w:val="19"/>
              </w:rPr>
              <w:t>令和22年度</w:t>
            </w:r>
          </w:p>
        </w:tc>
      </w:tr>
      <w:tr>
        <w:trPr>
          <w:cantSplit/>
        </w:trPr>
        <w:tc>
          <w:tcPr>
            <w:tcW w:type="dxa" w:w="1928"/>
            <w:vAlign w:val="center"/>
          </w:tcPr>
          <w:p>
            <w:pPr>
              <w:spacing w:after="0"/>
            </w:pPr>
            <w:r>
              <w:rPr>
                <w:rFonts w:ascii="游ゴシック" w:hAnsi="游ゴシック" w:eastAsia="游ゴシック"/>
                <w:b/>
                <w:sz w:val="19"/>
              </w:rPr>
              <w:t>総人口</w:t>
            </w:r>
          </w:p>
        </w:tc>
        <w:tc>
          <w:tcPr>
            <w:tcW w:type="dxa" w:w="1587"/>
            <w:vAlign w:val="center"/>
          </w:tcPr>
          <w:p>
            <w:pPr>
              <w:spacing w:after="0"/>
              <w:jc w:val="center"/>
            </w:pPr>
            <w:r>
              <w:rPr>
                <w:rFonts w:ascii="游ゴシック" w:hAnsi="游ゴシック" w:eastAsia="游ゴシック"/>
                <w:b w:val="0"/>
                <w:sz w:val="19"/>
              </w:rPr>
              <w:t>28,109</w:t>
            </w:r>
          </w:p>
        </w:tc>
        <w:tc>
          <w:tcPr>
            <w:tcW w:type="dxa" w:w="1587"/>
            <w:vAlign w:val="center"/>
          </w:tcPr>
          <w:p>
            <w:pPr>
              <w:spacing w:after="0"/>
              <w:jc w:val="center"/>
            </w:pPr>
            <w:r>
              <w:rPr>
                <w:rFonts w:ascii="游ゴシック" w:hAnsi="游ゴシック" w:eastAsia="游ゴシック"/>
                <w:b w:val="0"/>
                <w:sz w:val="19"/>
              </w:rPr>
              <w:t>27,102</w:t>
            </w:r>
          </w:p>
        </w:tc>
        <w:tc>
          <w:tcPr>
            <w:tcW w:type="dxa" w:w="1587"/>
            <w:vAlign w:val="center"/>
          </w:tcPr>
          <w:p>
            <w:pPr>
              <w:spacing w:after="0"/>
              <w:jc w:val="center"/>
            </w:pPr>
            <w:r>
              <w:rPr>
                <w:rFonts w:ascii="游ゴシック" w:hAnsi="游ゴシック" w:eastAsia="游ゴシック"/>
                <w:b w:val="0"/>
                <w:sz w:val="19"/>
              </w:rPr>
              <w:t>26,649</w:t>
            </w:r>
          </w:p>
        </w:tc>
        <w:tc>
          <w:tcPr>
            <w:tcW w:type="dxa" w:w="1587"/>
            <w:vAlign w:val="center"/>
          </w:tcPr>
          <w:p>
            <w:pPr>
              <w:spacing w:after="0"/>
              <w:jc w:val="center"/>
            </w:pPr>
            <w:r>
              <w:rPr>
                <w:rFonts w:ascii="游ゴシック" w:hAnsi="游ゴシック" w:eastAsia="游ゴシック"/>
                <w:b w:val="0"/>
                <w:sz w:val="19"/>
              </w:rPr>
              <w:t>26,195</w:t>
            </w:r>
          </w:p>
        </w:tc>
        <w:tc>
          <w:tcPr>
            <w:tcW w:type="dxa" w:w="1474"/>
            <w:vAlign w:val="center"/>
          </w:tcPr>
          <w:p>
            <w:pPr>
              <w:spacing w:after="0"/>
              <w:jc w:val="center"/>
            </w:pPr>
            <w:r>
              <w:rPr>
                <w:rFonts w:ascii="游ゴシック" w:hAnsi="游ゴシック" w:eastAsia="游ゴシック"/>
                <w:b w:val="0"/>
                <w:sz w:val="19"/>
              </w:rPr>
              <w:t>23,582</w:t>
            </w:r>
          </w:p>
        </w:tc>
      </w:tr>
      <w:tr>
        <w:trPr>
          <w:cantSplit/>
        </w:trPr>
        <w:tc>
          <w:tcPr>
            <w:tcW w:type="dxa" w:w="1928"/>
            <w:shd w:val="clear" w:color="auto" w:fill="F2F5FA"/>
            <w:vAlign w:val="center"/>
          </w:tcPr>
          <w:p>
            <w:pPr>
              <w:spacing w:after="0"/>
            </w:pPr>
            <w:r>
              <w:rPr>
                <w:rFonts w:ascii="游ゴシック" w:hAnsi="游ゴシック" w:eastAsia="游ゴシック"/>
                <w:b/>
                <w:sz w:val="19"/>
              </w:rPr>
              <w:t>65歳以上</w:t>
            </w:r>
          </w:p>
        </w:tc>
        <w:tc>
          <w:tcPr>
            <w:tcW w:type="dxa" w:w="1587"/>
            <w:shd w:val="clear" w:color="auto" w:fill="F2F5FA"/>
            <w:vAlign w:val="center"/>
          </w:tcPr>
          <w:p>
            <w:pPr>
              <w:spacing w:after="0"/>
              <w:jc w:val="center"/>
            </w:pPr>
            <w:r>
              <w:rPr>
                <w:rFonts w:ascii="游ゴシック" w:hAnsi="游ゴシック" w:eastAsia="游ゴシック"/>
                <w:b w:val="0"/>
                <w:sz w:val="19"/>
              </w:rPr>
              <w:t>9,437</w:t>
            </w:r>
          </w:p>
        </w:tc>
        <w:tc>
          <w:tcPr>
            <w:tcW w:type="dxa" w:w="1587"/>
            <w:shd w:val="clear" w:color="auto" w:fill="F2F5FA"/>
            <w:vAlign w:val="center"/>
          </w:tcPr>
          <w:p>
            <w:pPr>
              <w:spacing w:after="0"/>
              <w:jc w:val="center"/>
            </w:pPr>
            <w:r>
              <w:rPr>
                <w:rFonts w:ascii="游ゴシック" w:hAnsi="游ゴシック" w:eastAsia="游ゴシック"/>
                <w:b w:val="0"/>
                <w:sz w:val="19"/>
              </w:rPr>
              <w:t>9,323</w:t>
            </w:r>
          </w:p>
        </w:tc>
        <w:tc>
          <w:tcPr>
            <w:tcW w:type="dxa" w:w="1587"/>
            <w:shd w:val="clear" w:color="auto" w:fill="F2F5FA"/>
            <w:vAlign w:val="center"/>
          </w:tcPr>
          <w:p>
            <w:pPr>
              <w:spacing w:after="0"/>
              <w:jc w:val="center"/>
            </w:pPr>
            <w:r>
              <w:rPr>
                <w:rFonts w:ascii="游ゴシック" w:hAnsi="游ゴシック" w:eastAsia="游ゴシック"/>
                <w:b w:val="0"/>
                <w:sz w:val="19"/>
              </w:rPr>
              <w:t>9,318</w:t>
            </w:r>
          </w:p>
        </w:tc>
        <w:tc>
          <w:tcPr>
            <w:tcW w:type="dxa" w:w="1587"/>
            <w:shd w:val="clear" w:color="auto" w:fill="F2F5FA"/>
            <w:vAlign w:val="center"/>
          </w:tcPr>
          <w:p>
            <w:pPr>
              <w:spacing w:after="0"/>
              <w:jc w:val="center"/>
            </w:pPr>
            <w:r>
              <w:rPr>
                <w:rFonts w:ascii="游ゴシック" w:hAnsi="游ゴシック" w:eastAsia="游ゴシック"/>
                <w:b w:val="0"/>
                <w:sz w:val="19"/>
              </w:rPr>
              <w:t>9,313</w:t>
            </w:r>
          </w:p>
        </w:tc>
        <w:tc>
          <w:tcPr>
            <w:tcW w:type="dxa" w:w="1474"/>
            <w:shd w:val="clear" w:color="auto" w:fill="F2F5FA"/>
            <w:vAlign w:val="center"/>
          </w:tcPr>
          <w:p>
            <w:pPr>
              <w:spacing w:after="0"/>
              <w:jc w:val="center"/>
            </w:pPr>
            <w:r>
              <w:rPr>
                <w:rFonts w:ascii="游ゴシック" w:hAnsi="游ゴシック" w:eastAsia="游ゴシック"/>
                <w:b w:val="0"/>
                <w:sz w:val="19"/>
              </w:rPr>
              <w:t>9,352</w:t>
            </w:r>
          </w:p>
        </w:tc>
      </w:tr>
      <w:tr>
        <w:trPr>
          <w:cantSplit/>
        </w:trPr>
        <w:tc>
          <w:tcPr>
            <w:tcW w:type="dxa" w:w="1928"/>
            <w:vAlign w:val="center"/>
          </w:tcPr>
          <w:p>
            <w:pPr>
              <w:spacing w:after="0"/>
            </w:pPr>
            <w:r>
              <w:rPr>
                <w:rFonts w:ascii="游ゴシック" w:hAnsi="游ゴシック" w:eastAsia="游ゴシック"/>
                <w:b/>
                <w:sz w:val="19"/>
              </w:rPr>
              <w:t>うち75歳以上</w:t>
            </w:r>
          </w:p>
        </w:tc>
        <w:tc>
          <w:tcPr>
            <w:tcW w:type="dxa" w:w="1587"/>
            <w:vAlign w:val="center"/>
          </w:tcPr>
          <w:p>
            <w:pPr>
              <w:spacing w:after="0"/>
              <w:jc w:val="center"/>
            </w:pPr>
            <w:r>
              <w:rPr>
                <w:rFonts w:ascii="游ゴシック" w:hAnsi="游ゴシック" w:eastAsia="游ゴシック"/>
                <w:b w:val="0"/>
                <w:sz w:val="19"/>
              </w:rPr>
              <w:t>5,167</w:t>
            </w:r>
          </w:p>
        </w:tc>
        <w:tc>
          <w:tcPr>
            <w:tcW w:type="dxa" w:w="1587"/>
            <w:vAlign w:val="center"/>
          </w:tcPr>
          <w:p>
            <w:pPr>
              <w:spacing w:after="0"/>
              <w:jc w:val="center"/>
            </w:pPr>
            <w:r>
              <w:rPr>
                <w:rFonts w:ascii="游ゴシック" w:hAnsi="游ゴシック" w:eastAsia="游ゴシック"/>
                <w:b w:val="0"/>
                <w:sz w:val="19"/>
              </w:rPr>
              <w:t>5,701</w:t>
            </w:r>
          </w:p>
        </w:tc>
        <w:tc>
          <w:tcPr>
            <w:tcW w:type="dxa" w:w="1587"/>
            <w:vAlign w:val="center"/>
          </w:tcPr>
          <w:p>
            <w:pPr>
              <w:spacing w:after="0"/>
              <w:jc w:val="center"/>
            </w:pPr>
            <w:r>
              <w:rPr>
                <w:rFonts w:ascii="游ゴシック" w:hAnsi="游ゴシック" w:eastAsia="游ゴシック"/>
                <w:b w:val="0"/>
                <w:sz w:val="19"/>
              </w:rPr>
              <w:t>5,795</w:t>
            </w:r>
          </w:p>
        </w:tc>
        <w:tc>
          <w:tcPr>
            <w:tcW w:type="dxa" w:w="1587"/>
            <w:vAlign w:val="center"/>
          </w:tcPr>
          <w:p>
            <w:pPr>
              <w:spacing w:after="0"/>
              <w:jc w:val="center"/>
            </w:pPr>
            <w:r>
              <w:rPr>
                <w:rFonts w:ascii="游ゴシック" w:hAnsi="游ゴシック" w:eastAsia="游ゴシック"/>
                <w:b w:val="0"/>
                <w:sz w:val="19"/>
              </w:rPr>
              <w:t>5,890</w:t>
            </w:r>
          </w:p>
        </w:tc>
        <w:tc>
          <w:tcPr>
            <w:tcW w:type="dxa" w:w="1474"/>
            <w:vAlign w:val="center"/>
          </w:tcPr>
          <w:p>
            <w:pPr>
              <w:spacing w:after="0"/>
              <w:jc w:val="center"/>
            </w:pPr>
            <w:r>
              <w:rPr>
                <w:rFonts w:ascii="游ゴシック" w:hAnsi="游ゴシック" w:eastAsia="游ゴシック"/>
                <w:b w:val="0"/>
                <w:sz w:val="19"/>
              </w:rPr>
              <w:t>―</w:t>
            </w:r>
          </w:p>
        </w:tc>
      </w:tr>
      <w:tr>
        <w:trPr>
          <w:cantSplit/>
        </w:trPr>
        <w:tc>
          <w:tcPr>
            <w:tcW w:type="dxa" w:w="1928"/>
            <w:shd w:val="clear" w:color="auto" w:fill="F2F5FA"/>
            <w:vAlign w:val="center"/>
          </w:tcPr>
          <w:p>
            <w:pPr>
              <w:spacing w:after="0"/>
            </w:pPr>
            <w:r>
              <w:rPr>
                <w:rFonts w:ascii="游ゴシック" w:hAnsi="游ゴシック" w:eastAsia="游ゴシック"/>
                <w:b/>
                <w:sz w:val="19"/>
              </w:rPr>
              <w:t>85歳以上</w:t>
            </w:r>
          </w:p>
        </w:tc>
        <w:tc>
          <w:tcPr>
            <w:tcW w:type="dxa" w:w="1587"/>
            <w:shd w:val="clear" w:color="auto" w:fill="F2F5FA"/>
            <w:vAlign w:val="center"/>
          </w:tcPr>
          <w:p>
            <w:pPr>
              <w:spacing w:after="0"/>
              <w:jc w:val="center"/>
            </w:pPr>
            <w:r>
              <w:rPr>
                <w:rFonts w:ascii="游ゴシック" w:hAnsi="游ゴシック" w:eastAsia="游ゴシック"/>
                <w:b w:val="0"/>
                <w:sz w:val="19"/>
              </w:rPr>
              <w:t>―</w:t>
            </w:r>
          </w:p>
        </w:tc>
        <w:tc>
          <w:tcPr>
            <w:tcW w:type="dxa" w:w="1587"/>
            <w:shd w:val="clear" w:color="auto" w:fill="F2F5FA"/>
            <w:vAlign w:val="center"/>
          </w:tcPr>
          <w:p>
            <w:pPr>
              <w:spacing w:after="0"/>
              <w:jc w:val="center"/>
            </w:pPr>
            <w:r>
              <w:rPr>
                <w:rFonts w:ascii="游ゴシック" w:hAnsi="游ゴシック" w:eastAsia="游ゴシック"/>
                <w:b w:val="0"/>
                <w:sz w:val="19"/>
              </w:rPr>
              <w:t>―</w:t>
            </w:r>
          </w:p>
        </w:tc>
        <w:tc>
          <w:tcPr>
            <w:tcW w:type="dxa" w:w="1587"/>
            <w:shd w:val="clear" w:color="auto" w:fill="F2F5FA"/>
            <w:vAlign w:val="center"/>
          </w:tcPr>
          <w:p>
            <w:pPr>
              <w:spacing w:after="0"/>
              <w:jc w:val="center"/>
            </w:pPr>
            <w:r>
              <w:rPr>
                <w:rFonts w:ascii="游ゴシック" w:hAnsi="游ゴシック" w:eastAsia="游ゴシック"/>
                <w:b w:val="0"/>
                <w:sz w:val="19"/>
              </w:rPr>
              <w:t>2,032</w:t>
            </w:r>
          </w:p>
        </w:tc>
        <w:tc>
          <w:tcPr>
            <w:tcW w:type="dxa" w:w="1587"/>
            <w:shd w:val="clear" w:color="auto" w:fill="F2F5FA"/>
            <w:vAlign w:val="center"/>
          </w:tcPr>
          <w:p>
            <w:pPr>
              <w:spacing w:after="0"/>
              <w:jc w:val="center"/>
            </w:pPr>
            <w:r>
              <w:rPr>
                <w:rFonts w:ascii="游ゴシック" w:hAnsi="游ゴシック" w:eastAsia="游ゴシック"/>
                <w:b w:val="0"/>
                <w:sz w:val="19"/>
              </w:rPr>
              <w:t>2,072</w:t>
            </w:r>
          </w:p>
        </w:tc>
        <w:tc>
          <w:tcPr>
            <w:tcW w:type="dxa" w:w="1474"/>
            <w:shd w:val="clear" w:color="auto" w:fill="F2F5FA"/>
            <w:vAlign w:val="center"/>
          </w:tcPr>
          <w:p>
            <w:pPr>
              <w:spacing w:after="0"/>
              <w:jc w:val="center"/>
            </w:pPr>
            <w:r>
              <w:rPr>
                <w:rFonts w:ascii="游ゴシック" w:hAnsi="游ゴシック" w:eastAsia="游ゴシック"/>
                <w:b w:val="0"/>
                <w:sz w:val="19"/>
              </w:rPr>
              <w:t>2,581</w:t>
            </w:r>
          </w:p>
        </w:tc>
      </w:tr>
      <w:tr>
        <w:trPr>
          <w:cantSplit/>
        </w:trPr>
        <w:tc>
          <w:tcPr>
            <w:tcW w:type="dxa" w:w="1928"/>
            <w:vAlign w:val="center"/>
          </w:tcPr>
          <w:p>
            <w:pPr>
              <w:spacing w:after="0"/>
            </w:pPr>
            <w:r>
              <w:rPr>
                <w:rFonts w:ascii="游ゴシック" w:hAnsi="游ゴシック" w:eastAsia="游ゴシック"/>
                <w:b/>
                <w:sz w:val="19"/>
              </w:rPr>
              <w:t>認定者数</w:t>
            </w:r>
          </w:p>
        </w:tc>
        <w:tc>
          <w:tcPr>
            <w:tcW w:type="dxa" w:w="1587"/>
            <w:vAlign w:val="center"/>
          </w:tcPr>
          <w:p>
            <w:pPr>
              <w:spacing w:after="0"/>
              <w:jc w:val="center"/>
            </w:pPr>
            <w:r>
              <w:rPr>
                <w:rFonts w:ascii="游ゴシック" w:hAnsi="游ゴシック" w:eastAsia="游ゴシック"/>
                <w:b w:val="0"/>
                <w:sz w:val="19"/>
              </w:rPr>
              <w:t>―</w:t>
            </w:r>
          </w:p>
        </w:tc>
        <w:tc>
          <w:tcPr>
            <w:tcW w:type="dxa" w:w="1587"/>
            <w:vAlign w:val="center"/>
          </w:tcPr>
          <w:p>
            <w:pPr>
              <w:spacing w:after="0"/>
              <w:jc w:val="center"/>
            </w:pPr>
            <w:r>
              <w:rPr>
                <w:rFonts w:ascii="游ゴシック" w:hAnsi="游ゴシック" w:eastAsia="游ゴシック"/>
                <w:b w:val="0"/>
                <w:sz w:val="19"/>
              </w:rPr>
              <w:t>1,984</w:t>
            </w:r>
          </w:p>
        </w:tc>
        <w:tc>
          <w:tcPr>
            <w:tcW w:type="dxa" w:w="1587"/>
            <w:vAlign w:val="center"/>
          </w:tcPr>
          <w:p>
            <w:pPr>
              <w:spacing w:after="0"/>
              <w:jc w:val="center"/>
            </w:pPr>
            <w:r>
              <w:rPr>
                <w:rFonts w:ascii="游ゴシック" w:hAnsi="游ゴシック" w:eastAsia="游ゴシック"/>
                <w:b w:val="0"/>
                <w:sz w:val="19"/>
              </w:rPr>
              <w:t>1,995</w:t>
            </w:r>
          </w:p>
        </w:tc>
        <w:tc>
          <w:tcPr>
            <w:tcW w:type="dxa" w:w="1587"/>
            <w:vAlign w:val="center"/>
          </w:tcPr>
          <w:p>
            <w:pPr>
              <w:spacing w:after="0"/>
              <w:jc w:val="center"/>
            </w:pPr>
            <w:r>
              <w:rPr>
                <w:rFonts w:ascii="游ゴシック" w:hAnsi="游ゴシック" w:eastAsia="游ゴシック"/>
                <w:b w:val="0"/>
                <w:sz w:val="19"/>
              </w:rPr>
              <w:t>2,004</w:t>
            </w:r>
          </w:p>
        </w:tc>
        <w:tc>
          <w:tcPr>
            <w:tcW w:type="dxa" w:w="1474"/>
            <w:vAlign w:val="center"/>
          </w:tcPr>
          <w:p>
            <w:pPr>
              <w:spacing w:after="0"/>
              <w:jc w:val="center"/>
            </w:pPr>
            <w:r>
              <w:rPr>
                <w:rFonts w:ascii="游ゴシック" w:hAnsi="游ゴシック" w:eastAsia="游ゴシック"/>
                <w:b w:val="0"/>
                <w:sz w:val="19"/>
              </w:rPr>
              <w:t>2,216</w:t>
            </w:r>
          </w:p>
        </w:tc>
      </w:tr>
    </w:tbl>
    <w:p>
      <w:pPr>
        <w:spacing w:before="40"/>
      </w:pPr>
      <w:r>
        <w:rPr>
          <w:rFonts w:ascii="游ゴシック" w:hAnsi="游ゴシック" w:eastAsia="游ゴシック"/>
          <w:sz w:val="17"/>
        </w:rPr>
        <w:t>資料：総人口・65歳以上・75歳以上は見える化A2・A3。認定者数は受託者の推計（認定率はトレンド継続の置き方）</w:t>
      </w:r>
    </w:p>
    <w:p>
      <w:r>
        <w:rPr>
          <w:rFonts w:ascii="游ゴシック" w:hAnsi="游ゴシック" w:eastAsia="游ゴシック"/>
          <w:b w:val="0"/>
          <w:sz w:val="21"/>
        </w:rPr>
        <w:t>総人口は令和11年度に令和7年度から907人（3.3％）減りますが、65歳以上はほぼ横ばい（9,323人→9,313人）、75歳以上は189人増えます。認定者数は令和22年度にかけて増え続け、令和7年度1,984人に対し令和22年度2,216人（＋11.7％）となります。</w:t>
      </w:r>
    </w:p>
    <w:p>
      <w:r>
        <w:rPr>
          <w:rFonts w:ascii="游ゴシック" w:hAnsi="游ゴシック" w:eastAsia="游ゴシック"/>
          <w:b/>
          <w:sz w:val="21"/>
        </w:rPr>
        <w:t>人口が減っても介護需要は減りません。総人口の減少だけを理由にサービス基盤を縮小しないことが、第10期の基本的な考え方になります。</w:t>
      </w:r>
    </w:p>
    <w:p>
      <w:pPr>
        <w:keepNext/>
        <w:spacing w:before="180" w:after="60"/>
      </w:pPr>
      <w:r>
        <w:rPr>
          <w:rFonts w:ascii="游ゴシック" w:hAnsi="游ゴシック" w:eastAsia="游ゴシック"/>
          <w:b/>
          <w:sz w:val="22"/>
        </w:rPr>
        <w:t>2　サービス見込量</w:t>
      </w:r>
    </w:p>
    <w:p>
      <w:r>
        <w:rPr>
          <w:rFonts w:ascii="游ゴシック" w:hAnsi="游ゴシック" w:eastAsia="游ゴシック"/>
          <w:b w:val="0"/>
          <w:sz w:val="21"/>
        </w:rPr>
        <w:t>令和11年度の月平均利用者数について、4つの前提（認定者数・利用率・1人当たりの利用日数と回数・要介護度別の構成比）を低位と高位に振った3つのシナリオを算定しています。</w:t>
      </w:r>
    </w:p>
    <w:p>
      <w:pPr>
        <w:keepNext/>
        <w:spacing w:before="160" w:after="40"/>
      </w:pPr>
      <w:r>
        <w:rPr>
          <w:rFonts w:ascii="游ゴシック" w:hAnsi="游ゴシック" w:eastAsia="游ゴシック"/>
          <w:b/>
          <w:sz w:val="20"/>
        </w:rPr>
        <w:t>表2　令和11年度のサービス見込量（3町計・月平均）</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2041"/>
            <w:shd w:val="clear" w:color="auto" w:fill="1F3864"/>
            <w:vAlign w:val="center"/>
          </w:tcPr>
          <w:p>
            <w:pPr>
              <w:spacing w:after="0"/>
              <w:jc w:val="center"/>
            </w:pPr>
            <w:r>
              <w:rPr>
                <w:rFonts w:ascii="游ゴシック" w:hAnsi="游ゴシック" w:eastAsia="游ゴシック"/>
                <w:b/>
                <w:color w:val="FFFFFF"/>
                <w:sz w:val="19"/>
              </w:rPr>
              <w:t>区分</w:t>
            </w:r>
          </w:p>
        </w:tc>
        <w:tc>
          <w:tcPr>
            <w:tcW w:type="dxa" w:w="1361"/>
            <w:shd w:val="clear" w:color="auto" w:fill="1F3864"/>
            <w:vAlign w:val="center"/>
          </w:tcPr>
          <w:p>
            <w:pPr>
              <w:spacing w:after="0"/>
              <w:jc w:val="center"/>
            </w:pPr>
            <w:r>
              <w:rPr>
                <w:rFonts w:ascii="游ゴシック" w:hAnsi="游ゴシック" w:eastAsia="游ゴシック"/>
                <w:b/>
                <w:color w:val="FFFFFF"/>
                <w:sz w:val="19"/>
              </w:rPr>
              <w:t>低位</w:t>
            </w:r>
          </w:p>
        </w:tc>
        <w:tc>
          <w:tcPr>
            <w:tcW w:type="dxa" w:w="1361"/>
            <w:shd w:val="clear" w:color="auto" w:fill="1F3864"/>
            <w:vAlign w:val="center"/>
          </w:tcPr>
          <w:p>
            <w:pPr>
              <w:spacing w:after="0"/>
              <w:jc w:val="center"/>
            </w:pPr>
            <w:r>
              <w:rPr>
                <w:rFonts w:ascii="游ゴシック" w:hAnsi="游ゴシック" w:eastAsia="游ゴシック"/>
                <w:b/>
                <w:color w:val="FFFFFF"/>
                <w:sz w:val="19"/>
              </w:rPr>
              <w:t>標準</w:t>
            </w:r>
          </w:p>
        </w:tc>
        <w:tc>
          <w:tcPr>
            <w:tcW w:type="dxa" w:w="1361"/>
            <w:shd w:val="clear" w:color="auto" w:fill="1F3864"/>
            <w:vAlign w:val="center"/>
          </w:tcPr>
          <w:p>
            <w:pPr>
              <w:spacing w:after="0"/>
              <w:jc w:val="center"/>
            </w:pPr>
            <w:r>
              <w:rPr>
                <w:rFonts w:ascii="游ゴシック" w:hAnsi="游ゴシック" w:eastAsia="游ゴシック"/>
                <w:b/>
                <w:color w:val="FFFFFF"/>
                <w:sz w:val="19"/>
              </w:rPr>
              <w:t>高位</w:t>
            </w:r>
          </w:p>
        </w:tc>
        <w:tc>
          <w:tcPr>
            <w:tcW w:type="dxa" w:w="1701"/>
            <w:shd w:val="clear" w:color="auto" w:fill="1F3864"/>
            <w:vAlign w:val="center"/>
          </w:tcPr>
          <w:p>
            <w:pPr>
              <w:spacing w:after="0"/>
              <w:jc w:val="center"/>
            </w:pPr>
            <w:r>
              <w:rPr>
                <w:rFonts w:ascii="游ゴシック" w:hAnsi="游ゴシック" w:eastAsia="游ゴシック"/>
                <w:b/>
                <w:color w:val="FFFFFF"/>
                <w:sz w:val="19"/>
              </w:rPr>
              <w:t>標準に対する幅</w:t>
            </w:r>
          </w:p>
        </w:tc>
        <w:tc>
          <w:tcPr>
            <w:tcW w:type="dxa" w:w="1928"/>
            <w:shd w:val="clear" w:color="auto" w:fill="1F3864"/>
            <w:vAlign w:val="center"/>
          </w:tcPr>
          <w:p>
            <w:pPr>
              <w:spacing w:after="0"/>
              <w:jc w:val="center"/>
            </w:pPr>
            <w:r>
              <w:rPr>
                <w:rFonts w:ascii="游ゴシック" w:hAnsi="游ゴシック" w:eastAsia="游ゴシック"/>
                <w:b/>
                <w:color w:val="FFFFFF"/>
                <w:sz w:val="19"/>
              </w:rPr>
              <w:t>定員に対する状況</w:t>
            </w:r>
          </w:p>
        </w:tc>
      </w:tr>
      <w:tr>
        <w:trPr>
          <w:cantSplit/>
        </w:trPr>
        <w:tc>
          <w:tcPr>
            <w:tcW w:type="dxa" w:w="2041"/>
            <w:vAlign w:val="center"/>
          </w:tcPr>
          <w:p>
            <w:pPr>
              <w:spacing w:after="0"/>
            </w:pPr>
            <w:r>
              <w:rPr>
                <w:rFonts w:ascii="游ゴシック" w:hAnsi="游ゴシック" w:eastAsia="游ゴシック"/>
                <w:b/>
                <w:sz w:val="19"/>
              </w:rPr>
              <w:t>在宅サービス</w:t>
            </w:r>
          </w:p>
        </w:tc>
        <w:tc>
          <w:tcPr>
            <w:tcW w:type="dxa" w:w="1361"/>
            <w:vAlign w:val="center"/>
          </w:tcPr>
          <w:p>
            <w:pPr>
              <w:spacing w:after="0"/>
              <w:jc w:val="center"/>
            </w:pPr>
            <w:r>
              <w:rPr>
                <w:rFonts w:ascii="游ゴシック" w:hAnsi="游ゴシック" w:eastAsia="游ゴシック"/>
                <w:b w:val="0"/>
                <w:sz w:val="19"/>
              </w:rPr>
              <w:t>1,027人</w:t>
            </w:r>
          </w:p>
        </w:tc>
        <w:tc>
          <w:tcPr>
            <w:tcW w:type="dxa" w:w="1361"/>
            <w:vAlign w:val="center"/>
          </w:tcPr>
          <w:p>
            <w:pPr>
              <w:spacing w:after="0"/>
              <w:jc w:val="center"/>
            </w:pPr>
            <w:r>
              <w:rPr>
                <w:rFonts w:ascii="游ゴシック" w:hAnsi="游ゴシック" w:eastAsia="游ゴシック"/>
                <w:b w:val="0"/>
                <w:sz w:val="19"/>
              </w:rPr>
              <w:t>1,027人</w:t>
            </w:r>
          </w:p>
        </w:tc>
        <w:tc>
          <w:tcPr>
            <w:tcW w:type="dxa" w:w="1361"/>
            <w:vAlign w:val="center"/>
          </w:tcPr>
          <w:p>
            <w:pPr>
              <w:spacing w:after="0"/>
              <w:jc w:val="center"/>
            </w:pPr>
            <w:r>
              <w:rPr>
                <w:rFonts w:ascii="游ゴシック" w:hAnsi="游ゴシック" w:eastAsia="游ゴシック"/>
                <w:b w:val="0"/>
                <w:sz w:val="19"/>
              </w:rPr>
              <w:t>1,165人</w:t>
            </w:r>
          </w:p>
        </w:tc>
        <w:tc>
          <w:tcPr>
            <w:tcW w:type="dxa" w:w="1701"/>
            <w:vAlign w:val="center"/>
          </w:tcPr>
          <w:p>
            <w:pPr>
              <w:spacing w:after="0"/>
              <w:jc w:val="center"/>
            </w:pPr>
            <w:r>
              <w:rPr>
                <w:rFonts w:ascii="游ゴシック" w:hAnsi="游ゴシック" w:eastAsia="游ゴシック"/>
                <w:b w:val="0"/>
                <w:sz w:val="19"/>
              </w:rPr>
              <w:t>＋0.0〜＋13.5％</w:t>
            </w:r>
          </w:p>
        </w:tc>
        <w:tc>
          <w:tcPr>
            <w:tcW w:type="dxa" w:w="1928"/>
            <w:vAlign w:val="center"/>
          </w:tcPr>
          <w:p>
            <w:pPr>
              <w:spacing w:after="0"/>
            </w:pPr>
            <w:r>
              <w:rPr>
                <w:rFonts w:ascii="游ゴシック" w:hAnsi="游ゴシック" w:eastAsia="游ゴシック"/>
                <w:b w:val="0"/>
                <w:sz w:val="19"/>
              </w:rPr>
              <w:t>―</w:t>
            </w:r>
          </w:p>
        </w:tc>
      </w:tr>
      <w:tr>
        <w:trPr>
          <w:cantSplit/>
        </w:trPr>
        <w:tc>
          <w:tcPr>
            <w:tcW w:type="dxa" w:w="2041"/>
            <w:shd w:val="clear" w:color="auto" w:fill="F2F5FA"/>
            <w:vAlign w:val="center"/>
          </w:tcPr>
          <w:p>
            <w:pPr>
              <w:spacing w:after="0"/>
            </w:pPr>
            <w:r>
              <w:rPr>
                <w:rFonts w:ascii="游ゴシック" w:hAnsi="游ゴシック" w:eastAsia="游ゴシック"/>
                <w:b/>
                <w:sz w:val="19"/>
              </w:rPr>
              <w:t>居住系サービス</w:t>
            </w:r>
          </w:p>
        </w:tc>
        <w:tc>
          <w:tcPr>
            <w:tcW w:type="dxa" w:w="1361"/>
            <w:shd w:val="clear" w:color="auto" w:fill="F2F5FA"/>
            <w:vAlign w:val="center"/>
          </w:tcPr>
          <w:p>
            <w:pPr>
              <w:spacing w:after="0"/>
              <w:jc w:val="center"/>
            </w:pPr>
            <w:r>
              <w:rPr>
                <w:rFonts w:ascii="游ゴシック" w:hAnsi="游ゴシック" w:eastAsia="游ゴシック"/>
                <w:b w:val="0"/>
                <w:sz w:val="19"/>
              </w:rPr>
              <w:t>131人</w:t>
            </w:r>
          </w:p>
        </w:tc>
        <w:tc>
          <w:tcPr>
            <w:tcW w:type="dxa" w:w="1361"/>
            <w:shd w:val="clear" w:color="auto" w:fill="F2F5FA"/>
            <w:vAlign w:val="center"/>
          </w:tcPr>
          <w:p>
            <w:pPr>
              <w:spacing w:after="0"/>
              <w:jc w:val="center"/>
            </w:pPr>
            <w:r>
              <w:rPr>
                <w:rFonts w:ascii="游ゴシック" w:hAnsi="游ゴシック" w:eastAsia="游ゴシック"/>
                <w:b w:val="0"/>
                <w:sz w:val="19"/>
              </w:rPr>
              <w:t>145人</w:t>
            </w:r>
          </w:p>
        </w:tc>
        <w:tc>
          <w:tcPr>
            <w:tcW w:type="dxa" w:w="1361"/>
            <w:shd w:val="clear" w:color="auto" w:fill="F2F5FA"/>
            <w:vAlign w:val="center"/>
          </w:tcPr>
          <w:p>
            <w:pPr>
              <w:spacing w:after="0"/>
              <w:jc w:val="center"/>
            </w:pPr>
            <w:r>
              <w:rPr>
                <w:rFonts w:ascii="游ゴシック" w:hAnsi="游ゴシック" w:eastAsia="游ゴシック"/>
                <w:b w:val="0"/>
                <w:sz w:val="19"/>
              </w:rPr>
              <w:t>153人</w:t>
            </w:r>
          </w:p>
        </w:tc>
        <w:tc>
          <w:tcPr>
            <w:tcW w:type="dxa" w:w="1701"/>
            <w:shd w:val="clear" w:color="auto" w:fill="F2F5FA"/>
            <w:vAlign w:val="center"/>
          </w:tcPr>
          <w:p>
            <w:pPr>
              <w:spacing w:after="0"/>
              <w:jc w:val="center"/>
            </w:pPr>
            <w:r>
              <w:rPr>
                <w:rFonts w:ascii="游ゴシック" w:hAnsi="游ゴシック" w:eastAsia="游ゴシック"/>
                <w:b w:val="0"/>
                <w:sz w:val="19"/>
              </w:rPr>
              <w:t>▲9.9〜＋5.4％</w:t>
            </w:r>
          </w:p>
        </w:tc>
        <w:tc>
          <w:tcPr>
            <w:tcW w:type="dxa" w:w="1928"/>
            <w:shd w:val="clear" w:color="auto" w:fill="F2F5FA"/>
            <w:vAlign w:val="center"/>
          </w:tcPr>
          <w:p>
            <w:pPr>
              <w:spacing w:after="0"/>
            </w:pPr>
            <w:r>
              <w:rPr>
                <w:rFonts w:ascii="游ゴシック" w:hAnsi="游ゴシック" w:eastAsia="游ゴシック"/>
                <w:b w:val="0"/>
                <w:sz w:val="19"/>
              </w:rPr>
              <w:t>高位でも定員の60.1％</w:t>
            </w:r>
          </w:p>
        </w:tc>
      </w:tr>
      <w:tr>
        <w:trPr>
          <w:cantSplit/>
        </w:trPr>
        <w:tc>
          <w:tcPr>
            <w:tcW w:type="dxa" w:w="2041"/>
            <w:vAlign w:val="center"/>
          </w:tcPr>
          <w:p>
            <w:pPr>
              <w:spacing w:after="0"/>
            </w:pPr>
            <w:r>
              <w:rPr>
                <w:rFonts w:ascii="游ゴシック" w:hAnsi="游ゴシック" w:eastAsia="游ゴシック"/>
                <w:b/>
                <w:sz w:val="19"/>
              </w:rPr>
              <w:t>施設サービス</w:t>
            </w:r>
          </w:p>
        </w:tc>
        <w:tc>
          <w:tcPr>
            <w:tcW w:type="dxa" w:w="1361"/>
            <w:vAlign w:val="center"/>
          </w:tcPr>
          <w:p>
            <w:pPr>
              <w:spacing w:after="0"/>
              <w:jc w:val="center"/>
            </w:pPr>
            <w:r>
              <w:rPr>
                <w:rFonts w:ascii="游ゴシック" w:hAnsi="游ゴシック" w:eastAsia="游ゴシック"/>
                <w:b w:val="0"/>
                <w:sz w:val="19"/>
              </w:rPr>
              <w:t>293人</w:t>
            </w:r>
          </w:p>
        </w:tc>
        <w:tc>
          <w:tcPr>
            <w:tcW w:type="dxa" w:w="1361"/>
            <w:vAlign w:val="center"/>
          </w:tcPr>
          <w:p>
            <w:pPr>
              <w:spacing w:after="0"/>
              <w:jc w:val="center"/>
            </w:pPr>
            <w:r>
              <w:rPr>
                <w:rFonts w:ascii="游ゴシック" w:hAnsi="游ゴシック" w:eastAsia="游ゴシック"/>
                <w:b w:val="0"/>
                <w:sz w:val="19"/>
              </w:rPr>
              <w:t>339人</w:t>
            </w:r>
          </w:p>
        </w:tc>
        <w:tc>
          <w:tcPr>
            <w:tcW w:type="dxa" w:w="1361"/>
            <w:vAlign w:val="center"/>
          </w:tcPr>
          <w:p>
            <w:pPr>
              <w:spacing w:after="0"/>
              <w:jc w:val="center"/>
            </w:pPr>
            <w:r>
              <w:rPr>
                <w:rFonts w:ascii="游ゴシック" w:hAnsi="游ゴシック" w:eastAsia="游ゴシック"/>
                <w:b w:val="0"/>
                <w:sz w:val="19"/>
              </w:rPr>
              <w:t>357人</w:t>
            </w:r>
          </w:p>
        </w:tc>
        <w:tc>
          <w:tcPr>
            <w:tcW w:type="dxa" w:w="1701"/>
            <w:vAlign w:val="center"/>
          </w:tcPr>
          <w:p>
            <w:pPr>
              <w:spacing w:after="0"/>
              <w:jc w:val="center"/>
            </w:pPr>
            <w:r>
              <w:rPr>
                <w:rFonts w:ascii="游ゴシック" w:hAnsi="游ゴシック" w:eastAsia="游ゴシック"/>
                <w:b w:val="0"/>
                <w:sz w:val="19"/>
              </w:rPr>
              <w:t>▲13.5〜＋5.4％</w:t>
            </w:r>
          </w:p>
        </w:tc>
        <w:tc>
          <w:tcPr>
            <w:tcW w:type="dxa" w:w="1928"/>
            <w:vAlign w:val="center"/>
          </w:tcPr>
          <w:p>
            <w:pPr>
              <w:spacing w:after="0"/>
            </w:pPr>
            <w:r>
              <w:rPr>
                <w:rFonts w:ascii="游ゴシック" w:hAnsi="游ゴシック" w:eastAsia="游ゴシック"/>
                <w:b w:val="0"/>
                <w:sz w:val="19"/>
              </w:rPr>
              <w:t>高位でも定員の77.2％</w:t>
            </w:r>
          </w:p>
        </w:tc>
      </w:tr>
      <w:tr>
        <w:trPr>
          <w:cantSplit/>
        </w:trPr>
        <w:tc>
          <w:tcPr>
            <w:tcW w:type="dxa" w:w="2041"/>
            <w:shd w:val="clear" w:color="auto" w:fill="F2F5FA"/>
            <w:vAlign w:val="center"/>
          </w:tcPr>
          <w:p>
            <w:pPr>
              <w:spacing w:after="0"/>
            </w:pPr>
            <w:r>
              <w:rPr>
                <w:rFonts w:ascii="游ゴシック" w:hAnsi="游ゴシック" w:eastAsia="游ゴシック"/>
                <w:b/>
                <w:sz w:val="19"/>
              </w:rPr>
              <w:t>訪問介護（回／月）</w:t>
            </w:r>
          </w:p>
        </w:tc>
        <w:tc>
          <w:tcPr>
            <w:tcW w:type="dxa" w:w="1361"/>
            <w:shd w:val="clear" w:color="auto" w:fill="F2F5FA"/>
            <w:vAlign w:val="center"/>
          </w:tcPr>
          <w:p>
            <w:pPr>
              <w:spacing w:after="0"/>
              <w:jc w:val="center"/>
            </w:pPr>
            <w:r>
              <w:rPr>
                <w:rFonts w:ascii="游ゴシック" w:hAnsi="游ゴシック" w:eastAsia="游ゴシック"/>
                <w:b w:val="0"/>
                <w:sz w:val="19"/>
              </w:rPr>
              <w:t>15,112</w:t>
            </w:r>
          </w:p>
        </w:tc>
        <w:tc>
          <w:tcPr>
            <w:tcW w:type="dxa" w:w="1361"/>
            <w:shd w:val="clear" w:color="auto" w:fill="F2F5FA"/>
            <w:vAlign w:val="center"/>
          </w:tcPr>
          <w:p>
            <w:pPr>
              <w:spacing w:after="0"/>
              <w:jc w:val="center"/>
            </w:pPr>
            <w:r>
              <w:rPr>
                <w:rFonts w:ascii="游ゴシック" w:hAnsi="游ゴシック" w:eastAsia="游ゴシック"/>
                <w:b w:val="0"/>
                <w:sz w:val="19"/>
              </w:rPr>
              <w:t>15,645</w:t>
            </w:r>
          </w:p>
        </w:tc>
        <w:tc>
          <w:tcPr>
            <w:tcW w:type="dxa" w:w="1361"/>
            <w:shd w:val="clear" w:color="auto" w:fill="F2F5FA"/>
            <w:vAlign w:val="center"/>
          </w:tcPr>
          <w:p>
            <w:pPr>
              <w:spacing w:after="0"/>
              <w:jc w:val="center"/>
            </w:pPr>
            <w:r>
              <w:rPr>
                <w:rFonts w:ascii="游ゴシック" w:hAnsi="游ゴシック" w:eastAsia="游ゴシック"/>
                <w:b w:val="0"/>
                <w:sz w:val="19"/>
              </w:rPr>
              <w:t>21,279</w:t>
            </w:r>
          </w:p>
        </w:tc>
        <w:tc>
          <w:tcPr>
            <w:tcW w:type="dxa" w:w="1701"/>
            <w:shd w:val="clear" w:color="auto" w:fill="F2F5FA"/>
            <w:vAlign w:val="center"/>
          </w:tcPr>
          <w:p>
            <w:pPr>
              <w:spacing w:after="0"/>
              <w:jc w:val="center"/>
            </w:pPr>
            <w:r>
              <w:rPr>
                <w:rFonts w:ascii="游ゴシック" w:hAnsi="游ゴシック" w:eastAsia="游ゴシック"/>
                <w:b w:val="0"/>
                <w:sz w:val="19"/>
              </w:rPr>
              <w:t>▲3.4〜＋36.0％</w:t>
            </w:r>
          </w:p>
        </w:tc>
        <w:tc>
          <w:tcPr>
            <w:tcW w:type="dxa" w:w="1928"/>
            <w:shd w:val="clear" w:color="auto" w:fill="F2F5FA"/>
            <w:vAlign w:val="center"/>
          </w:tcPr>
          <w:p>
            <w:pPr>
              <w:spacing w:after="0"/>
            </w:pPr>
            <w:r>
              <w:rPr>
                <w:rFonts w:ascii="游ゴシック" w:hAnsi="游ゴシック" w:eastAsia="游ゴシック"/>
                <w:b w:val="0"/>
                <w:sz w:val="19"/>
              </w:rPr>
              <w:t>―</w:t>
            </w:r>
          </w:p>
        </w:tc>
      </w:tr>
    </w:tbl>
    <w:p>
      <w:pPr>
        <w:spacing w:before="40"/>
      </w:pPr>
      <w:r>
        <w:rPr>
          <w:rFonts w:ascii="游ゴシック" w:hAnsi="游ゴシック" w:eastAsia="游ゴシック"/>
          <w:sz w:val="17"/>
        </w:rPr>
        <w:t>資料：受託者の推計（将来推計 需要3シナリオの感度表）</w:t>
      </w:r>
    </w:p>
    <w:p>
      <w:r>
        <w:rPr>
          <w:rFonts w:ascii="游ゴシック" w:hAnsi="游ゴシック" w:eastAsia="游ゴシック"/>
          <w:b w:val="0"/>
          <w:sz w:val="21"/>
        </w:rPr>
        <w:t>低位・高位は前提を同時に片側へ置いた包絡であり、確率的な区間ではありません。在宅サービスは4つの前提すべてが上向きに働くため低位が標準と同じ値です。</w:t>
      </w:r>
    </w:p>
    <w:p>
      <w:r>
        <w:rPr>
          <w:rFonts w:ascii="游ゴシック" w:hAnsi="游ゴシック" w:eastAsia="游ゴシック"/>
          <w:b w:val="0"/>
          <w:sz w:val="21"/>
        </w:rPr>
        <w:t>高位のシナリオでも、居住系は定員の60.1％、施設は77.2％にとどまります。区域内の定員が不足する見通しではありません。ただし施設・居住系の給付の23〜35％は区域外の施設によるものであり、この構造を計画にどう位置づけるかは決定を要します。</w:t>
      </w:r>
    </w:p>
    <w:p>
      <w:pPr>
        <w:keepNext/>
        <w:spacing w:before="180" w:after="60"/>
      </w:pPr>
      <w:r>
        <w:rPr>
          <w:rFonts w:ascii="游ゴシック" w:hAnsi="游ゴシック" w:eastAsia="游ゴシック"/>
          <w:b/>
          <w:sz w:val="22"/>
        </w:rPr>
        <w:t>3　保険料</w:t>
      </w:r>
    </w:p>
    <w:p>
      <w:r>
        <w:rPr>
          <w:rFonts w:ascii="游ゴシック" w:hAnsi="游ゴシック" w:eastAsia="游ゴシック"/>
          <w:b w:val="0"/>
          <w:sz w:val="21"/>
        </w:rPr>
        <w:t>見える化システムによる自然体推計では、第10期（令和9〜11年度）の3年平均は月額6,238円です（基金取崩0円・予定収納率99.0％）。現行（第9期）の基準額6,400円を162円下回ります。</w:t>
      </w:r>
    </w:p>
    <w:p>
      <w:pPr>
        <w:keepNext/>
        <w:spacing w:before="160" w:after="40"/>
      </w:pPr>
      <w:r>
        <w:rPr>
          <w:rFonts w:ascii="游ゴシック" w:hAnsi="游ゴシック" w:eastAsia="游ゴシック"/>
          <w:b/>
          <w:sz w:val="20"/>
        </w:rPr>
        <w:t>表3　保険料基準額の推移と第10期の試算</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247"/>
            <w:shd w:val="clear" w:color="auto" w:fill="1F3864"/>
            <w:vAlign w:val="center"/>
          </w:tcPr>
          <w:p>
            <w:pPr>
              <w:spacing w:after="0"/>
              <w:jc w:val="center"/>
            </w:pPr>
            <w:r>
              <w:rPr>
                <w:rFonts w:ascii="游ゴシック" w:hAnsi="游ゴシック" w:eastAsia="游ゴシック"/>
                <w:b/>
                <w:color w:val="FFFFFF"/>
                <w:sz w:val="19"/>
              </w:rPr>
              <w:t>期</w:t>
            </w:r>
          </w:p>
        </w:tc>
        <w:tc>
          <w:tcPr>
            <w:tcW w:type="dxa" w:w="2381"/>
            <w:shd w:val="clear" w:color="auto" w:fill="1F3864"/>
            <w:vAlign w:val="center"/>
          </w:tcPr>
          <w:p>
            <w:pPr>
              <w:spacing w:after="0"/>
              <w:jc w:val="center"/>
            </w:pPr>
            <w:r>
              <w:rPr>
                <w:rFonts w:ascii="游ゴシック" w:hAnsi="游ゴシック" w:eastAsia="游ゴシック"/>
                <w:b/>
                <w:color w:val="FFFFFF"/>
                <w:sz w:val="19"/>
              </w:rPr>
              <w:t>年度</w:t>
            </w:r>
          </w:p>
        </w:tc>
        <w:tc>
          <w:tcPr>
            <w:tcW w:type="dxa" w:w="1701"/>
            <w:shd w:val="clear" w:color="auto" w:fill="1F3864"/>
            <w:vAlign w:val="center"/>
          </w:tcPr>
          <w:p>
            <w:pPr>
              <w:spacing w:after="0"/>
              <w:jc w:val="center"/>
            </w:pPr>
            <w:r>
              <w:rPr>
                <w:rFonts w:ascii="游ゴシック" w:hAnsi="游ゴシック" w:eastAsia="游ゴシック"/>
                <w:b/>
                <w:color w:val="FFFFFF"/>
                <w:sz w:val="19"/>
              </w:rPr>
              <w:t>基準額（月額）</w:t>
            </w:r>
          </w:p>
        </w:tc>
        <w:tc>
          <w:tcPr>
            <w:tcW w:type="dxa" w:w="4422"/>
            <w:shd w:val="clear" w:color="auto" w:fill="1F3864"/>
            <w:vAlign w:val="center"/>
          </w:tcPr>
          <w:p>
            <w:pPr>
              <w:spacing w:after="0"/>
              <w:jc w:val="center"/>
            </w:pPr>
            <w:r>
              <w:rPr>
                <w:rFonts w:ascii="游ゴシック" w:hAnsi="游ゴシック" w:eastAsia="游ゴシック"/>
                <w:b/>
                <w:color w:val="FFFFFF"/>
                <w:sz w:val="19"/>
              </w:rPr>
              <w:t>備考</w:t>
            </w:r>
          </w:p>
        </w:tc>
      </w:tr>
      <w:tr>
        <w:trPr>
          <w:cantSplit/>
        </w:trPr>
        <w:tc>
          <w:tcPr>
            <w:tcW w:type="dxa" w:w="1247"/>
            <w:vAlign w:val="center"/>
          </w:tcPr>
          <w:p>
            <w:pPr>
              <w:spacing w:after="0"/>
              <w:jc w:val="center"/>
            </w:pPr>
            <w:r>
              <w:rPr>
                <w:rFonts w:ascii="游ゴシック" w:hAnsi="游ゴシック" w:eastAsia="游ゴシック"/>
                <w:b/>
                <w:sz w:val="19"/>
              </w:rPr>
              <w:t>第7期</w:t>
            </w:r>
          </w:p>
        </w:tc>
        <w:tc>
          <w:tcPr>
            <w:tcW w:type="dxa" w:w="2381"/>
            <w:vAlign w:val="center"/>
          </w:tcPr>
          <w:p>
            <w:pPr>
              <w:spacing w:after="0"/>
            </w:pPr>
            <w:r>
              <w:rPr>
                <w:rFonts w:ascii="游ゴシック" w:hAnsi="游ゴシック" w:eastAsia="游ゴシック"/>
                <w:b w:val="0"/>
                <w:sz w:val="19"/>
              </w:rPr>
              <w:t>平成30〜令和2年度</w:t>
            </w:r>
          </w:p>
        </w:tc>
        <w:tc>
          <w:tcPr>
            <w:tcW w:type="dxa" w:w="1701"/>
            <w:vAlign w:val="center"/>
          </w:tcPr>
          <w:p>
            <w:pPr>
              <w:spacing w:after="0"/>
              <w:jc w:val="center"/>
            </w:pPr>
            <w:r>
              <w:rPr>
                <w:rFonts w:ascii="游ゴシック" w:hAnsi="游ゴシック" w:eastAsia="游ゴシック"/>
                <w:b w:val="0"/>
                <w:sz w:val="19"/>
              </w:rPr>
              <w:t>6,077円</w:t>
            </w:r>
          </w:p>
        </w:tc>
        <w:tc>
          <w:tcPr>
            <w:tcW w:type="dxa" w:w="4422"/>
            <w:vAlign w:val="center"/>
          </w:tcPr>
          <w:p>
            <w:pPr>
              <w:spacing w:after="0"/>
            </w:pPr>
            <w:r>
              <w:rPr>
                <w:rFonts w:ascii="游ゴシック" w:hAnsi="游ゴシック" w:eastAsia="游ゴシック"/>
                <w:b w:val="0"/>
                <w:sz w:val="19"/>
              </w:rPr>
              <w:t>―</w:t>
            </w:r>
          </w:p>
        </w:tc>
      </w:tr>
      <w:tr>
        <w:trPr>
          <w:cantSplit/>
        </w:trPr>
        <w:tc>
          <w:tcPr>
            <w:tcW w:type="dxa" w:w="1247"/>
            <w:shd w:val="clear" w:color="auto" w:fill="F2F5FA"/>
            <w:vAlign w:val="center"/>
          </w:tcPr>
          <w:p>
            <w:pPr>
              <w:spacing w:after="0"/>
              <w:jc w:val="center"/>
            </w:pPr>
            <w:r>
              <w:rPr>
                <w:rFonts w:ascii="游ゴシック" w:hAnsi="游ゴシック" w:eastAsia="游ゴシック"/>
                <w:b/>
                <w:sz w:val="19"/>
              </w:rPr>
              <w:t>第8期</w:t>
            </w:r>
          </w:p>
        </w:tc>
        <w:tc>
          <w:tcPr>
            <w:tcW w:type="dxa" w:w="2381"/>
            <w:shd w:val="clear" w:color="auto" w:fill="F2F5FA"/>
            <w:vAlign w:val="center"/>
          </w:tcPr>
          <w:p>
            <w:pPr>
              <w:spacing w:after="0"/>
            </w:pPr>
            <w:r>
              <w:rPr>
                <w:rFonts w:ascii="游ゴシック" w:hAnsi="游ゴシック" w:eastAsia="游ゴシック"/>
                <w:b w:val="0"/>
                <w:sz w:val="19"/>
              </w:rPr>
              <w:t>令和3〜5年度</w:t>
            </w:r>
          </w:p>
        </w:tc>
        <w:tc>
          <w:tcPr>
            <w:tcW w:type="dxa" w:w="1701"/>
            <w:shd w:val="clear" w:color="auto" w:fill="F2F5FA"/>
            <w:vAlign w:val="center"/>
          </w:tcPr>
          <w:p>
            <w:pPr>
              <w:spacing w:after="0"/>
              <w:jc w:val="center"/>
            </w:pPr>
            <w:r>
              <w:rPr>
                <w:rFonts w:ascii="游ゴシック" w:hAnsi="游ゴシック" w:eastAsia="游ゴシック"/>
                <w:b w:val="0"/>
                <w:sz w:val="19"/>
              </w:rPr>
              <w:t>6,300円</w:t>
            </w:r>
          </w:p>
        </w:tc>
        <w:tc>
          <w:tcPr>
            <w:tcW w:type="dxa" w:w="4422"/>
            <w:shd w:val="clear" w:color="auto" w:fill="F2F5FA"/>
            <w:vAlign w:val="center"/>
          </w:tcPr>
          <w:p>
            <w:pPr>
              <w:spacing w:after="0"/>
            </w:pPr>
            <w:r>
              <w:rPr>
                <w:rFonts w:ascii="游ゴシック" w:hAnsi="游ゴシック" w:eastAsia="游ゴシック"/>
                <w:b w:val="0"/>
                <w:sz w:val="19"/>
              </w:rPr>
              <w:t>―</w:t>
            </w:r>
          </w:p>
        </w:tc>
      </w:tr>
      <w:tr>
        <w:trPr>
          <w:cantSplit/>
        </w:trPr>
        <w:tc>
          <w:tcPr>
            <w:tcW w:type="dxa" w:w="1247"/>
            <w:vAlign w:val="center"/>
          </w:tcPr>
          <w:p>
            <w:pPr>
              <w:spacing w:after="0"/>
              <w:jc w:val="center"/>
            </w:pPr>
            <w:r>
              <w:rPr>
                <w:rFonts w:ascii="游ゴシック" w:hAnsi="游ゴシック" w:eastAsia="游ゴシック"/>
                <w:b/>
                <w:sz w:val="19"/>
              </w:rPr>
              <w:t>第9期</w:t>
            </w:r>
          </w:p>
        </w:tc>
        <w:tc>
          <w:tcPr>
            <w:tcW w:type="dxa" w:w="2381"/>
            <w:vAlign w:val="center"/>
          </w:tcPr>
          <w:p>
            <w:pPr>
              <w:spacing w:after="0"/>
            </w:pPr>
            <w:r>
              <w:rPr>
                <w:rFonts w:ascii="游ゴシック" w:hAnsi="游ゴシック" w:eastAsia="游ゴシック"/>
                <w:b w:val="0"/>
                <w:sz w:val="19"/>
              </w:rPr>
              <w:t>令和6〜8年度</w:t>
            </w:r>
          </w:p>
        </w:tc>
        <w:tc>
          <w:tcPr>
            <w:tcW w:type="dxa" w:w="1701"/>
            <w:vAlign w:val="center"/>
          </w:tcPr>
          <w:p>
            <w:pPr>
              <w:spacing w:after="0"/>
              <w:jc w:val="center"/>
            </w:pPr>
            <w:r>
              <w:rPr>
                <w:rFonts w:ascii="游ゴシック" w:hAnsi="游ゴシック" w:eastAsia="游ゴシック"/>
                <w:b w:val="0"/>
                <w:sz w:val="19"/>
              </w:rPr>
              <w:t>6,400円</w:t>
            </w:r>
          </w:p>
        </w:tc>
        <w:tc>
          <w:tcPr>
            <w:tcW w:type="dxa" w:w="4422"/>
            <w:vAlign w:val="center"/>
          </w:tcPr>
          <w:p>
            <w:pPr>
              <w:spacing w:after="0"/>
            </w:pPr>
            <w:r>
              <w:rPr>
                <w:rFonts w:ascii="游ゴシック" w:hAnsi="游ゴシック" w:eastAsia="游ゴシック"/>
                <w:b w:val="0"/>
                <w:sz w:val="19"/>
              </w:rPr>
              <w:t>現行</w:t>
            </w:r>
          </w:p>
        </w:tc>
      </w:tr>
      <w:tr>
        <w:trPr>
          <w:cantSplit/>
        </w:trPr>
        <w:tc>
          <w:tcPr>
            <w:tcW w:type="dxa" w:w="1247"/>
            <w:shd w:val="clear" w:color="auto" w:fill="F2F5FA"/>
            <w:vAlign w:val="center"/>
          </w:tcPr>
          <w:p>
            <w:pPr>
              <w:spacing w:after="0"/>
              <w:jc w:val="center"/>
            </w:pPr>
            <w:r>
              <w:rPr>
                <w:rFonts w:ascii="游ゴシック" w:hAnsi="游ゴシック" w:eastAsia="游ゴシック"/>
                <w:b/>
                <w:sz w:val="19"/>
              </w:rPr>
              <w:t>第10期</w:t>
            </w:r>
          </w:p>
        </w:tc>
        <w:tc>
          <w:tcPr>
            <w:tcW w:type="dxa" w:w="2381"/>
            <w:shd w:val="clear" w:color="auto" w:fill="F2F5FA"/>
            <w:vAlign w:val="center"/>
          </w:tcPr>
          <w:p>
            <w:pPr>
              <w:spacing w:after="0"/>
            </w:pPr>
            <w:r>
              <w:rPr>
                <w:rFonts w:ascii="游ゴシック" w:hAnsi="游ゴシック" w:eastAsia="游ゴシック"/>
                <w:b w:val="0"/>
                <w:sz w:val="19"/>
              </w:rPr>
              <w:t>令和9〜11年度</w:t>
            </w:r>
          </w:p>
        </w:tc>
        <w:tc>
          <w:tcPr>
            <w:tcW w:type="dxa" w:w="1701"/>
            <w:shd w:val="clear" w:color="auto" w:fill="F2F5FA"/>
            <w:vAlign w:val="center"/>
          </w:tcPr>
          <w:p>
            <w:pPr>
              <w:spacing w:after="0"/>
              <w:jc w:val="center"/>
            </w:pPr>
            <w:r>
              <w:rPr>
                <w:rFonts w:ascii="游ゴシック" w:hAnsi="游ゴシック" w:eastAsia="游ゴシック"/>
                <w:b w:val="0"/>
                <w:sz w:val="19"/>
              </w:rPr>
              <w:t>6,238円</w:t>
            </w:r>
          </w:p>
        </w:tc>
        <w:tc>
          <w:tcPr>
            <w:tcW w:type="dxa" w:w="4422"/>
            <w:shd w:val="clear" w:color="auto" w:fill="F2F5FA"/>
            <w:vAlign w:val="center"/>
          </w:tcPr>
          <w:p>
            <w:pPr>
              <w:spacing w:after="0"/>
            </w:pPr>
            <w:r>
              <w:rPr>
                <w:rFonts w:ascii="游ゴシック" w:hAnsi="游ゴシック" w:eastAsia="游ゴシック"/>
                <w:b w:val="0"/>
                <w:sz w:val="19"/>
              </w:rPr>
              <w:t>見える化の自然体推計（基金取崩0円・予定収納率99.0％）</w:t>
            </w:r>
          </w:p>
        </w:tc>
      </w:tr>
    </w:tbl>
    <w:p>
      <w:pPr>
        <w:spacing w:before="40"/>
      </w:pPr>
      <w:r>
        <w:rPr>
          <w:rFonts w:ascii="游ゴシック" w:hAnsi="游ゴシック" w:eastAsia="游ゴシック"/>
          <w:sz w:val="17"/>
        </w:rPr>
        <w:t>資料：見える化C1及び受託者の試算</w:t>
      </w:r>
    </w:p>
    <w:p>
      <w:r>
        <w:rPr>
          <w:rFonts w:ascii="游ゴシック" w:hAnsi="游ゴシック" w:eastAsia="游ゴシック"/>
          <w:b/>
          <w:sz w:val="21"/>
        </w:rPr>
        <w:t>キックオフ会議で「現行水準の据え置きを目標とする」ことが確認されました。自然体推計が現行を下回っていることから、据え置きは現時点で無理のない目標です。</w:t>
      </w:r>
    </w:p>
    <w:p>
      <w:pPr>
        <w:ind w:left="227"/>
      </w:pPr>
      <w:r>
        <w:rPr>
          <w:rFonts w:ascii="游ゴシック" w:hAnsi="游ゴシック" w:eastAsia="游ゴシック"/>
          <w:sz w:val="18"/>
        </w:rPr>
        <w:t>※ ただし6,238円は基金取崩0円の場合の値です。令和8年度末の基金残高の見込み、所得段階の設計、報酬改定の内容により変わります。決算書及び介護給付費準備基金の積立・取崩実績のご提供をお願いしています。</w:t>
      </w:r>
    </w:p>
    <w:p>
      <w:r>
        <w:br w:type="page"/>
      </w:r>
    </w:p>
    <w:p>
      <w:pPr>
        <w:keepNext/>
        <w:spacing w:before="280" w:after="120"/>
      </w:pPr>
      <w:r>
        <w:rPr>
          <w:rFonts w:ascii="游ゴシック" w:hAnsi="游ゴシック" w:eastAsia="游ゴシック"/>
          <w:b/>
          <w:color w:val="1F3864"/>
          <w:sz w:val="26"/>
        </w:rPr>
        <w:t>第3節　人口推計の考え方（総合戦略をベースとする補正）</w:t>
      </w:r>
    </w:p>
    <w:p>
      <w:r>
        <w:rPr>
          <w:rFonts w:ascii="游ゴシック" w:hAnsi="游ゴシック" w:eastAsia="游ゴシック"/>
          <w:b w:val="0"/>
          <w:sz w:val="21"/>
        </w:rPr>
        <w:t>令和8年8月6日のキックオフ会議において、人口推計は3町の地方創生総合戦略の人口推計をベースに補正を行うことが確認されました。本節はその補正の考え方をお示しするものです。</w:t>
      </w:r>
    </w:p>
    <w:p>
      <w:pPr>
        <w:keepNext/>
        <w:spacing w:before="180" w:after="60"/>
      </w:pPr>
      <w:r>
        <w:rPr>
          <w:rFonts w:ascii="游ゴシック" w:hAnsi="游ゴシック" w:eastAsia="游ゴシック"/>
          <w:b/>
          <w:sz w:val="22"/>
        </w:rPr>
        <w:t>1　なぜ補正が必要か</w:t>
      </w:r>
    </w:p>
    <w:p>
      <w:r>
        <w:rPr>
          <w:rFonts w:ascii="游ゴシック" w:hAnsi="游ゴシック" w:eastAsia="游ゴシック"/>
          <w:b w:val="0"/>
          <w:sz w:val="21"/>
        </w:rPr>
        <w:t>国立社会保障・人口問題研究所の推計（令和5年推計）は令和2年国勢調査を基準としています。令和7年国勢調査（人口速報集計）の実績と突き合わせると、3町とも乖離があり、しかも向きが異なります。</w:t>
      </w:r>
    </w:p>
    <w:p>
      <w:pPr>
        <w:keepNext/>
        <w:spacing w:before="160" w:after="40"/>
      </w:pPr>
      <w:r>
        <w:rPr>
          <w:rFonts w:ascii="游ゴシック" w:hAnsi="游ゴシック" w:eastAsia="游ゴシック"/>
          <w:b/>
          <w:sz w:val="20"/>
        </w:rPr>
        <w:t>表4　社人研推計（令和7年）と令和7年国勢調査の実績の差</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393"/>
        <w:gridCol w:w="1393"/>
        <w:gridCol w:w="1393"/>
        <w:gridCol w:w="1393"/>
        <w:gridCol w:w="1393"/>
        <w:gridCol w:w="1393"/>
        <w:gridCol w:w="1393"/>
      </w:tblGrid>
      <w:tr>
        <w:trPr>
          <w:tblHeader/>
        </w:trPr>
        <w:tc>
          <w:tcPr>
            <w:tcW w:type="dxa" w:w="1134"/>
            <w:shd w:val="clear" w:color="auto" w:fill="1F3864"/>
            <w:vAlign w:val="center"/>
          </w:tcPr>
          <w:p>
            <w:pPr>
              <w:spacing w:after="0"/>
              <w:jc w:val="center"/>
            </w:pPr>
            <w:r>
              <w:rPr>
                <w:rFonts w:ascii="游ゴシック" w:hAnsi="游ゴシック" w:eastAsia="游ゴシック"/>
                <w:b/>
                <w:color w:val="FFFFFF"/>
                <w:sz w:val="19"/>
              </w:rPr>
              <w:t>町</w:t>
            </w:r>
          </w:p>
        </w:tc>
        <w:tc>
          <w:tcPr>
            <w:tcW w:type="dxa" w:w="1361"/>
            <w:shd w:val="clear" w:color="auto" w:fill="1F3864"/>
            <w:vAlign w:val="center"/>
          </w:tcPr>
          <w:p>
            <w:pPr>
              <w:spacing w:after="0"/>
              <w:jc w:val="center"/>
            </w:pPr>
            <w:r>
              <w:rPr>
                <w:rFonts w:ascii="游ゴシック" w:hAnsi="游ゴシック" w:eastAsia="游ゴシック"/>
                <w:b/>
                <w:color w:val="FFFFFF"/>
                <w:sz w:val="19"/>
              </w:rPr>
              <w:t>社人研推計</w:t>
            </w:r>
          </w:p>
        </w:tc>
        <w:tc>
          <w:tcPr>
            <w:tcW w:type="dxa" w:w="1474"/>
            <w:shd w:val="clear" w:color="auto" w:fill="1F3864"/>
            <w:vAlign w:val="center"/>
          </w:tcPr>
          <w:p>
            <w:pPr>
              <w:spacing w:after="0"/>
              <w:jc w:val="center"/>
            </w:pPr>
            <w:r>
              <w:rPr>
                <w:rFonts w:ascii="游ゴシック" w:hAnsi="游ゴシック" w:eastAsia="游ゴシック"/>
                <w:b/>
                <w:color w:val="FFFFFF"/>
                <w:sz w:val="19"/>
              </w:rPr>
              <w:t>国勢調査（速報）</w:t>
            </w:r>
          </w:p>
        </w:tc>
        <w:tc>
          <w:tcPr>
            <w:tcW w:type="dxa" w:w="1134"/>
            <w:shd w:val="clear" w:color="auto" w:fill="1F3864"/>
            <w:vAlign w:val="center"/>
          </w:tcPr>
          <w:p>
            <w:pPr>
              <w:spacing w:after="0"/>
              <w:jc w:val="center"/>
            </w:pPr>
            <w:r>
              <w:rPr>
                <w:rFonts w:ascii="游ゴシック" w:hAnsi="游ゴシック" w:eastAsia="游ゴシック"/>
                <w:b/>
                <w:color w:val="FFFFFF"/>
                <w:sz w:val="19"/>
              </w:rPr>
              <w:t>差</w:t>
            </w:r>
          </w:p>
        </w:tc>
        <w:tc>
          <w:tcPr>
            <w:tcW w:type="dxa" w:w="1020"/>
            <w:shd w:val="clear" w:color="auto" w:fill="1F3864"/>
            <w:vAlign w:val="center"/>
          </w:tcPr>
          <w:p>
            <w:pPr>
              <w:spacing w:after="0"/>
              <w:jc w:val="center"/>
            </w:pPr>
            <w:r>
              <w:rPr>
                <w:rFonts w:ascii="游ゴシック" w:hAnsi="游ゴシック" w:eastAsia="游ゴシック"/>
                <w:b/>
                <w:color w:val="FFFFFF"/>
                <w:sz w:val="19"/>
              </w:rPr>
              <w:t>乖離率</w:t>
            </w:r>
          </w:p>
        </w:tc>
        <w:tc>
          <w:tcPr>
            <w:tcW w:type="dxa" w:w="1474"/>
            <w:shd w:val="clear" w:color="auto" w:fill="1F3864"/>
            <w:vAlign w:val="center"/>
          </w:tcPr>
          <w:p>
            <w:pPr>
              <w:spacing w:after="0"/>
              <w:jc w:val="center"/>
            </w:pPr>
            <w:r>
              <w:rPr>
                <w:rFonts w:ascii="游ゴシック" w:hAnsi="游ゴシック" w:eastAsia="游ゴシック"/>
                <w:b/>
                <w:color w:val="FFFFFF"/>
                <w:sz w:val="19"/>
              </w:rPr>
              <w:t>社人研の令和2〜7年</w:t>
            </w:r>
          </w:p>
        </w:tc>
        <w:tc>
          <w:tcPr>
            <w:tcW w:type="dxa" w:w="1361"/>
            <w:shd w:val="clear" w:color="auto" w:fill="1F3864"/>
            <w:vAlign w:val="center"/>
          </w:tcPr>
          <w:p>
            <w:pPr>
              <w:spacing w:after="0"/>
              <w:jc w:val="center"/>
            </w:pPr>
            <w:r>
              <w:rPr>
                <w:rFonts w:ascii="游ゴシック" w:hAnsi="游ゴシック" w:eastAsia="游ゴシック"/>
                <w:b/>
                <w:color w:val="FFFFFF"/>
                <w:sz w:val="19"/>
              </w:rPr>
              <w:t>実績の令和2〜7年</w:t>
            </w:r>
          </w:p>
        </w:tc>
      </w:tr>
      <w:tr>
        <w:trPr>
          <w:cantSplit/>
        </w:trPr>
        <w:tc>
          <w:tcPr>
            <w:tcW w:type="dxa" w:w="1134"/>
            <w:vAlign w:val="center"/>
          </w:tcPr>
          <w:p>
            <w:pPr>
              <w:spacing w:after="0"/>
            </w:pPr>
            <w:r>
              <w:rPr>
                <w:rFonts w:ascii="游ゴシック" w:hAnsi="游ゴシック" w:eastAsia="游ゴシック"/>
                <w:b/>
                <w:sz w:val="19"/>
              </w:rPr>
              <w:t>東川町</w:t>
            </w:r>
          </w:p>
        </w:tc>
        <w:tc>
          <w:tcPr>
            <w:tcW w:type="dxa" w:w="1361"/>
            <w:vAlign w:val="center"/>
          </w:tcPr>
          <w:p>
            <w:pPr>
              <w:spacing w:after="0"/>
              <w:jc w:val="center"/>
            </w:pPr>
            <w:r>
              <w:rPr>
                <w:rFonts w:ascii="游ゴシック" w:hAnsi="游ゴシック" w:eastAsia="游ゴシック"/>
                <w:b w:val="0"/>
                <w:sz w:val="19"/>
              </w:rPr>
              <w:t>8,213人</w:t>
            </w:r>
          </w:p>
        </w:tc>
        <w:tc>
          <w:tcPr>
            <w:tcW w:type="dxa" w:w="1474"/>
            <w:vAlign w:val="center"/>
          </w:tcPr>
          <w:p>
            <w:pPr>
              <w:spacing w:after="0"/>
              <w:jc w:val="center"/>
            </w:pPr>
            <w:r>
              <w:rPr>
                <w:rFonts w:ascii="游ゴシック" w:hAnsi="游ゴシック" w:eastAsia="游ゴシック"/>
                <w:b w:val="0"/>
                <w:sz w:val="19"/>
              </w:rPr>
              <w:t>8,726人</w:t>
            </w:r>
          </w:p>
        </w:tc>
        <w:tc>
          <w:tcPr>
            <w:tcW w:type="dxa" w:w="1134"/>
            <w:vAlign w:val="center"/>
          </w:tcPr>
          <w:p>
            <w:pPr>
              <w:spacing w:after="0"/>
              <w:jc w:val="center"/>
            </w:pPr>
            <w:r>
              <w:rPr>
                <w:rFonts w:ascii="游ゴシック" w:hAnsi="游ゴシック" w:eastAsia="游ゴシック"/>
                <w:b w:val="0"/>
                <w:sz w:val="19"/>
              </w:rPr>
              <w:t>＋513人</w:t>
            </w:r>
          </w:p>
        </w:tc>
        <w:tc>
          <w:tcPr>
            <w:tcW w:type="dxa" w:w="1020"/>
            <w:vAlign w:val="center"/>
          </w:tcPr>
          <w:p>
            <w:pPr>
              <w:spacing w:after="0"/>
              <w:jc w:val="center"/>
            </w:pPr>
            <w:r>
              <w:rPr>
                <w:rFonts w:ascii="游ゴシック" w:hAnsi="游ゴシック" w:eastAsia="游ゴシック"/>
                <w:b w:val="0"/>
                <w:sz w:val="19"/>
              </w:rPr>
              <w:t>＋6.2％</w:t>
            </w:r>
          </w:p>
        </w:tc>
        <w:tc>
          <w:tcPr>
            <w:tcW w:type="dxa" w:w="1474"/>
            <w:vAlign w:val="center"/>
          </w:tcPr>
          <w:p>
            <w:pPr>
              <w:spacing w:after="0"/>
              <w:jc w:val="center"/>
            </w:pPr>
            <w:r>
              <w:rPr>
                <w:rFonts w:ascii="游ゴシック" w:hAnsi="游ゴシック" w:eastAsia="游ゴシック"/>
                <w:b w:val="0"/>
                <w:sz w:val="19"/>
              </w:rPr>
              <w:t>▲1.21％</w:t>
            </w:r>
          </w:p>
        </w:tc>
        <w:tc>
          <w:tcPr>
            <w:tcW w:type="dxa" w:w="1361"/>
            <w:vAlign w:val="center"/>
          </w:tcPr>
          <w:p>
            <w:pPr>
              <w:spacing w:after="0"/>
              <w:jc w:val="center"/>
            </w:pPr>
            <w:r>
              <w:rPr>
                <w:rFonts w:ascii="游ゴシック" w:hAnsi="游ゴシック" w:eastAsia="游ゴシック"/>
                <w:b w:val="0"/>
                <w:sz w:val="19"/>
              </w:rPr>
              <w:t>＋4.96％</w:t>
            </w:r>
          </w:p>
        </w:tc>
      </w:tr>
      <w:tr>
        <w:trPr>
          <w:cantSplit/>
        </w:trPr>
        <w:tc>
          <w:tcPr>
            <w:tcW w:type="dxa" w:w="1134"/>
            <w:shd w:val="clear" w:color="auto" w:fill="F2F5FA"/>
            <w:vAlign w:val="center"/>
          </w:tcPr>
          <w:p>
            <w:pPr>
              <w:spacing w:after="0"/>
            </w:pPr>
            <w:r>
              <w:rPr>
                <w:rFonts w:ascii="游ゴシック" w:hAnsi="游ゴシック" w:eastAsia="游ゴシック"/>
                <w:b/>
                <w:sz w:val="19"/>
              </w:rPr>
              <w:t>美瑛町</w:t>
            </w:r>
          </w:p>
        </w:tc>
        <w:tc>
          <w:tcPr>
            <w:tcW w:type="dxa" w:w="1361"/>
            <w:shd w:val="clear" w:color="auto" w:fill="F2F5FA"/>
            <w:vAlign w:val="center"/>
          </w:tcPr>
          <w:p>
            <w:pPr>
              <w:spacing w:after="0"/>
              <w:jc w:val="center"/>
            </w:pPr>
            <w:r>
              <w:rPr>
                <w:rFonts w:ascii="游ゴシック" w:hAnsi="游ゴシック" w:eastAsia="游ゴシック"/>
                <w:b w:val="0"/>
                <w:sz w:val="19"/>
              </w:rPr>
              <w:t>8,893人</w:t>
            </w:r>
          </w:p>
        </w:tc>
        <w:tc>
          <w:tcPr>
            <w:tcW w:type="dxa" w:w="1474"/>
            <w:shd w:val="clear" w:color="auto" w:fill="F2F5FA"/>
            <w:vAlign w:val="center"/>
          </w:tcPr>
          <w:p>
            <w:pPr>
              <w:spacing w:after="0"/>
              <w:jc w:val="center"/>
            </w:pPr>
            <w:r>
              <w:rPr>
                <w:rFonts w:ascii="游ゴシック" w:hAnsi="游ゴシック" w:eastAsia="游ゴシック"/>
                <w:b w:val="0"/>
                <w:sz w:val="19"/>
              </w:rPr>
              <w:t>9,337人</w:t>
            </w:r>
          </w:p>
        </w:tc>
        <w:tc>
          <w:tcPr>
            <w:tcW w:type="dxa" w:w="1134"/>
            <w:shd w:val="clear" w:color="auto" w:fill="F2F5FA"/>
            <w:vAlign w:val="center"/>
          </w:tcPr>
          <w:p>
            <w:pPr>
              <w:spacing w:after="0"/>
              <w:jc w:val="center"/>
            </w:pPr>
            <w:r>
              <w:rPr>
                <w:rFonts w:ascii="游ゴシック" w:hAnsi="游ゴシック" w:eastAsia="游ゴシック"/>
                <w:b w:val="0"/>
                <w:sz w:val="19"/>
              </w:rPr>
              <w:t>＋444人</w:t>
            </w:r>
          </w:p>
        </w:tc>
        <w:tc>
          <w:tcPr>
            <w:tcW w:type="dxa" w:w="1020"/>
            <w:shd w:val="clear" w:color="auto" w:fill="F2F5FA"/>
            <w:vAlign w:val="center"/>
          </w:tcPr>
          <w:p>
            <w:pPr>
              <w:spacing w:after="0"/>
              <w:jc w:val="center"/>
            </w:pPr>
            <w:r>
              <w:rPr>
                <w:rFonts w:ascii="游ゴシック" w:hAnsi="游ゴシック" w:eastAsia="游ゴシック"/>
                <w:b w:val="0"/>
                <w:sz w:val="19"/>
              </w:rPr>
              <w:t>＋5.0％</w:t>
            </w:r>
          </w:p>
        </w:tc>
        <w:tc>
          <w:tcPr>
            <w:tcW w:type="dxa" w:w="1474"/>
            <w:shd w:val="clear" w:color="auto" w:fill="F2F5FA"/>
            <w:vAlign w:val="center"/>
          </w:tcPr>
          <w:p>
            <w:pPr>
              <w:spacing w:after="0"/>
              <w:jc w:val="center"/>
            </w:pPr>
            <w:r>
              <w:rPr>
                <w:rFonts w:ascii="游ゴシック" w:hAnsi="游ゴシック" w:eastAsia="游ゴシック"/>
                <w:b w:val="0"/>
                <w:sz w:val="19"/>
              </w:rPr>
              <w:t>▲8.02％</w:t>
            </w:r>
          </w:p>
        </w:tc>
        <w:tc>
          <w:tcPr>
            <w:tcW w:type="dxa" w:w="1361"/>
            <w:shd w:val="clear" w:color="auto" w:fill="F2F5FA"/>
            <w:vAlign w:val="center"/>
          </w:tcPr>
          <w:p>
            <w:pPr>
              <w:spacing w:after="0"/>
              <w:jc w:val="center"/>
            </w:pPr>
            <w:r>
              <w:rPr>
                <w:rFonts w:ascii="游ゴシック" w:hAnsi="游ゴシック" w:eastAsia="游ゴシック"/>
                <w:b w:val="0"/>
                <w:sz w:val="19"/>
              </w:rPr>
              <w:t>▲3.42％</w:t>
            </w:r>
          </w:p>
        </w:tc>
      </w:tr>
      <w:tr>
        <w:trPr>
          <w:cantSplit/>
        </w:trPr>
        <w:tc>
          <w:tcPr>
            <w:tcW w:type="dxa" w:w="1134"/>
            <w:vAlign w:val="center"/>
          </w:tcPr>
          <w:p>
            <w:pPr>
              <w:spacing w:after="0"/>
            </w:pPr>
            <w:r>
              <w:rPr>
                <w:rFonts w:ascii="游ゴシック" w:hAnsi="游ゴシック" w:eastAsia="游ゴシック"/>
                <w:b/>
                <w:sz w:val="19"/>
              </w:rPr>
              <w:t>東神楽町</w:t>
            </w:r>
          </w:p>
        </w:tc>
        <w:tc>
          <w:tcPr>
            <w:tcW w:type="dxa" w:w="1361"/>
            <w:vAlign w:val="center"/>
          </w:tcPr>
          <w:p>
            <w:pPr>
              <w:spacing w:after="0"/>
              <w:jc w:val="center"/>
            </w:pPr>
            <w:r>
              <w:rPr>
                <w:rFonts w:ascii="游ゴシック" w:hAnsi="游ゴシック" w:eastAsia="游ゴシック"/>
                <w:b w:val="0"/>
                <w:sz w:val="19"/>
              </w:rPr>
              <w:t>9,996人</w:t>
            </w:r>
          </w:p>
        </w:tc>
        <w:tc>
          <w:tcPr>
            <w:tcW w:type="dxa" w:w="1474"/>
            <w:vAlign w:val="center"/>
          </w:tcPr>
          <w:p>
            <w:pPr>
              <w:spacing w:after="0"/>
              <w:jc w:val="center"/>
            </w:pPr>
            <w:r>
              <w:rPr>
                <w:rFonts w:ascii="游ゴシック" w:hAnsi="游ゴシック" w:eastAsia="游ゴシック"/>
                <w:b w:val="0"/>
                <w:sz w:val="19"/>
              </w:rPr>
              <w:t>9,588人</w:t>
            </w:r>
          </w:p>
        </w:tc>
        <w:tc>
          <w:tcPr>
            <w:tcW w:type="dxa" w:w="1134"/>
            <w:vAlign w:val="center"/>
          </w:tcPr>
          <w:p>
            <w:pPr>
              <w:spacing w:after="0"/>
              <w:jc w:val="center"/>
            </w:pPr>
            <w:r>
              <w:rPr>
                <w:rFonts w:ascii="游ゴシック" w:hAnsi="游ゴシック" w:eastAsia="游ゴシック"/>
                <w:b w:val="0"/>
                <w:sz w:val="19"/>
              </w:rPr>
              <w:t>▲408人</w:t>
            </w:r>
          </w:p>
        </w:tc>
        <w:tc>
          <w:tcPr>
            <w:tcW w:type="dxa" w:w="1020"/>
            <w:vAlign w:val="center"/>
          </w:tcPr>
          <w:p>
            <w:pPr>
              <w:spacing w:after="0"/>
              <w:jc w:val="center"/>
            </w:pPr>
            <w:r>
              <w:rPr>
                <w:rFonts w:ascii="游ゴシック" w:hAnsi="游ゴシック" w:eastAsia="游ゴシック"/>
                <w:b w:val="0"/>
                <w:sz w:val="19"/>
              </w:rPr>
              <w:t>▲4.1％</w:t>
            </w:r>
          </w:p>
        </w:tc>
        <w:tc>
          <w:tcPr>
            <w:tcW w:type="dxa" w:w="1474"/>
            <w:vAlign w:val="center"/>
          </w:tcPr>
          <w:p>
            <w:pPr>
              <w:spacing w:after="0"/>
              <w:jc w:val="center"/>
            </w:pPr>
            <w:r>
              <w:rPr>
                <w:rFonts w:ascii="游ゴシック" w:hAnsi="游ゴシック" w:eastAsia="游ゴシック"/>
                <w:b w:val="0"/>
                <w:sz w:val="19"/>
              </w:rPr>
              <w:t>▲1.29％</w:t>
            </w:r>
          </w:p>
        </w:tc>
        <w:tc>
          <w:tcPr>
            <w:tcW w:type="dxa" w:w="1361"/>
            <w:vAlign w:val="center"/>
          </w:tcPr>
          <w:p>
            <w:pPr>
              <w:spacing w:after="0"/>
              <w:jc w:val="center"/>
            </w:pPr>
            <w:r>
              <w:rPr>
                <w:rFonts w:ascii="游ゴシック" w:hAnsi="游ゴシック" w:eastAsia="游ゴシック"/>
                <w:b w:val="0"/>
                <w:sz w:val="19"/>
              </w:rPr>
              <w:t>▲5.32％</w:t>
            </w:r>
          </w:p>
        </w:tc>
      </w:tr>
      <w:tr>
        <w:trPr>
          <w:cantSplit/>
        </w:trPr>
        <w:tc>
          <w:tcPr>
            <w:tcW w:type="dxa" w:w="1134"/>
            <w:shd w:val="clear" w:color="auto" w:fill="F2F5FA"/>
            <w:vAlign w:val="center"/>
          </w:tcPr>
          <w:p>
            <w:pPr>
              <w:spacing w:after="0"/>
            </w:pPr>
            <w:r>
              <w:rPr>
                <w:rFonts w:ascii="游ゴシック" w:hAnsi="游ゴシック" w:eastAsia="游ゴシック"/>
                <w:b/>
                <w:sz w:val="19"/>
              </w:rPr>
              <w:t>3町計</w:t>
            </w:r>
          </w:p>
        </w:tc>
        <w:tc>
          <w:tcPr>
            <w:tcW w:type="dxa" w:w="1361"/>
            <w:shd w:val="clear" w:color="auto" w:fill="F2F5FA"/>
            <w:vAlign w:val="center"/>
          </w:tcPr>
          <w:p>
            <w:pPr>
              <w:spacing w:after="0"/>
              <w:jc w:val="center"/>
            </w:pPr>
            <w:r>
              <w:rPr>
                <w:rFonts w:ascii="游ゴシック" w:hAnsi="游ゴシック" w:eastAsia="游ゴシック"/>
                <w:b w:val="0"/>
                <w:sz w:val="19"/>
              </w:rPr>
              <w:t>27,102人</w:t>
            </w:r>
          </w:p>
        </w:tc>
        <w:tc>
          <w:tcPr>
            <w:tcW w:type="dxa" w:w="1474"/>
            <w:shd w:val="clear" w:color="auto" w:fill="F2F5FA"/>
            <w:vAlign w:val="center"/>
          </w:tcPr>
          <w:p>
            <w:pPr>
              <w:spacing w:after="0"/>
              <w:jc w:val="center"/>
            </w:pPr>
            <w:r>
              <w:rPr>
                <w:rFonts w:ascii="游ゴシック" w:hAnsi="游ゴシック" w:eastAsia="游ゴシック"/>
                <w:b w:val="0"/>
                <w:sz w:val="19"/>
              </w:rPr>
              <w:t>27,651人</w:t>
            </w:r>
          </w:p>
        </w:tc>
        <w:tc>
          <w:tcPr>
            <w:tcW w:type="dxa" w:w="1134"/>
            <w:shd w:val="clear" w:color="auto" w:fill="F2F5FA"/>
            <w:vAlign w:val="center"/>
          </w:tcPr>
          <w:p>
            <w:pPr>
              <w:spacing w:after="0"/>
              <w:jc w:val="center"/>
            </w:pPr>
            <w:r>
              <w:rPr>
                <w:rFonts w:ascii="游ゴシック" w:hAnsi="游ゴシック" w:eastAsia="游ゴシック"/>
                <w:b w:val="0"/>
                <w:sz w:val="19"/>
              </w:rPr>
              <w:t>＋549人</w:t>
            </w:r>
          </w:p>
        </w:tc>
        <w:tc>
          <w:tcPr>
            <w:tcW w:type="dxa" w:w="1020"/>
            <w:shd w:val="clear" w:color="auto" w:fill="F2F5FA"/>
            <w:vAlign w:val="center"/>
          </w:tcPr>
          <w:p>
            <w:pPr>
              <w:spacing w:after="0"/>
              <w:jc w:val="center"/>
            </w:pPr>
            <w:r>
              <w:rPr>
                <w:rFonts w:ascii="游ゴシック" w:hAnsi="游ゴシック" w:eastAsia="游ゴシック"/>
                <w:b w:val="0"/>
                <w:sz w:val="19"/>
              </w:rPr>
              <w:t>＋2.0％</w:t>
            </w:r>
          </w:p>
        </w:tc>
        <w:tc>
          <w:tcPr>
            <w:tcW w:type="dxa" w:w="1474"/>
            <w:shd w:val="clear" w:color="auto" w:fill="F2F5FA"/>
            <w:vAlign w:val="center"/>
          </w:tcPr>
          <w:p>
            <w:pPr>
              <w:spacing w:after="0"/>
              <w:jc w:val="center"/>
            </w:pPr>
            <w:r>
              <w:rPr>
                <w:rFonts w:ascii="游ゴシック" w:hAnsi="游ゴシック" w:eastAsia="游ゴシック"/>
                <w:b w:val="0"/>
                <w:sz w:val="19"/>
              </w:rPr>
              <w:t>―</w:t>
            </w:r>
          </w:p>
        </w:tc>
        <w:tc>
          <w:tcPr>
            <w:tcW w:type="dxa" w:w="1361"/>
            <w:shd w:val="clear" w:color="auto" w:fill="F2F5FA"/>
            <w:vAlign w:val="center"/>
          </w:tcPr>
          <w:p>
            <w:pPr>
              <w:spacing w:after="0"/>
              <w:jc w:val="center"/>
            </w:pPr>
            <w:r>
              <w:rPr>
                <w:rFonts w:ascii="游ゴシック" w:hAnsi="游ゴシック" w:eastAsia="游ゴシック"/>
                <w:b w:val="0"/>
                <w:sz w:val="19"/>
              </w:rPr>
              <w:t>―</w:t>
            </w:r>
          </w:p>
        </w:tc>
      </w:tr>
    </w:tbl>
    <w:p>
      <w:pPr>
        <w:spacing w:before="40"/>
      </w:pPr>
      <w:r>
        <w:rPr>
          <w:rFonts w:ascii="游ゴシック" w:hAnsi="游ゴシック" w:eastAsia="游ゴシック"/>
          <w:sz w:val="17"/>
        </w:rPr>
        <w:t>資料：見える化A1及び令和7年国勢調査 人口速報集計</w:t>
      </w:r>
    </w:p>
    <w:p>
      <w:r>
        <w:rPr>
          <w:rFonts w:ascii="游ゴシック" w:hAnsi="游ゴシック" w:eastAsia="游ゴシック"/>
          <w:b w:val="0"/>
          <w:sz w:val="21"/>
        </w:rPr>
        <w:t>東川町と美瑛町は社人研推計が過小、東神楽町は過大です。特に美瑛町は、社人研が5年で8.0％の減少を見込んでいたのに対し実績は3.4％で、見込みの半分以下の減少にとどまっています。</w:t>
      </w:r>
    </w:p>
    <w:p>
      <w:pPr>
        <w:keepNext/>
        <w:spacing w:before="180" w:after="60"/>
      </w:pPr>
      <w:r>
        <w:rPr>
          <w:rFonts w:ascii="游ゴシック" w:hAnsi="游ゴシック" w:eastAsia="游ゴシック"/>
          <w:b/>
          <w:sz w:val="22"/>
        </w:rPr>
        <w:t>2　総合戦略の目標人口の状況</w:t>
      </w:r>
    </w:p>
    <w:p>
      <w:pPr>
        <w:keepNext/>
        <w:spacing w:before="160" w:after="40"/>
      </w:pPr>
      <w:r>
        <w:rPr>
          <w:rFonts w:ascii="游ゴシック" w:hAnsi="游ゴシック" w:eastAsia="游ゴシック"/>
          <w:b/>
          <w:sz w:val="20"/>
        </w:rPr>
        <w:t>表5　第3期地方創生総合戦略の総人口目標と実績</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020"/>
            <w:shd w:val="clear" w:color="auto" w:fill="1F3864"/>
            <w:vAlign w:val="center"/>
          </w:tcPr>
          <w:p>
            <w:pPr>
              <w:spacing w:after="0"/>
              <w:jc w:val="center"/>
            </w:pPr>
            <w:r>
              <w:rPr>
                <w:rFonts w:ascii="游ゴシック" w:hAnsi="游ゴシック" w:eastAsia="游ゴシック"/>
                <w:b/>
                <w:color w:val="FFFFFF"/>
                <w:sz w:val="19"/>
              </w:rPr>
              <w:t>町</w:t>
            </w:r>
          </w:p>
        </w:tc>
        <w:tc>
          <w:tcPr>
            <w:tcW w:type="dxa" w:w="2268"/>
            <w:shd w:val="clear" w:color="auto" w:fill="1F3864"/>
            <w:vAlign w:val="center"/>
          </w:tcPr>
          <w:p>
            <w:pPr>
              <w:spacing w:after="0"/>
              <w:jc w:val="center"/>
            </w:pPr>
            <w:r>
              <w:rPr>
                <w:rFonts w:ascii="游ゴシック" w:hAnsi="游ゴシック" w:eastAsia="游ゴシック"/>
                <w:b/>
                <w:color w:val="FFFFFF"/>
                <w:sz w:val="19"/>
              </w:rPr>
              <w:t>総合戦略の目標</w:t>
            </w:r>
          </w:p>
        </w:tc>
        <w:tc>
          <w:tcPr>
            <w:tcW w:type="dxa" w:w="1474"/>
            <w:shd w:val="clear" w:color="auto" w:fill="1F3864"/>
            <w:vAlign w:val="center"/>
          </w:tcPr>
          <w:p>
            <w:pPr>
              <w:spacing w:after="0"/>
              <w:jc w:val="center"/>
            </w:pPr>
            <w:r>
              <w:rPr>
                <w:rFonts w:ascii="游ゴシック" w:hAnsi="游ゴシック" w:eastAsia="游ゴシック"/>
                <w:b/>
                <w:color w:val="FFFFFF"/>
                <w:sz w:val="19"/>
              </w:rPr>
              <w:t>令和7年国勢調査</w:t>
            </w:r>
          </w:p>
        </w:tc>
        <w:tc>
          <w:tcPr>
            <w:tcW w:type="dxa" w:w="1814"/>
            <w:shd w:val="clear" w:color="auto" w:fill="1F3864"/>
            <w:vAlign w:val="center"/>
          </w:tcPr>
          <w:p>
            <w:pPr>
              <w:spacing w:after="0"/>
              <w:jc w:val="center"/>
            </w:pPr>
            <w:r>
              <w:rPr>
                <w:rFonts w:ascii="游ゴシック" w:hAnsi="游ゴシック" w:eastAsia="游ゴシック"/>
                <w:b/>
                <w:color w:val="FFFFFF"/>
                <w:sz w:val="19"/>
              </w:rPr>
              <w:t>状態</w:t>
            </w:r>
          </w:p>
        </w:tc>
        <w:tc>
          <w:tcPr>
            <w:tcW w:type="dxa" w:w="3175"/>
            <w:shd w:val="clear" w:color="auto" w:fill="1F3864"/>
            <w:vAlign w:val="center"/>
          </w:tcPr>
          <w:p>
            <w:pPr>
              <w:spacing w:after="0"/>
              <w:jc w:val="center"/>
            </w:pPr>
            <w:r>
              <w:rPr>
                <w:rFonts w:ascii="游ゴシック" w:hAnsi="游ゴシック" w:eastAsia="游ゴシック"/>
                <w:b/>
                <w:color w:val="FFFFFF"/>
                <w:sz w:val="19"/>
              </w:rPr>
              <w:t>補正の考え方</w:t>
            </w:r>
          </w:p>
        </w:tc>
      </w:tr>
      <w:tr>
        <w:trPr>
          <w:cantSplit/>
        </w:trPr>
        <w:tc>
          <w:tcPr>
            <w:tcW w:type="dxa" w:w="1020"/>
            <w:vAlign w:val="center"/>
          </w:tcPr>
          <w:p>
            <w:pPr>
              <w:spacing w:after="0"/>
            </w:pPr>
            <w:r>
              <w:rPr>
                <w:rFonts w:ascii="游ゴシック" w:hAnsi="游ゴシック" w:eastAsia="游ゴシック"/>
                <w:b/>
                <w:sz w:val="19"/>
              </w:rPr>
              <w:t>東川町</w:t>
            </w:r>
          </w:p>
        </w:tc>
        <w:tc>
          <w:tcPr>
            <w:tcW w:type="dxa" w:w="2268"/>
            <w:vAlign w:val="center"/>
          </w:tcPr>
          <w:p>
            <w:pPr>
              <w:spacing w:after="0"/>
            </w:pPr>
            <w:r>
              <w:rPr>
                <w:rFonts w:ascii="游ゴシック" w:hAnsi="游ゴシック" w:eastAsia="游ゴシック"/>
                <w:b w:val="0"/>
                <w:sz w:val="19"/>
              </w:rPr>
              <w:t>8,635人（令和11年度）</w:t>
            </w:r>
          </w:p>
        </w:tc>
        <w:tc>
          <w:tcPr>
            <w:tcW w:type="dxa" w:w="1474"/>
            <w:vAlign w:val="center"/>
          </w:tcPr>
          <w:p>
            <w:pPr>
              <w:spacing w:after="0"/>
              <w:jc w:val="center"/>
            </w:pPr>
            <w:r>
              <w:rPr>
                <w:rFonts w:ascii="游ゴシック" w:hAnsi="游ゴシック" w:eastAsia="游ゴシック"/>
                <w:b w:val="0"/>
                <w:sz w:val="19"/>
              </w:rPr>
              <w:t>8,726人</w:t>
            </w:r>
          </w:p>
        </w:tc>
        <w:tc>
          <w:tcPr>
            <w:tcW w:type="dxa" w:w="1814"/>
            <w:vAlign w:val="center"/>
          </w:tcPr>
          <w:p>
            <w:pPr>
              <w:spacing w:after="0"/>
            </w:pPr>
            <w:r>
              <w:rPr>
                <w:rFonts w:ascii="游ゴシック" w:hAnsi="游ゴシック" w:eastAsia="游ゴシック"/>
                <w:b w:val="0"/>
                <w:sz w:val="19"/>
              </w:rPr>
              <w:t>既に91人上回る</w:t>
            </w:r>
          </w:p>
        </w:tc>
        <w:tc>
          <w:tcPr>
            <w:tcW w:type="dxa" w:w="3175"/>
            <w:vAlign w:val="center"/>
          </w:tcPr>
          <w:p>
            <w:pPr>
              <w:spacing w:after="0"/>
            </w:pPr>
            <w:r>
              <w:rPr>
                <w:rFonts w:ascii="游ゴシック" w:hAnsi="游ゴシック" w:eastAsia="游ゴシック"/>
                <w:b w:val="0"/>
                <w:sz w:val="19"/>
              </w:rPr>
              <w:t>目標は保守的である。実績を起点とする</w:t>
            </w:r>
          </w:p>
        </w:tc>
      </w:tr>
      <w:tr>
        <w:trPr>
          <w:cantSplit/>
        </w:trPr>
        <w:tc>
          <w:tcPr>
            <w:tcW w:type="dxa" w:w="1020"/>
            <w:shd w:val="clear" w:color="auto" w:fill="F2F5FA"/>
            <w:vAlign w:val="center"/>
          </w:tcPr>
          <w:p>
            <w:pPr>
              <w:spacing w:after="0"/>
            </w:pPr>
            <w:r>
              <w:rPr>
                <w:rFonts w:ascii="游ゴシック" w:hAnsi="游ゴシック" w:eastAsia="游ゴシック"/>
                <w:b/>
                <w:sz w:val="19"/>
              </w:rPr>
              <w:t>美瑛町</w:t>
            </w:r>
          </w:p>
        </w:tc>
        <w:tc>
          <w:tcPr>
            <w:tcW w:type="dxa" w:w="2268"/>
            <w:shd w:val="clear" w:color="auto" w:fill="F2F5FA"/>
            <w:vAlign w:val="center"/>
          </w:tcPr>
          <w:p>
            <w:pPr>
              <w:spacing w:after="0"/>
            </w:pPr>
            <w:r>
              <w:rPr>
                <w:rFonts w:ascii="游ゴシック" w:hAnsi="游ゴシック" w:eastAsia="游ゴシック"/>
                <w:b w:val="0"/>
                <w:sz w:val="19"/>
              </w:rPr>
              <w:t>設定なし</w:t>
            </w:r>
          </w:p>
        </w:tc>
        <w:tc>
          <w:tcPr>
            <w:tcW w:type="dxa" w:w="1474"/>
            <w:shd w:val="clear" w:color="auto" w:fill="F2F5FA"/>
            <w:vAlign w:val="center"/>
          </w:tcPr>
          <w:p>
            <w:pPr>
              <w:spacing w:after="0"/>
              <w:jc w:val="center"/>
            </w:pPr>
            <w:r>
              <w:rPr>
                <w:rFonts w:ascii="游ゴシック" w:hAnsi="游ゴシック" w:eastAsia="游ゴシック"/>
                <w:b w:val="0"/>
                <w:sz w:val="19"/>
              </w:rPr>
              <w:t>9,337人</w:t>
            </w:r>
          </w:p>
        </w:tc>
        <w:tc>
          <w:tcPr>
            <w:tcW w:type="dxa" w:w="1814"/>
            <w:shd w:val="clear" w:color="auto" w:fill="F2F5FA"/>
            <w:vAlign w:val="center"/>
          </w:tcPr>
          <w:p>
            <w:pPr>
              <w:spacing w:after="0"/>
            </w:pPr>
            <w:r>
              <w:rPr>
                <w:rFonts w:ascii="游ゴシック" w:hAnsi="游ゴシック" w:eastAsia="游ゴシック"/>
                <w:b w:val="0"/>
                <w:sz w:val="19"/>
              </w:rPr>
              <w:t>ベースとする値がない</w:t>
            </w:r>
          </w:p>
        </w:tc>
        <w:tc>
          <w:tcPr>
            <w:tcW w:type="dxa" w:w="3175"/>
            <w:shd w:val="clear" w:color="auto" w:fill="F2F5FA"/>
            <w:vAlign w:val="center"/>
          </w:tcPr>
          <w:p>
            <w:pPr>
              <w:spacing w:after="0"/>
            </w:pPr>
            <w:r>
              <w:rPr>
                <w:rFonts w:ascii="游ゴシック" w:hAnsi="游ゴシック" w:eastAsia="游ゴシック"/>
                <w:b w:val="0"/>
                <w:sz w:val="19"/>
              </w:rPr>
              <w:t>国勢調査及び社人研推計による</w:t>
            </w:r>
          </w:p>
        </w:tc>
      </w:tr>
      <w:tr>
        <w:trPr>
          <w:cantSplit/>
        </w:trPr>
        <w:tc>
          <w:tcPr>
            <w:tcW w:type="dxa" w:w="1020"/>
            <w:vAlign w:val="center"/>
          </w:tcPr>
          <w:p>
            <w:pPr>
              <w:spacing w:after="0"/>
            </w:pPr>
            <w:r>
              <w:rPr>
                <w:rFonts w:ascii="游ゴシック" w:hAnsi="游ゴシック" w:eastAsia="游ゴシック"/>
                <w:b/>
                <w:sz w:val="19"/>
              </w:rPr>
              <w:t>東神楽町</w:t>
            </w:r>
          </w:p>
        </w:tc>
        <w:tc>
          <w:tcPr>
            <w:tcW w:type="dxa" w:w="2268"/>
            <w:vAlign w:val="center"/>
          </w:tcPr>
          <w:p>
            <w:pPr>
              <w:spacing w:after="0"/>
            </w:pPr>
            <w:r>
              <w:rPr>
                <w:rFonts w:ascii="游ゴシック" w:hAnsi="游ゴシック" w:eastAsia="游ゴシック"/>
                <w:b w:val="0"/>
                <w:sz w:val="19"/>
              </w:rPr>
              <w:t>9,500人維持（令和11年度）</w:t>
            </w:r>
          </w:p>
        </w:tc>
        <w:tc>
          <w:tcPr>
            <w:tcW w:type="dxa" w:w="1474"/>
            <w:vAlign w:val="center"/>
          </w:tcPr>
          <w:p>
            <w:pPr>
              <w:spacing w:after="0"/>
              <w:jc w:val="center"/>
            </w:pPr>
            <w:r>
              <w:rPr>
                <w:rFonts w:ascii="游ゴシック" w:hAnsi="游ゴシック" w:eastAsia="游ゴシック"/>
                <w:b w:val="0"/>
                <w:sz w:val="19"/>
              </w:rPr>
              <w:t>9,588人</w:t>
            </w:r>
          </w:p>
        </w:tc>
        <w:tc>
          <w:tcPr>
            <w:tcW w:type="dxa" w:w="1814"/>
            <w:vAlign w:val="center"/>
          </w:tcPr>
          <w:p>
            <w:pPr>
              <w:spacing w:after="0"/>
            </w:pPr>
            <w:r>
              <w:rPr>
                <w:rFonts w:ascii="游ゴシック" w:hAnsi="游ゴシック" w:eastAsia="游ゴシック"/>
                <w:b w:val="0"/>
                <w:sz w:val="19"/>
              </w:rPr>
              <w:t>令和8年中に割り込む見込み</w:t>
            </w:r>
          </w:p>
        </w:tc>
        <w:tc>
          <w:tcPr>
            <w:tcW w:type="dxa" w:w="3175"/>
            <w:vAlign w:val="center"/>
          </w:tcPr>
          <w:p>
            <w:pPr>
              <w:spacing w:after="0"/>
            </w:pPr>
            <w:r>
              <w:rPr>
                <w:rFonts w:ascii="游ゴシック" w:hAnsi="游ゴシック" w:eastAsia="游ゴシック"/>
                <w:b w:val="0"/>
                <w:sz w:val="19"/>
              </w:rPr>
              <w:t>目標をそのまま用いると過大になる。実績の趨勢による</w:t>
            </w:r>
          </w:p>
        </w:tc>
      </w:tr>
    </w:tbl>
    <w:p>
      <w:pPr>
        <w:spacing w:before="40"/>
      </w:pPr>
      <w:r>
        <w:rPr>
          <w:rFonts w:ascii="游ゴシック" w:hAnsi="游ゴシック" w:eastAsia="游ゴシック"/>
          <w:sz w:val="17"/>
        </w:rPr>
        <w:t>資料：3町の第3期まち・ひと・しごと創生総合戦略（令和7年3月）及び令和7年国勢調査 人口速報集計</w:t>
      </w:r>
    </w:p>
    <w:p>
      <w:r>
        <w:rPr>
          <w:rFonts w:ascii="游ゴシック" w:hAnsi="游ゴシック" w:eastAsia="游ゴシック"/>
          <w:b/>
          <w:sz w:val="21"/>
        </w:rPr>
        <w:t>3町一律に総合戦略の目標値を用いることはできません。美瑛町は目標値そのものがなく、東神楽町は目標が実績から離れつつあります。</w:t>
      </w:r>
    </w:p>
    <w:p>
      <w:pPr>
        <w:keepNext/>
        <w:spacing w:before="180" w:after="60"/>
      </w:pPr>
      <w:r>
        <w:rPr>
          <w:rFonts w:ascii="游ゴシック" w:hAnsi="游ゴシック" w:eastAsia="游ゴシック"/>
          <w:b/>
          <w:sz w:val="22"/>
        </w:rPr>
        <w:t>3　補正の考え方（受託者の案）</w:t>
      </w:r>
    </w:p>
    <w:p>
      <w:r>
        <w:rPr>
          <w:rFonts w:ascii="游ゴシック" w:hAnsi="游ゴシック" w:eastAsia="游ゴシック"/>
          <w:b w:val="0"/>
          <w:sz w:val="21"/>
        </w:rPr>
        <w:t>次の4段階で補正します。</w:t>
      </w:r>
    </w:p>
    <w:p>
      <w:pPr>
        <w:keepNext/>
        <w:spacing w:before="160" w:after="40"/>
      </w:pPr>
      <w:r>
        <w:rPr>
          <w:rFonts w:ascii="游ゴシック" w:hAnsi="游ゴシック" w:eastAsia="游ゴシック"/>
          <w:b/>
          <w:sz w:val="20"/>
        </w:rPr>
        <w:t>表6　人口推計の補正の手順</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spacing w:after="0"/>
              <w:jc w:val="center"/>
            </w:pPr>
            <w:r>
              <w:rPr>
                <w:rFonts w:ascii="游ゴシック" w:hAnsi="游ゴシック" w:eastAsia="游ゴシック"/>
                <w:b/>
                <w:color w:val="FFFFFF"/>
                <w:sz w:val="19"/>
              </w:rPr>
              <w:t>段階</w:t>
            </w:r>
          </w:p>
        </w:tc>
        <w:tc>
          <w:tcPr>
            <w:tcW w:type="dxa" w:w="5216"/>
            <w:shd w:val="clear" w:color="auto" w:fill="1F3864"/>
            <w:vAlign w:val="center"/>
          </w:tcPr>
          <w:p>
            <w:pPr>
              <w:spacing w:after="0"/>
              <w:jc w:val="center"/>
            </w:pPr>
            <w:r>
              <w:rPr>
                <w:rFonts w:ascii="游ゴシック" w:hAnsi="游ゴシック" w:eastAsia="游ゴシック"/>
                <w:b/>
                <w:color w:val="FFFFFF"/>
                <w:sz w:val="19"/>
              </w:rPr>
              <w:t>内容</w:t>
            </w:r>
          </w:p>
        </w:tc>
        <w:tc>
          <w:tcPr>
            <w:tcW w:type="dxa" w:w="2835"/>
            <w:shd w:val="clear" w:color="auto" w:fill="1F3864"/>
            <w:vAlign w:val="center"/>
          </w:tcPr>
          <w:p>
            <w:pPr>
              <w:spacing w:after="0"/>
              <w:jc w:val="center"/>
            </w:pPr>
            <w:r>
              <w:rPr>
                <w:rFonts w:ascii="游ゴシック" w:hAnsi="游ゴシック" w:eastAsia="游ゴシック"/>
                <w:b/>
                <w:color w:val="FFFFFF"/>
                <w:sz w:val="19"/>
              </w:rPr>
              <w:t>用いるデータ</w:t>
            </w:r>
          </w:p>
        </w:tc>
      </w:tr>
      <w:tr>
        <w:trPr>
          <w:cantSplit/>
        </w:trPr>
        <w:tc>
          <w:tcPr>
            <w:tcW w:type="dxa" w:w="1701"/>
            <w:vAlign w:val="center"/>
          </w:tcPr>
          <w:p>
            <w:pPr>
              <w:spacing w:after="0"/>
            </w:pPr>
            <w:r>
              <w:rPr>
                <w:rFonts w:ascii="游ゴシック" w:hAnsi="游ゴシック" w:eastAsia="游ゴシック"/>
                <w:b/>
                <w:sz w:val="19"/>
              </w:rPr>
              <w:t>① 基準人口の統一</w:t>
            </w:r>
          </w:p>
        </w:tc>
        <w:tc>
          <w:tcPr>
            <w:tcW w:type="dxa" w:w="5216"/>
            <w:vAlign w:val="center"/>
          </w:tcPr>
          <w:p>
            <w:pPr>
              <w:spacing w:after="0"/>
            </w:pPr>
            <w:r>
              <w:rPr>
                <w:rFonts w:ascii="游ゴシック" w:hAnsi="游ゴシック" w:eastAsia="游ゴシック"/>
                <w:b w:val="0"/>
                <w:sz w:val="19"/>
              </w:rPr>
              <w:t>令和7年国勢調査（令和7年10月1日現在）を3町共通の基準とする。総合戦略は基準時点が町により異なるため、国勢調査で揃える。</w:t>
            </w:r>
          </w:p>
        </w:tc>
        <w:tc>
          <w:tcPr>
            <w:tcW w:type="dxa" w:w="2835"/>
            <w:vAlign w:val="center"/>
          </w:tcPr>
          <w:p>
            <w:pPr>
              <w:spacing w:after="0"/>
            </w:pPr>
            <w:r>
              <w:rPr>
                <w:rFonts w:ascii="游ゴシック" w:hAnsi="游ゴシック" w:eastAsia="游ゴシック"/>
                <w:b w:val="0"/>
                <w:sz w:val="19"/>
              </w:rPr>
              <w:t>令和7年国勢調査 人口速報集計</w:t>
            </w:r>
          </w:p>
        </w:tc>
      </w:tr>
      <w:tr>
        <w:trPr>
          <w:cantSplit/>
        </w:trPr>
        <w:tc>
          <w:tcPr>
            <w:tcW w:type="dxa" w:w="1701"/>
            <w:shd w:val="clear" w:color="auto" w:fill="F2F5FA"/>
            <w:vAlign w:val="center"/>
          </w:tcPr>
          <w:p>
            <w:pPr>
              <w:spacing w:after="0"/>
            </w:pPr>
            <w:r>
              <w:rPr>
                <w:rFonts w:ascii="游ゴシック" w:hAnsi="游ゴシック" w:eastAsia="游ゴシック"/>
                <w:b/>
                <w:sz w:val="19"/>
              </w:rPr>
              <w:t>② 年齢構成の作成</w:t>
            </w:r>
          </w:p>
        </w:tc>
        <w:tc>
          <w:tcPr>
            <w:tcW w:type="dxa" w:w="5216"/>
            <w:shd w:val="clear" w:color="auto" w:fill="F2F5FA"/>
            <w:vAlign w:val="center"/>
          </w:tcPr>
          <w:p>
            <w:pPr>
              <w:spacing w:after="0"/>
            </w:pPr>
            <w:r>
              <w:rPr>
                <w:rFonts w:ascii="游ゴシック" w:hAnsi="游ゴシック" w:eastAsia="游ゴシック"/>
                <w:b w:val="0"/>
                <w:sz w:val="19"/>
              </w:rPr>
              <w:t>国勢調査の人口等基本集計（令和8年11月頃公表見込み）を待たず、住民基本台帳の年齢5歳階級別の構成比を①の総人口に適用する。基本集計の公表後に差し替える。【平成31年から令和7年までの7年分を入手済み】</w:t>
            </w:r>
          </w:p>
        </w:tc>
        <w:tc>
          <w:tcPr>
            <w:tcW w:type="dxa" w:w="2835"/>
            <w:shd w:val="clear" w:color="auto" w:fill="F2F5FA"/>
            <w:vAlign w:val="center"/>
          </w:tcPr>
          <w:p>
            <w:pPr>
              <w:spacing w:after="0"/>
            </w:pPr>
            <w:r>
              <w:rPr>
                <w:rFonts w:ascii="游ゴシック" w:hAnsi="游ゴシック" w:eastAsia="游ゴシック"/>
                <w:b w:val="0"/>
                <w:sz w:val="19"/>
              </w:rPr>
              <w:t>住民基本台帳年齢別人口（市区町村別・各年1月1日現在）</w:t>
            </w:r>
          </w:p>
        </w:tc>
      </w:tr>
      <w:tr>
        <w:trPr>
          <w:cantSplit/>
        </w:trPr>
        <w:tc>
          <w:tcPr>
            <w:tcW w:type="dxa" w:w="1701"/>
            <w:vAlign w:val="center"/>
          </w:tcPr>
          <w:p>
            <w:pPr>
              <w:spacing w:after="0"/>
            </w:pPr>
            <w:r>
              <w:rPr>
                <w:rFonts w:ascii="游ゴシック" w:hAnsi="游ゴシック" w:eastAsia="游ゴシック"/>
                <w:b/>
                <w:sz w:val="19"/>
              </w:rPr>
              <w:t>③ 伸び率の補正</w:t>
            </w:r>
          </w:p>
        </w:tc>
        <w:tc>
          <w:tcPr>
            <w:tcW w:type="dxa" w:w="5216"/>
            <w:vAlign w:val="center"/>
          </w:tcPr>
          <w:p>
            <w:pPr>
              <w:spacing w:after="0"/>
            </w:pPr>
            <w:r>
              <w:rPr>
                <w:rFonts w:ascii="游ゴシック" w:hAnsi="游ゴシック" w:eastAsia="游ゴシック"/>
                <w:b w:val="0"/>
                <w:sz w:val="19"/>
              </w:rPr>
              <w:t>社人研推計を基本としつつ、令和2年から令和7年の実績との乖離が大きい町は伸び率を補正する。この5年は社人研 令和5年推計の基準年から最初の推計年までの区間であり、推計そのものを実績で検証できる。【算定済み。下表のとおり】</w:t>
            </w:r>
          </w:p>
        </w:tc>
        <w:tc>
          <w:tcPr>
            <w:tcW w:type="dxa" w:w="2835"/>
            <w:vAlign w:val="center"/>
          </w:tcPr>
          <w:p>
            <w:pPr>
              <w:spacing w:after="0"/>
            </w:pPr>
            <w:r>
              <w:rPr>
                <w:rFonts w:ascii="游ゴシック" w:hAnsi="游ゴシック" w:eastAsia="游ゴシック"/>
                <w:b w:val="0"/>
                <w:sz w:val="19"/>
              </w:rPr>
              <w:t>社人研 令和5年推計、住民基本台帳、国勢調査の実績</w:t>
            </w:r>
          </w:p>
        </w:tc>
      </w:tr>
      <w:tr>
        <w:trPr>
          <w:cantSplit/>
        </w:trPr>
        <w:tc>
          <w:tcPr>
            <w:tcW w:type="dxa" w:w="1701"/>
            <w:shd w:val="clear" w:color="auto" w:fill="F2F5FA"/>
            <w:vAlign w:val="center"/>
          </w:tcPr>
          <w:p>
            <w:pPr>
              <w:spacing w:after="0"/>
            </w:pPr>
            <w:r>
              <w:rPr>
                <w:rFonts w:ascii="游ゴシック" w:hAnsi="游ゴシック" w:eastAsia="游ゴシック"/>
                <w:b/>
                <w:sz w:val="19"/>
              </w:rPr>
              <w:t>④ 65歳以上・75歳以上での検証</w:t>
            </w:r>
          </w:p>
        </w:tc>
        <w:tc>
          <w:tcPr>
            <w:tcW w:type="dxa" w:w="5216"/>
            <w:shd w:val="clear" w:color="auto" w:fill="F2F5FA"/>
            <w:vAlign w:val="center"/>
          </w:tcPr>
          <w:p>
            <w:pPr>
              <w:spacing w:after="0"/>
            </w:pPr>
            <w:r>
              <w:rPr>
                <w:rFonts w:ascii="游ゴシック" w:hAnsi="游ゴシック" w:eastAsia="游ゴシック"/>
                <w:b w:val="0"/>
                <w:sz w:val="19"/>
              </w:rPr>
              <w:t>補正の結果を65歳以上・75歳以上で検証する。給付費に効くのはこの2区分であり、総人口ではない。</w:t>
            </w:r>
          </w:p>
        </w:tc>
        <w:tc>
          <w:tcPr>
            <w:tcW w:type="dxa" w:w="2835"/>
            <w:shd w:val="clear" w:color="auto" w:fill="F2F5FA"/>
            <w:vAlign w:val="center"/>
          </w:tcPr>
          <w:p>
            <w:pPr>
              <w:spacing w:after="0"/>
            </w:pPr>
            <w:r>
              <w:rPr>
                <w:rFonts w:ascii="游ゴシック" w:hAnsi="游ゴシック" w:eastAsia="游ゴシック"/>
                <w:b w:val="0"/>
                <w:sz w:val="19"/>
              </w:rPr>
              <w:t>住民基本台帳、見える化A2・A3</w:t>
            </w:r>
          </w:p>
        </w:tc>
      </w:tr>
    </w:tbl>
    <w:p>
      <w:r>
        <w:rPr>
          <w:rFonts w:ascii="游ゴシック" w:hAnsi="游ゴシック" w:eastAsia="游ゴシック"/>
          <w:b/>
          <w:sz w:val="21"/>
        </w:rPr>
        <w:t>③の算定結果は次のとおりです。65〜74歳は3町とも上方に補正する方向で、75歳以上は美瑛町が上方に、東神楽町が下方に補正する方向です。東川町の75歳以上は補正しません。</w:t>
      </w:r>
    </w:p>
    <w:p>
      <w:pPr>
        <w:keepNext/>
        <w:spacing w:before="160" w:after="40"/>
      </w:pPr>
      <w:r>
        <w:rPr>
          <w:rFonts w:ascii="游ゴシック" w:hAnsi="游ゴシック" w:eastAsia="游ゴシック"/>
          <w:b/>
          <w:sz w:val="20"/>
        </w:rPr>
        <w:t>表7　町別・年齢階級別の伸び率の突合（令和2年1月1日→令和7年1月1日・5年）</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077"/>
            <w:shd w:val="clear" w:color="auto" w:fill="1F3864"/>
            <w:vAlign w:val="center"/>
          </w:tcPr>
          <w:p>
            <w:pPr>
              <w:spacing w:after="0"/>
              <w:jc w:val="center"/>
            </w:pPr>
            <w:r>
              <w:rPr>
                <w:rFonts w:ascii="游ゴシック" w:hAnsi="游ゴシック" w:eastAsia="游ゴシック"/>
                <w:b/>
                <w:color w:val="FFFFFF"/>
                <w:sz w:val="19"/>
              </w:rPr>
              <w:t>町</w:t>
            </w:r>
          </w:p>
        </w:tc>
        <w:tc>
          <w:tcPr>
            <w:tcW w:type="dxa" w:w="1191"/>
            <w:shd w:val="clear" w:color="auto" w:fill="1F3864"/>
            <w:vAlign w:val="center"/>
          </w:tcPr>
          <w:p>
            <w:pPr>
              <w:spacing w:after="0"/>
              <w:jc w:val="center"/>
            </w:pPr>
            <w:r>
              <w:rPr>
                <w:rFonts w:ascii="游ゴシック" w:hAnsi="游ゴシック" w:eastAsia="游ゴシック"/>
                <w:b/>
                <w:color w:val="FFFFFF"/>
                <w:sz w:val="19"/>
              </w:rPr>
              <w:t>区分</w:t>
            </w:r>
          </w:p>
        </w:tc>
        <w:tc>
          <w:tcPr>
            <w:tcW w:type="dxa" w:w="1474"/>
            <w:shd w:val="clear" w:color="auto" w:fill="1F3864"/>
            <w:vAlign w:val="center"/>
          </w:tcPr>
          <w:p>
            <w:pPr>
              <w:spacing w:after="0"/>
              <w:jc w:val="center"/>
            </w:pPr>
            <w:r>
              <w:rPr>
                <w:rFonts w:ascii="游ゴシック" w:hAnsi="游ゴシック" w:eastAsia="游ゴシック"/>
                <w:b/>
                <w:color w:val="FFFFFF"/>
                <w:sz w:val="19"/>
              </w:rPr>
              <w:t>住民基本台帳</w:t>
              <w:br/>
              <w:t>（実績）</w:t>
            </w:r>
          </w:p>
        </w:tc>
        <w:tc>
          <w:tcPr>
            <w:tcW w:type="dxa" w:w="1361"/>
            <w:shd w:val="clear" w:color="auto" w:fill="1F3864"/>
            <w:vAlign w:val="center"/>
          </w:tcPr>
          <w:p>
            <w:pPr>
              <w:spacing w:after="0"/>
              <w:jc w:val="center"/>
            </w:pPr>
            <w:r>
              <w:rPr>
                <w:rFonts w:ascii="游ゴシック" w:hAnsi="游ゴシック" w:eastAsia="游ゴシック"/>
                <w:b/>
                <w:color w:val="FFFFFF"/>
                <w:sz w:val="19"/>
              </w:rPr>
              <w:t>社人研</w:t>
              <w:br/>
              <w:t>（推計）</w:t>
            </w:r>
          </w:p>
        </w:tc>
        <w:tc>
          <w:tcPr>
            <w:tcW w:type="dxa" w:w="1134"/>
            <w:shd w:val="clear" w:color="auto" w:fill="1F3864"/>
            <w:vAlign w:val="center"/>
          </w:tcPr>
          <w:p>
            <w:pPr>
              <w:spacing w:after="0"/>
              <w:jc w:val="center"/>
            </w:pPr>
            <w:r>
              <w:rPr>
                <w:rFonts w:ascii="游ゴシック" w:hAnsi="游ゴシック" w:eastAsia="游ゴシック"/>
                <w:b/>
                <w:color w:val="FFFFFF"/>
                <w:sz w:val="19"/>
              </w:rPr>
              <w:t>年平均の差</w:t>
            </w:r>
          </w:p>
        </w:tc>
        <w:tc>
          <w:tcPr>
            <w:tcW w:type="dxa" w:w="3515"/>
            <w:shd w:val="clear" w:color="auto" w:fill="1F3864"/>
            <w:vAlign w:val="center"/>
          </w:tcPr>
          <w:p>
            <w:pPr>
              <w:spacing w:after="0"/>
              <w:jc w:val="center"/>
            </w:pPr>
            <w:r>
              <w:rPr>
                <w:rFonts w:ascii="游ゴシック" w:hAnsi="游ゴシック" w:eastAsia="游ゴシック"/>
                <w:b/>
                <w:color w:val="FFFFFF"/>
                <w:sz w:val="19"/>
              </w:rPr>
              <w:t>補正の向き</w:t>
            </w:r>
          </w:p>
        </w:tc>
      </w:tr>
      <w:tr>
        <w:trPr>
          <w:cantSplit/>
        </w:trPr>
        <w:tc>
          <w:tcPr>
            <w:tcW w:type="dxa" w:w="1077"/>
            <w:vAlign w:val="center"/>
          </w:tcPr>
          <w:p>
            <w:pPr>
              <w:spacing w:after="0"/>
            </w:pPr>
            <w:r>
              <w:rPr>
                <w:rFonts w:ascii="游ゴシック" w:hAnsi="游ゴシック" w:eastAsia="游ゴシック"/>
                <w:b/>
                <w:sz w:val="19"/>
              </w:rPr>
              <w:t>東川町</w:t>
            </w:r>
          </w:p>
        </w:tc>
        <w:tc>
          <w:tcPr>
            <w:tcW w:type="dxa" w:w="1191"/>
            <w:vAlign w:val="center"/>
          </w:tcPr>
          <w:p>
            <w:pPr>
              <w:spacing w:after="0"/>
            </w:pPr>
            <w:r>
              <w:rPr>
                <w:rFonts w:ascii="游ゴシック" w:hAnsi="游ゴシック" w:eastAsia="游ゴシック"/>
                <w:b w:val="0"/>
                <w:sz w:val="19"/>
              </w:rPr>
              <w:t>65〜74歳</w:t>
            </w:r>
          </w:p>
        </w:tc>
        <w:tc>
          <w:tcPr>
            <w:tcW w:type="dxa" w:w="1474"/>
            <w:vAlign w:val="center"/>
          </w:tcPr>
          <w:p>
            <w:pPr>
              <w:spacing w:after="0"/>
              <w:jc w:val="center"/>
            </w:pPr>
            <w:r>
              <w:rPr>
                <w:rFonts w:ascii="游ゴシック" w:hAnsi="游ゴシック" w:eastAsia="游ゴシック"/>
                <w:b w:val="0"/>
                <w:sz w:val="19"/>
              </w:rPr>
              <w:t>▲3.24％</w:t>
            </w:r>
          </w:p>
        </w:tc>
        <w:tc>
          <w:tcPr>
            <w:tcW w:type="dxa" w:w="1361"/>
            <w:vAlign w:val="center"/>
          </w:tcPr>
          <w:p>
            <w:pPr>
              <w:spacing w:after="0"/>
              <w:jc w:val="center"/>
            </w:pPr>
            <w:r>
              <w:rPr>
                <w:rFonts w:ascii="游ゴシック" w:hAnsi="游ゴシック" w:eastAsia="游ゴシック"/>
                <w:b w:val="0"/>
                <w:sz w:val="19"/>
              </w:rPr>
              <w:t>▲5.19％</w:t>
            </w:r>
          </w:p>
        </w:tc>
        <w:tc>
          <w:tcPr>
            <w:tcW w:type="dxa" w:w="1134"/>
            <w:vAlign w:val="center"/>
          </w:tcPr>
          <w:p>
            <w:pPr>
              <w:spacing w:after="0"/>
              <w:jc w:val="center"/>
            </w:pPr>
            <w:r>
              <w:rPr>
                <w:rFonts w:ascii="游ゴシック" w:hAnsi="游ゴシック" w:eastAsia="游ゴシック"/>
                <w:b w:val="0"/>
                <w:sz w:val="19"/>
              </w:rPr>
              <w:t>▲1.96pt</w:t>
            </w:r>
          </w:p>
        </w:tc>
        <w:tc>
          <w:tcPr>
            <w:tcW w:type="dxa" w:w="3515"/>
            <w:vAlign w:val="center"/>
          </w:tcPr>
          <w:p>
            <w:pPr>
              <w:spacing w:after="0"/>
            </w:pPr>
            <w:r>
              <w:rPr>
                <w:rFonts w:ascii="游ゴシック" w:hAnsi="游ゴシック" w:eastAsia="游ゴシック"/>
                <w:b w:val="0"/>
                <w:sz w:val="19"/>
              </w:rPr>
              <w:t>上方に補正（3年で＋6.3％）</w:t>
            </w:r>
          </w:p>
        </w:tc>
      </w:tr>
      <w:tr>
        <w:trPr>
          <w:cantSplit/>
        </w:trPr>
        <w:tc>
          <w:tcPr>
            <w:tcW w:type="dxa" w:w="1077"/>
            <w:shd w:val="clear" w:color="auto" w:fill="F2F5FA"/>
            <w:vAlign w:val="center"/>
          </w:tcPr>
          <w:p>
            <w:pPr>
              <w:spacing w:after="0"/>
            </w:pPr>
            <w:r>
              <w:rPr>
                <w:rFonts w:ascii="游ゴシック" w:hAnsi="游ゴシック" w:eastAsia="游ゴシック"/>
                <w:b/>
                <w:sz w:val="19"/>
              </w:rPr>
            </w:r>
          </w:p>
        </w:tc>
        <w:tc>
          <w:tcPr>
            <w:tcW w:type="dxa" w:w="1191"/>
            <w:shd w:val="clear" w:color="auto" w:fill="F2F5FA"/>
            <w:vAlign w:val="center"/>
          </w:tcPr>
          <w:p>
            <w:pPr>
              <w:spacing w:after="0"/>
            </w:pPr>
            <w:r>
              <w:rPr>
                <w:rFonts w:ascii="游ゴシック" w:hAnsi="游ゴシック" w:eastAsia="游ゴシック"/>
                <w:b w:val="0"/>
                <w:sz w:val="19"/>
              </w:rPr>
              <w:t>75歳以上</w:t>
            </w:r>
          </w:p>
        </w:tc>
        <w:tc>
          <w:tcPr>
            <w:tcW w:type="dxa" w:w="1474"/>
            <w:shd w:val="clear" w:color="auto" w:fill="F2F5FA"/>
            <w:vAlign w:val="center"/>
          </w:tcPr>
          <w:p>
            <w:pPr>
              <w:spacing w:after="0"/>
              <w:jc w:val="center"/>
            </w:pPr>
            <w:r>
              <w:rPr>
                <w:rFonts w:ascii="游ゴシック" w:hAnsi="游ゴシック" w:eastAsia="游ゴシック"/>
                <w:b w:val="0"/>
                <w:sz w:val="19"/>
              </w:rPr>
              <w:t>＋2.91％</w:t>
            </w:r>
          </w:p>
        </w:tc>
        <w:tc>
          <w:tcPr>
            <w:tcW w:type="dxa" w:w="1361"/>
            <w:shd w:val="clear" w:color="auto" w:fill="F2F5FA"/>
            <w:vAlign w:val="center"/>
          </w:tcPr>
          <w:p>
            <w:pPr>
              <w:spacing w:after="0"/>
              <w:jc w:val="center"/>
            </w:pPr>
            <w:r>
              <w:rPr>
                <w:rFonts w:ascii="游ゴシック" w:hAnsi="游ゴシック" w:eastAsia="游ゴシック"/>
                <w:b w:val="0"/>
                <w:sz w:val="19"/>
              </w:rPr>
              <w:t>＋3.04％</w:t>
            </w:r>
          </w:p>
        </w:tc>
        <w:tc>
          <w:tcPr>
            <w:tcW w:type="dxa" w:w="1134"/>
            <w:shd w:val="clear" w:color="auto" w:fill="F2F5FA"/>
            <w:vAlign w:val="center"/>
          </w:tcPr>
          <w:p>
            <w:pPr>
              <w:spacing w:after="0"/>
              <w:jc w:val="center"/>
            </w:pPr>
            <w:r>
              <w:rPr>
                <w:rFonts w:ascii="游ゴシック" w:hAnsi="游ゴシック" w:eastAsia="游ゴシック"/>
                <w:b w:val="0"/>
                <w:sz w:val="19"/>
              </w:rPr>
              <w:t>＋0.13pt</w:t>
            </w:r>
          </w:p>
        </w:tc>
        <w:tc>
          <w:tcPr>
            <w:tcW w:type="dxa" w:w="3515"/>
            <w:shd w:val="clear" w:color="auto" w:fill="F2F5FA"/>
            <w:vAlign w:val="center"/>
          </w:tcPr>
          <w:p>
            <w:pPr>
              <w:spacing w:after="0"/>
            </w:pPr>
            <w:r>
              <w:rPr>
                <w:rFonts w:ascii="游ゴシック" w:hAnsi="游ゴシック" w:eastAsia="游ゴシック"/>
                <w:b w:val="0"/>
                <w:sz w:val="19"/>
              </w:rPr>
              <w:t>補正しない</w:t>
            </w:r>
          </w:p>
        </w:tc>
      </w:tr>
      <w:tr>
        <w:trPr>
          <w:cantSplit/>
        </w:trPr>
        <w:tc>
          <w:tcPr>
            <w:tcW w:type="dxa" w:w="1077"/>
            <w:vAlign w:val="center"/>
          </w:tcPr>
          <w:p>
            <w:pPr>
              <w:spacing w:after="0"/>
            </w:pPr>
            <w:r>
              <w:rPr>
                <w:rFonts w:ascii="游ゴシック" w:hAnsi="游ゴシック" w:eastAsia="游ゴシック"/>
                <w:b/>
                <w:sz w:val="19"/>
              </w:rPr>
              <w:t>美瑛町</w:t>
            </w:r>
          </w:p>
        </w:tc>
        <w:tc>
          <w:tcPr>
            <w:tcW w:type="dxa" w:w="1191"/>
            <w:vAlign w:val="center"/>
          </w:tcPr>
          <w:p>
            <w:pPr>
              <w:spacing w:after="0"/>
            </w:pPr>
            <w:r>
              <w:rPr>
                <w:rFonts w:ascii="游ゴシック" w:hAnsi="游ゴシック" w:eastAsia="游ゴシック"/>
                <w:b w:val="0"/>
                <w:sz w:val="19"/>
              </w:rPr>
              <w:t>65〜74歳</w:t>
            </w:r>
          </w:p>
        </w:tc>
        <w:tc>
          <w:tcPr>
            <w:tcW w:type="dxa" w:w="1474"/>
            <w:vAlign w:val="center"/>
          </w:tcPr>
          <w:p>
            <w:pPr>
              <w:spacing w:after="0"/>
              <w:jc w:val="center"/>
            </w:pPr>
            <w:r>
              <w:rPr>
                <w:rFonts w:ascii="游ゴシック" w:hAnsi="游ゴシック" w:eastAsia="游ゴシック"/>
                <w:b w:val="0"/>
                <w:sz w:val="19"/>
              </w:rPr>
              <w:t>▲2.72％</w:t>
            </w:r>
          </w:p>
        </w:tc>
        <w:tc>
          <w:tcPr>
            <w:tcW w:type="dxa" w:w="1361"/>
            <w:vAlign w:val="center"/>
          </w:tcPr>
          <w:p>
            <w:pPr>
              <w:spacing w:after="0"/>
              <w:jc w:val="center"/>
            </w:pPr>
            <w:r>
              <w:rPr>
                <w:rFonts w:ascii="游ゴシック" w:hAnsi="游ゴシック" w:eastAsia="游ゴシック"/>
                <w:b w:val="0"/>
                <w:sz w:val="19"/>
              </w:rPr>
              <w:t>▲3.86％</w:t>
            </w:r>
          </w:p>
        </w:tc>
        <w:tc>
          <w:tcPr>
            <w:tcW w:type="dxa" w:w="1134"/>
            <w:vAlign w:val="center"/>
          </w:tcPr>
          <w:p>
            <w:pPr>
              <w:spacing w:after="0"/>
              <w:jc w:val="center"/>
            </w:pPr>
            <w:r>
              <w:rPr>
                <w:rFonts w:ascii="游ゴシック" w:hAnsi="游ゴシック" w:eastAsia="游ゴシック"/>
                <w:b w:val="0"/>
                <w:sz w:val="19"/>
              </w:rPr>
              <w:t>▲1.15pt</w:t>
            </w:r>
          </w:p>
        </w:tc>
        <w:tc>
          <w:tcPr>
            <w:tcW w:type="dxa" w:w="3515"/>
            <w:vAlign w:val="center"/>
          </w:tcPr>
          <w:p>
            <w:pPr>
              <w:spacing w:after="0"/>
            </w:pPr>
            <w:r>
              <w:rPr>
                <w:rFonts w:ascii="游ゴシック" w:hAnsi="游ゴシック" w:eastAsia="游ゴシック"/>
                <w:b w:val="0"/>
                <w:sz w:val="19"/>
              </w:rPr>
              <w:t>上方に補正（3年で＋3.6％）</w:t>
            </w:r>
          </w:p>
        </w:tc>
      </w:tr>
      <w:tr>
        <w:trPr>
          <w:cantSplit/>
        </w:trPr>
        <w:tc>
          <w:tcPr>
            <w:tcW w:type="dxa" w:w="1077"/>
            <w:shd w:val="clear" w:color="auto" w:fill="F2F5FA"/>
            <w:vAlign w:val="center"/>
          </w:tcPr>
          <w:p>
            <w:pPr>
              <w:spacing w:after="0"/>
            </w:pPr>
            <w:r>
              <w:rPr>
                <w:rFonts w:ascii="游ゴシック" w:hAnsi="游ゴシック" w:eastAsia="游ゴシック"/>
                <w:b/>
                <w:sz w:val="19"/>
              </w:rPr>
            </w:r>
          </w:p>
        </w:tc>
        <w:tc>
          <w:tcPr>
            <w:tcW w:type="dxa" w:w="1191"/>
            <w:shd w:val="clear" w:color="auto" w:fill="F2F5FA"/>
            <w:vAlign w:val="center"/>
          </w:tcPr>
          <w:p>
            <w:pPr>
              <w:spacing w:after="0"/>
            </w:pPr>
            <w:r>
              <w:rPr>
                <w:rFonts w:ascii="游ゴシック" w:hAnsi="游ゴシック" w:eastAsia="游ゴシック"/>
                <w:b w:val="0"/>
                <w:sz w:val="19"/>
              </w:rPr>
              <w:t>75歳以上</w:t>
            </w:r>
          </w:p>
        </w:tc>
        <w:tc>
          <w:tcPr>
            <w:tcW w:type="dxa" w:w="1474"/>
            <w:shd w:val="clear" w:color="auto" w:fill="F2F5FA"/>
            <w:vAlign w:val="center"/>
          </w:tcPr>
          <w:p>
            <w:pPr>
              <w:spacing w:after="0"/>
              <w:jc w:val="center"/>
            </w:pPr>
            <w:r>
              <w:rPr>
                <w:rFonts w:ascii="游ゴシック" w:hAnsi="游ゴシック" w:eastAsia="游ゴシック"/>
                <w:b w:val="0"/>
                <w:sz w:val="19"/>
              </w:rPr>
              <w:t>＋0.69％</w:t>
            </w:r>
          </w:p>
        </w:tc>
        <w:tc>
          <w:tcPr>
            <w:tcW w:type="dxa" w:w="1361"/>
            <w:shd w:val="clear" w:color="auto" w:fill="F2F5FA"/>
            <w:vAlign w:val="center"/>
          </w:tcPr>
          <w:p>
            <w:pPr>
              <w:spacing w:after="0"/>
              <w:jc w:val="center"/>
            </w:pPr>
            <w:r>
              <w:rPr>
                <w:rFonts w:ascii="游ゴシック" w:hAnsi="游ゴシック" w:eastAsia="游ゴシック"/>
                <w:b w:val="0"/>
                <w:sz w:val="19"/>
              </w:rPr>
              <w:t>＋0.40％</w:t>
            </w:r>
          </w:p>
        </w:tc>
        <w:tc>
          <w:tcPr>
            <w:tcW w:type="dxa" w:w="1134"/>
            <w:shd w:val="clear" w:color="auto" w:fill="F2F5FA"/>
            <w:vAlign w:val="center"/>
          </w:tcPr>
          <w:p>
            <w:pPr>
              <w:spacing w:after="0"/>
              <w:jc w:val="center"/>
            </w:pPr>
            <w:r>
              <w:rPr>
                <w:rFonts w:ascii="游ゴシック" w:hAnsi="游ゴシック" w:eastAsia="游ゴシック"/>
                <w:b w:val="0"/>
                <w:sz w:val="19"/>
              </w:rPr>
              <w:t>▲0.29pt</w:t>
            </w:r>
          </w:p>
        </w:tc>
        <w:tc>
          <w:tcPr>
            <w:tcW w:type="dxa" w:w="3515"/>
            <w:shd w:val="clear" w:color="auto" w:fill="F2F5FA"/>
            <w:vAlign w:val="center"/>
          </w:tcPr>
          <w:p>
            <w:pPr>
              <w:spacing w:after="0"/>
            </w:pPr>
            <w:r>
              <w:rPr>
                <w:rFonts w:ascii="游ゴシック" w:hAnsi="游ゴシック" w:eastAsia="游ゴシック"/>
                <w:b w:val="0"/>
                <w:sz w:val="19"/>
              </w:rPr>
              <w:t>上方に補正（3年で＋0.9％）</w:t>
            </w:r>
          </w:p>
        </w:tc>
      </w:tr>
      <w:tr>
        <w:trPr>
          <w:cantSplit/>
        </w:trPr>
        <w:tc>
          <w:tcPr>
            <w:tcW w:type="dxa" w:w="1077"/>
            <w:vAlign w:val="center"/>
          </w:tcPr>
          <w:p>
            <w:pPr>
              <w:spacing w:after="0"/>
            </w:pPr>
            <w:r>
              <w:rPr>
                <w:rFonts w:ascii="游ゴシック" w:hAnsi="游ゴシック" w:eastAsia="游ゴシック"/>
                <w:b/>
                <w:sz w:val="19"/>
              </w:rPr>
              <w:t>東神楽町</w:t>
            </w:r>
          </w:p>
        </w:tc>
        <w:tc>
          <w:tcPr>
            <w:tcW w:type="dxa" w:w="1191"/>
            <w:vAlign w:val="center"/>
          </w:tcPr>
          <w:p>
            <w:pPr>
              <w:spacing w:after="0"/>
            </w:pPr>
            <w:r>
              <w:rPr>
                <w:rFonts w:ascii="游ゴシック" w:hAnsi="游ゴシック" w:eastAsia="游ゴシック"/>
                <w:b w:val="0"/>
                <w:sz w:val="19"/>
              </w:rPr>
              <w:t>65〜74歳</w:t>
            </w:r>
          </w:p>
        </w:tc>
        <w:tc>
          <w:tcPr>
            <w:tcW w:type="dxa" w:w="1474"/>
            <w:vAlign w:val="center"/>
          </w:tcPr>
          <w:p>
            <w:pPr>
              <w:spacing w:after="0"/>
              <w:jc w:val="center"/>
            </w:pPr>
            <w:r>
              <w:rPr>
                <w:rFonts w:ascii="游ゴシック" w:hAnsi="游ゴシック" w:eastAsia="游ゴシック"/>
                <w:b w:val="0"/>
                <w:sz w:val="19"/>
              </w:rPr>
              <w:t>▲0.19％</w:t>
            </w:r>
          </w:p>
        </w:tc>
        <w:tc>
          <w:tcPr>
            <w:tcW w:type="dxa" w:w="1361"/>
            <w:vAlign w:val="center"/>
          </w:tcPr>
          <w:p>
            <w:pPr>
              <w:spacing w:after="0"/>
              <w:jc w:val="center"/>
            </w:pPr>
            <w:r>
              <w:rPr>
                <w:rFonts w:ascii="游ゴシック" w:hAnsi="游ゴシック" w:eastAsia="游ゴシック"/>
                <w:b w:val="0"/>
                <w:sz w:val="19"/>
              </w:rPr>
              <w:t>▲0.94％</w:t>
            </w:r>
          </w:p>
        </w:tc>
        <w:tc>
          <w:tcPr>
            <w:tcW w:type="dxa" w:w="1134"/>
            <w:vAlign w:val="center"/>
          </w:tcPr>
          <w:p>
            <w:pPr>
              <w:spacing w:after="0"/>
              <w:jc w:val="center"/>
            </w:pPr>
            <w:r>
              <w:rPr>
                <w:rFonts w:ascii="游ゴシック" w:hAnsi="游ゴシック" w:eastAsia="游ゴシック"/>
                <w:b w:val="0"/>
                <w:sz w:val="19"/>
              </w:rPr>
              <w:t>▲0.75pt</w:t>
            </w:r>
          </w:p>
        </w:tc>
        <w:tc>
          <w:tcPr>
            <w:tcW w:type="dxa" w:w="3515"/>
            <w:vAlign w:val="center"/>
          </w:tcPr>
          <w:p>
            <w:pPr>
              <w:spacing w:after="0"/>
            </w:pPr>
            <w:r>
              <w:rPr>
                <w:rFonts w:ascii="游ゴシック" w:hAnsi="游ゴシック" w:eastAsia="游ゴシック"/>
                <w:b w:val="0"/>
                <w:sz w:val="19"/>
              </w:rPr>
              <w:t>上方に補正（3年で＋2.3％）</w:t>
            </w:r>
          </w:p>
        </w:tc>
      </w:tr>
      <w:tr>
        <w:trPr>
          <w:cantSplit/>
        </w:trPr>
        <w:tc>
          <w:tcPr>
            <w:tcW w:type="dxa" w:w="1077"/>
            <w:shd w:val="clear" w:color="auto" w:fill="F2F5FA"/>
            <w:vAlign w:val="center"/>
          </w:tcPr>
          <w:p>
            <w:pPr>
              <w:spacing w:after="0"/>
            </w:pPr>
            <w:r>
              <w:rPr>
                <w:rFonts w:ascii="游ゴシック" w:hAnsi="游ゴシック" w:eastAsia="游ゴシック"/>
                <w:b/>
                <w:sz w:val="19"/>
              </w:rPr>
            </w:r>
          </w:p>
        </w:tc>
        <w:tc>
          <w:tcPr>
            <w:tcW w:type="dxa" w:w="1191"/>
            <w:shd w:val="clear" w:color="auto" w:fill="F2F5FA"/>
            <w:vAlign w:val="center"/>
          </w:tcPr>
          <w:p>
            <w:pPr>
              <w:spacing w:after="0"/>
            </w:pPr>
            <w:r>
              <w:rPr>
                <w:rFonts w:ascii="游ゴシック" w:hAnsi="游ゴシック" w:eastAsia="游ゴシック"/>
                <w:b w:val="0"/>
                <w:sz w:val="19"/>
              </w:rPr>
              <w:t>75歳以上</w:t>
            </w:r>
          </w:p>
        </w:tc>
        <w:tc>
          <w:tcPr>
            <w:tcW w:type="dxa" w:w="1474"/>
            <w:shd w:val="clear" w:color="auto" w:fill="F2F5FA"/>
            <w:vAlign w:val="center"/>
          </w:tcPr>
          <w:p>
            <w:pPr>
              <w:spacing w:after="0"/>
              <w:jc w:val="center"/>
            </w:pPr>
            <w:r>
              <w:rPr>
                <w:rFonts w:ascii="游ゴシック" w:hAnsi="游ゴシック" w:eastAsia="游ゴシック"/>
                <w:b w:val="0"/>
                <w:sz w:val="19"/>
              </w:rPr>
              <w:t>＋2.10％</w:t>
            </w:r>
          </w:p>
        </w:tc>
        <w:tc>
          <w:tcPr>
            <w:tcW w:type="dxa" w:w="1361"/>
            <w:shd w:val="clear" w:color="auto" w:fill="F2F5FA"/>
            <w:vAlign w:val="center"/>
          </w:tcPr>
          <w:p>
            <w:pPr>
              <w:spacing w:after="0"/>
              <w:jc w:val="center"/>
            </w:pPr>
            <w:r>
              <w:rPr>
                <w:rFonts w:ascii="游ゴシック" w:hAnsi="游ゴシック" w:eastAsia="游ゴシック"/>
                <w:b w:val="0"/>
                <w:sz w:val="19"/>
              </w:rPr>
              <w:t>＋2.87％</w:t>
            </w:r>
          </w:p>
        </w:tc>
        <w:tc>
          <w:tcPr>
            <w:tcW w:type="dxa" w:w="1134"/>
            <w:shd w:val="clear" w:color="auto" w:fill="F2F5FA"/>
            <w:vAlign w:val="center"/>
          </w:tcPr>
          <w:p>
            <w:pPr>
              <w:spacing w:after="0"/>
              <w:jc w:val="center"/>
            </w:pPr>
            <w:r>
              <w:rPr>
                <w:rFonts w:ascii="游ゴシック" w:hAnsi="游ゴシック" w:eastAsia="游ゴシック"/>
                <w:b w:val="0"/>
                <w:sz w:val="19"/>
              </w:rPr>
              <w:t>＋0.78pt</w:t>
            </w:r>
          </w:p>
        </w:tc>
        <w:tc>
          <w:tcPr>
            <w:tcW w:type="dxa" w:w="3515"/>
            <w:shd w:val="clear" w:color="auto" w:fill="F2F5FA"/>
            <w:vAlign w:val="center"/>
          </w:tcPr>
          <w:p>
            <w:pPr>
              <w:spacing w:after="0"/>
            </w:pPr>
            <w:r>
              <w:rPr>
                <w:rFonts w:ascii="游ゴシック" w:hAnsi="游ゴシック" w:eastAsia="游ゴシック"/>
                <w:b w:val="0"/>
                <w:sz w:val="19"/>
              </w:rPr>
              <w:t>下方に補正（3年で▲2.2％）</w:t>
            </w:r>
          </w:p>
        </w:tc>
      </w:tr>
      <w:tr>
        <w:trPr>
          <w:cantSplit/>
        </w:trPr>
        <w:tc>
          <w:tcPr>
            <w:tcW w:type="dxa" w:w="1077"/>
            <w:vAlign w:val="center"/>
          </w:tcPr>
          <w:p>
            <w:pPr>
              <w:spacing w:after="0"/>
            </w:pPr>
            <w:r>
              <w:rPr>
                <w:rFonts w:ascii="游ゴシック" w:hAnsi="游ゴシック" w:eastAsia="游ゴシック"/>
                <w:b/>
                <w:sz w:val="19"/>
              </w:rPr>
              <w:t>3町計</w:t>
            </w:r>
          </w:p>
        </w:tc>
        <w:tc>
          <w:tcPr>
            <w:tcW w:type="dxa" w:w="1191"/>
            <w:vAlign w:val="center"/>
          </w:tcPr>
          <w:p>
            <w:pPr>
              <w:spacing w:after="0"/>
            </w:pPr>
            <w:r>
              <w:rPr>
                <w:rFonts w:ascii="游ゴシック" w:hAnsi="游ゴシック" w:eastAsia="游ゴシック"/>
                <w:b w:val="0"/>
                <w:sz w:val="19"/>
              </w:rPr>
              <w:t>65〜74歳</w:t>
            </w:r>
          </w:p>
        </w:tc>
        <w:tc>
          <w:tcPr>
            <w:tcW w:type="dxa" w:w="1474"/>
            <w:vAlign w:val="center"/>
          </w:tcPr>
          <w:p>
            <w:pPr>
              <w:spacing w:after="0"/>
              <w:jc w:val="center"/>
            </w:pPr>
            <w:r>
              <w:rPr>
                <w:rFonts w:ascii="游ゴシック" w:hAnsi="游ゴシック" w:eastAsia="游ゴシック"/>
                <w:b w:val="0"/>
                <w:sz w:val="19"/>
              </w:rPr>
              <w:t>▲2.04％</w:t>
            </w:r>
          </w:p>
        </w:tc>
        <w:tc>
          <w:tcPr>
            <w:tcW w:type="dxa" w:w="1361"/>
            <w:vAlign w:val="center"/>
          </w:tcPr>
          <w:p>
            <w:pPr>
              <w:spacing w:after="0"/>
              <w:jc w:val="center"/>
            </w:pPr>
            <w:r>
              <w:rPr>
                <w:rFonts w:ascii="游ゴシック" w:hAnsi="游ゴシック" w:eastAsia="游ゴシック"/>
                <w:b w:val="0"/>
                <w:sz w:val="19"/>
              </w:rPr>
              <w:t>▲3.24％</w:t>
            </w:r>
          </w:p>
        </w:tc>
        <w:tc>
          <w:tcPr>
            <w:tcW w:type="dxa" w:w="1134"/>
            <w:vAlign w:val="center"/>
          </w:tcPr>
          <w:p>
            <w:pPr>
              <w:spacing w:after="0"/>
              <w:jc w:val="center"/>
            </w:pPr>
            <w:r>
              <w:rPr>
                <w:rFonts w:ascii="游ゴシック" w:hAnsi="游ゴシック" w:eastAsia="游ゴシック"/>
                <w:b w:val="0"/>
                <w:sz w:val="19"/>
              </w:rPr>
              <w:t>▲1.20pt</w:t>
            </w:r>
          </w:p>
        </w:tc>
        <w:tc>
          <w:tcPr>
            <w:tcW w:type="dxa" w:w="3515"/>
            <w:vAlign w:val="center"/>
          </w:tcPr>
          <w:p>
            <w:pPr>
              <w:spacing w:after="0"/>
            </w:pPr>
            <w:r>
              <w:rPr>
                <w:rFonts w:ascii="游ゴシック" w:hAnsi="游ゴシック" w:eastAsia="游ゴシック"/>
                <w:b w:val="0"/>
                <w:sz w:val="19"/>
              </w:rPr>
              <w:t>上方に補正（3年で＋3.8％）</w:t>
            </w:r>
          </w:p>
        </w:tc>
      </w:tr>
      <w:tr>
        <w:trPr>
          <w:cantSplit/>
        </w:trPr>
        <w:tc>
          <w:tcPr>
            <w:tcW w:type="dxa" w:w="1077"/>
            <w:shd w:val="clear" w:color="auto" w:fill="F2F5FA"/>
            <w:vAlign w:val="center"/>
          </w:tcPr>
          <w:p>
            <w:pPr>
              <w:spacing w:after="0"/>
            </w:pPr>
            <w:r>
              <w:rPr>
                <w:rFonts w:ascii="游ゴシック" w:hAnsi="游ゴシック" w:eastAsia="游ゴシック"/>
                <w:b/>
                <w:sz w:val="19"/>
              </w:rPr>
            </w:r>
          </w:p>
        </w:tc>
        <w:tc>
          <w:tcPr>
            <w:tcW w:type="dxa" w:w="1191"/>
            <w:shd w:val="clear" w:color="auto" w:fill="F2F5FA"/>
            <w:vAlign w:val="center"/>
          </w:tcPr>
          <w:p>
            <w:pPr>
              <w:spacing w:after="0"/>
            </w:pPr>
            <w:r>
              <w:rPr>
                <w:rFonts w:ascii="游ゴシック" w:hAnsi="游ゴシック" w:eastAsia="游ゴシック"/>
                <w:b w:val="0"/>
                <w:sz w:val="19"/>
              </w:rPr>
              <w:t>75歳以上</w:t>
            </w:r>
          </w:p>
        </w:tc>
        <w:tc>
          <w:tcPr>
            <w:tcW w:type="dxa" w:w="1474"/>
            <w:shd w:val="clear" w:color="auto" w:fill="F2F5FA"/>
            <w:vAlign w:val="center"/>
          </w:tcPr>
          <w:p>
            <w:pPr>
              <w:spacing w:after="0"/>
              <w:jc w:val="center"/>
            </w:pPr>
            <w:r>
              <w:rPr>
                <w:rFonts w:ascii="游ゴシック" w:hAnsi="游ゴシック" w:eastAsia="游ゴシック"/>
                <w:b w:val="0"/>
                <w:sz w:val="19"/>
              </w:rPr>
              <w:t>＋1.74％</w:t>
            </w:r>
          </w:p>
        </w:tc>
        <w:tc>
          <w:tcPr>
            <w:tcW w:type="dxa" w:w="1361"/>
            <w:shd w:val="clear" w:color="auto" w:fill="F2F5FA"/>
            <w:vAlign w:val="center"/>
          </w:tcPr>
          <w:p>
            <w:pPr>
              <w:spacing w:after="0"/>
              <w:jc w:val="center"/>
            </w:pPr>
            <w:r>
              <w:rPr>
                <w:rFonts w:ascii="游ゴシック" w:hAnsi="游ゴシック" w:eastAsia="游ゴシック"/>
                <w:b w:val="0"/>
                <w:sz w:val="19"/>
              </w:rPr>
              <w:t>＋1.99％</w:t>
            </w:r>
          </w:p>
        </w:tc>
        <w:tc>
          <w:tcPr>
            <w:tcW w:type="dxa" w:w="1134"/>
            <w:shd w:val="clear" w:color="auto" w:fill="F2F5FA"/>
            <w:vAlign w:val="center"/>
          </w:tcPr>
          <w:p>
            <w:pPr>
              <w:spacing w:after="0"/>
              <w:jc w:val="center"/>
            </w:pPr>
            <w:r>
              <w:rPr>
                <w:rFonts w:ascii="游ゴシック" w:hAnsi="游ゴシック" w:eastAsia="游ゴシック"/>
                <w:b w:val="0"/>
                <w:sz w:val="19"/>
              </w:rPr>
              <w:t>＋0.25pt</w:t>
            </w:r>
          </w:p>
        </w:tc>
        <w:tc>
          <w:tcPr>
            <w:tcW w:type="dxa" w:w="3515"/>
            <w:shd w:val="clear" w:color="auto" w:fill="F2F5FA"/>
            <w:vAlign w:val="center"/>
          </w:tcPr>
          <w:p>
            <w:pPr>
              <w:spacing w:after="0"/>
            </w:pPr>
            <w:r>
              <w:rPr>
                <w:rFonts w:ascii="游ゴシック" w:hAnsi="游ゴシック" w:eastAsia="游ゴシック"/>
                <w:b w:val="0"/>
                <w:sz w:val="19"/>
              </w:rPr>
              <w:t>下方に補正（3年で▲0.7％）</w:t>
            </w:r>
          </w:p>
        </w:tc>
      </w:tr>
    </w:tbl>
    <w:p>
      <w:pPr>
        <w:spacing w:before="40"/>
      </w:pPr>
      <w:r>
        <w:rPr>
          <w:rFonts w:ascii="游ゴシック" w:hAnsi="游ゴシック" w:eastAsia="游ゴシック"/>
          <w:sz w:val="17"/>
        </w:rPr>
        <w:t>資料：総務省「住民基本台帳に基づく人口、人口動態及び世帯数」年齢別人口（市区町村別）【総計】、社人研「日本の地域別将来推計人口（令和5年推計）」（見える化A1・A2・A3・A4及び結果表3-3・3-4）</w:t>
      </w:r>
    </w:p>
    <w:p>
      <w:pPr>
        <w:ind w:left="227"/>
      </w:pPr>
      <w:r>
        <w:rPr>
          <w:rFonts w:ascii="游ゴシック" w:hAnsi="游ゴシック" w:eastAsia="游ゴシック"/>
          <w:sz w:val="18"/>
        </w:rPr>
        <w:t>※ 社人研側の町別65歳以上・75歳以上は、結果表3-3・3-4の町別の年齢別人口割合（公表値）によります（令和8年8月31日受領）。令和8年8月30日までは按分による推計値を用いており、そのときとは町別の補正の向きが異なります。</w:t>
      </w:r>
    </w:p>
    <w:p>
      <w:r>
        <w:rPr>
          <w:rFonts w:ascii="游ゴシック" w:hAnsi="游ゴシック" w:eastAsia="游ゴシック"/>
          <w:b w:val="0"/>
          <w:sz w:val="21"/>
        </w:rPr>
      </w:r>
    </w:p>
    <w:p>
      <w:r>
        <w:rPr>
          <w:rFonts w:ascii="游ゴシック" w:hAnsi="游ゴシック" w:eastAsia="游ゴシック"/>
          <w:b w:val="0"/>
          <w:sz w:val="20"/>
        </w:rPr>
        <w:t>なお、令和8年8月31日に「人口推計は社人研ではなく総合戦略上の人口で行ってほしい」とのご指示をいただきました。総合戦略の目標は総人口のみで年齢階級別の内訳がなく、美瑛町には目標そのものが設定されていないため、3町一律に総合戦略の値を用いることはできません。総人口は総合戦略の目標、年齢階級別は住民基本台帳の実績趨勢による案を別途お示ししています（人口推計の基礎の変更_総合戦略ベース）。</w:t>
      </w:r>
    </w:p>
    <w:p>
      <w:r>
        <w:rPr>
          <w:rFonts w:ascii="游ゴシック" w:hAnsi="游ゴシック" w:eastAsia="游ゴシック"/>
          <w:b w:val="0"/>
          <w:sz w:val="21"/>
        </w:rPr>
        <w:t>社人研は3町とも65〜74歳の減少を実績より速く見込んでいます。75歳以上は、東川町が実績の方が速く増え、東神楽町は社人研の方が速く見込んでいます。3町計で75歳以上に下方補正が生じる原因は、実質的に東神楽町にあります。</w:t>
      </w:r>
    </w:p>
    <w:p>
      <w:pPr>
        <w:ind w:left="227"/>
      </w:pPr>
      <w:r>
        <w:rPr>
          <w:rFonts w:ascii="游ゴシック" w:hAnsi="游ゴシック" w:eastAsia="游ゴシック"/>
          <w:sz w:val="18"/>
        </w:rPr>
        <w:t>※ 社人研側の町別75歳以上は、令和2年国勢調査の町別75歳以上を起点に、3町計の後期高齢者比の推移で按分した当方の推計値です。町別の公表値ではありません。社人研の市区町村別・男女5歳階級別表を取得するまで、町別の75歳以上の補正の向きは暫定とします。［要確認］</w:t>
      </w:r>
    </w:p>
    <w:p>
      <w:pPr>
        <w:ind w:left="227"/>
      </w:pPr>
      <w:r>
        <w:rPr>
          <w:rFonts w:ascii="游ゴシック" w:hAnsi="游ゴシック" w:eastAsia="游ゴシック"/>
          <w:sz w:val="18"/>
        </w:rPr>
        <w:t>※ 補正係数は算定しましたが、町別の適用は保留します。当方の推計は基準人口（第1号被保険者数）に伸び率を掛ける構造であるため、町別に適用するには町別の第1号被保険者数（65〜74歳・75〜84歳・85歳以上、令和8年3月末）が必要です。現在は3町計のみを見える化B4cから得ています。</w:t>
      </w:r>
    </w:p>
    <w:p>
      <w:pPr>
        <w:keepNext/>
        <w:spacing w:before="180" w:after="60"/>
      </w:pPr>
      <w:r>
        <w:rPr>
          <w:rFonts w:ascii="游ゴシック" w:hAnsi="游ゴシック" w:eastAsia="游ゴシック"/>
          <w:b/>
          <w:sz w:val="22"/>
        </w:rPr>
        <w:t>4　総人口の乖離は給付費に直結しない</w:t>
      </w:r>
    </w:p>
    <w:p>
      <w:r>
        <w:rPr>
          <w:rFonts w:ascii="游ゴシック" w:hAnsi="游ゴシック" w:eastAsia="游ゴシック"/>
          <w:b w:val="0"/>
          <w:sz w:val="21"/>
        </w:rPr>
        <w:t>補正の設計で最も重要な点です。住民基本台帳（令和8年）と社人研推計を突き合わせると、総人口と高齢者数で向きが逆になります。</w:t>
      </w:r>
    </w:p>
    <w:p>
      <w:pPr>
        <w:keepNext/>
        <w:spacing w:before="160" w:after="40"/>
      </w:pPr>
      <w:r>
        <w:rPr>
          <w:rFonts w:ascii="游ゴシック" w:hAnsi="游ゴシック" w:eastAsia="游ゴシック"/>
          <w:b/>
          <w:sz w:val="20"/>
        </w:rPr>
        <w:t>表8　住民基本台帳と社人研推計の差（3町計）</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1247"/>
            <w:shd w:val="clear" w:color="auto" w:fill="1F3864"/>
            <w:vAlign w:val="center"/>
          </w:tcPr>
          <w:p>
            <w:pPr>
              <w:spacing w:after="0"/>
              <w:jc w:val="center"/>
            </w:pPr>
            <w:r>
              <w:rPr>
                <w:rFonts w:ascii="游ゴシック" w:hAnsi="游ゴシック" w:eastAsia="游ゴシック"/>
                <w:b/>
                <w:color w:val="FFFFFF"/>
                <w:sz w:val="19"/>
              </w:rPr>
              <w:t>区分</w:t>
            </w:r>
          </w:p>
        </w:tc>
        <w:tc>
          <w:tcPr>
            <w:tcW w:type="dxa" w:w="1474"/>
            <w:shd w:val="clear" w:color="auto" w:fill="1F3864"/>
            <w:vAlign w:val="center"/>
          </w:tcPr>
          <w:p>
            <w:pPr>
              <w:spacing w:after="0"/>
              <w:jc w:val="center"/>
            </w:pPr>
            <w:r>
              <w:rPr>
                <w:rFonts w:ascii="游ゴシック" w:hAnsi="游ゴシック" w:eastAsia="游ゴシック"/>
                <w:b/>
                <w:color w:val="FFFFFF"/>
                <w:sz w:val="19"/>
              </w:rPr>
              <w:t>住民基本台帳</w:t>
            </w:r>
          </w:p>
        </w:tc>
        <w:tc>
          <w:tcPr>
            <w:tcW w:type="dxa" w:w="1474"/>
            <w:shd w:val="clear" w:color="auto" w:fill="1F3864"/>
            <w:vAlign w:val="center"/>
          </w:tcPr>
          <w:p>
            <w:pPr>
              <w:spacing w:after="0"/>
              <w:jc w:val="center"/>
            </w:pPr>
            <w:r>
              <w:rPr>
                <w:rFonts w:ascii="游ゴシック" w:hAnsi="游ゴシック" w:eastAsia="游ゴシック"/>
                <w:b/>
                <w:color w:val="FFFFFF"/>
                <w:sz w:val="19"/>
              </w:rPr>
              <w:t>社人研推計</w:t>
            </w:r>
          </w:p>
        </w:tc>
        <w:tc>
          <w:tcPr>
            <w:tcW w:type="dxa" w:w="1134"/>
            <w:shd w:val="clear" w:color="auto" w:fill="1F3864"/>
            <w:vAlign w:val="center"/>
          </w:tcPr>
          <w:p>
            <w:pPr>
              <w:spacing w:after="0"/>
              <w:jc w:val="center"/>
            </w:pPr>
            <w:r>
              <w:rPr>
                <w:rFonts w:ascii="游ゴシック" w:hAnsi="游ゴシック" w:eastAsia="游ゴシック"/>
                <w:b/>
                <w:color w:val="FFFFFF"/>
                <w:sz w:val="19"/>
              </w:rPr>
              <w:t>差</w:t>
            </w:r>
          </w:p>
        </w:tc>
        <w:tc>
          <w:tcPr>
            <w:tcW w:type="dxa" w:w="1020"/>
            <w:shd w:val="clear" w:color="auto" w:fill="1F3864"/>
            <w:vAlign w:val="center"/>
          </w:tcPr>
          <w:p>
            <w:pPr>
              <w:spacing w:after="0"/>
              <w:jc w:val="center"/>
            </w:pPr>
            <w:r>
              <w:rPr>
                <w:rFonts w:ascii="游ゴシック" w:hAnsi="游ゴシック" w:eastAsia="游ゴシック"/>
                <w:b/>
                <w:color w:val="FFFFFF"/>
                <w:sz w:val="19"/>
              </w:rPr>
              <w:t>乖離率</w:t>
            </w:r>
          </w:p>
        </w:tc>
        <w:tc>
          <w:tcPr>
            <w:tcW w:type="dxa" w:w="3402"/>
            <w:shd w:val="clear" w:color="auto" w:fill="1F3864"/>
            <w:vAlign w:val="center"/>
          </w:tcPr>
          <w:p>
            <w:pPr>
              <w:spacing w:after="0"/>
              <w:jc w:val="center"/>
            </w:pPr>
            <w:r>
              <w:rPr>
                <w:rFonts w:ascii="游ゴシック" w:hAnsi="游ゴシック" w:eastAsia="游ゴシック"/>
                <w:b/>
                <w:color w:val="FFFFFF"/>
                <w:sz w:val="19"/>
              </w:rPr>
              <w:t>見方</w:t>
            </w:r>
          </w:p>
        </w:tc>
      </w:tr>
      <w:tr>
        <w:trPr>
          <w:cantSplit/>
        </w:trPr>
        <w:tc>
          <w:tcPr>
            <w:tcW w:type="dxa" w:w="1247"/>
            <w:vAlign w:val="center"/>
          </w:tcPr>
          <w:p>
            <w:pPr>
              <w:spacing w:after="0"/>
            </w:pPr>
            <w:r>
              <w:rPr>
                <w:rFonts w:ascii="游ゴシック" w:hAnsi="游ゴシック" w:eastAsia="游ゴシック"/>
                <w:b/>
                <w:sz w:val="19"/>
              </w:rPr>
              <w:t>総人口</w:t>
            </w:r>
          </w:p>
        </w:tc>
        <w:tc>
          <w:tcPr>
            <w:tcW w:type="dxa" w:w="1474"/>
            <w:vAlign w:val="center"/>
          </w:tcPr>
          <w:p>
            <w:pPr>
              <w:spacing w:after="0"/>
              <w:jc w:val="center"/>
            </w:pPr>
            <w:r>
              <w:rPr>
                <w:rFonts w:ascii="游ゴシック" w:hAnsi="游ゴシック" w:eastAsia="游ゴシック"/>
                <w:b w:val="0"/>
                <w:sz w:val="19"/>
              </w:rPr>
              <w:t>27,498人</w:t>
            </w:r>
          </w:p>
        </w:tc>
        <w:tc>
          <w:tcPr>
            <w:tcW w:type="dxa" w:w="1474"/>
            <w:vAlign w:val="center"/>
          </w:tcPr>
          <w:p>
            <w:pPr>
              <w:spacing w:after="0"/>
              <w:jc w:val="center"/>
            </w:pPr>
            <w:r>
              <w:rPr>
                <w:rFonts w:ascii="游ゴシック" w:hAnsi="游ゴシック" w:eastAsia="游ゴシック"/>
                <w:b w:val="0"/>
                <w:sz w:val="19"/>
              </w:rPr>
              <w:t>26,876人</w:t>
            </w:r>
          </w:p>
        </w:tc>
        <w:tc>
          <w:tcPr>
            <w:tcW w:type="dxa" w:w="1134"/>
            <w:vAlign w:val="center"/>
          </w:tcPr>
          <w:p>
            <w:pPr>
              <w:spacing w:after="0"/>
              <w:jc w:val="center"/>
            </w:pPr>
            <w:r>
              <w:rPr>
                <w:rFonts w:ascii="游ゴシック" w:hAnsi="游ゴシック" w:eastAsia="游ゴシック"/>
                <w:b w:val="0"/>
                <w:sz w:val="19"/>
              </w:rPr>
              <w:t>＋622人</w:t>
            </w:r>
          </w:p>
        </w:tc>
        <w:tc>
          <w:tcPr>
            <w:tcW w:type="dxa" w:w="1020"/>
            <w:vAlign w:val="center"/>
          </w:tcPr>
          <w:p>
            <w:pPr>
              <w:spacing w:after="0"/>
              <w:jc w:val="center"/>
            </w:pPr>
            <w:r>
              <w:rPr>
                <w:rFonts w:ascii="游ゴシック" w:hAnsi="游ゴシック" w:eastAsia="游ゴシック"/>
                <w:b w:val="0"/>
                <w:sz w:val="19"/>
              </w:rPr>
              <w:t>＋2.3％</w:t>
            </w:r>
          </w:p>
        </w:tc>
        <w:tc>
          <w:tcPr>
            <w:tcW w:type="dxa" w:w="3402"/>
            <w:vAlign w:val="center"/>
          </w:tcPr>
          <w:p>
            <w:pPr>
              <w:spacing w:after="0"/>
            </w:pPr>
            <w:r>
              <w:rPr>
                <w:rFonts w:ascii="游ゴシック" w:hAnsi="游ゴシック" w:eastAsia="游ゴシック"/>
                <w:b w:val="0"/>
                <w:sz w:val="19"/>
              </w:rPr>
              <w:t>住基が多い。乖離は若年層にある</w:t>
            </w:r>
          </w:p>
        </w:tc>
      </w:tr>
      <w:tr>
        <w:trPr>
          <w:cantSplit/>
        </w:trPr>
        <w:tc>
          <w:tcPr>
            <w:tcW w:type="dxa" w:w="1247"/>
            <w:shd w:val="clear" w:color="auto" w:fill="F2F5FA"/>
            <w:vAlign w:val="center"/>
          </w:tcPr>
          <w:p>
            <w:pPr>
              <w:spacing w:after="0"/>
            </w:pPr>
            <w:r>
              <w:rPr>
                <w:rFonts w:ascii="游ゴシック" w:hAnsi="游ゴシック" w:eastAsia="游ゴシック"/>
                <w:b/>
                <w:sz w:val="19"/>
              </w:rPr>
              <w:t>65歳以上</w:t>
            </w:r>
          </w:p>
        </w:tc>
        <w:tc>
          <w:tcPr>
            <w:tcW w:type="dxa" w:w="1474"/>
            <w:shd w:val="clear" w:color="auto" w:fill="F2F5FA"/>
            <w:vAlign w:val="center"/>
          </w:tcPr>
          <w:p>
            <w:pPr>
              <w:spacing w:after="0"/>
              <w:jc w:val="center"/>
            </w:pPr>
            <w:r>
              <w:rPr>
                <w:rFonts w:ascii="游ゴシック" w:hAnsi="游ゴシック" w:eastAsia="游ゴシック"/>
                <w:b w:val="0"/>
                <w:sz w:val="19"/>
              </w:rPr>
              <w:t>9,176人</w:t>
            </w:r>
          </w:p>
        </w:tc>
        <w:tc>
          <w:tcPr>
            <w:tcW w:type="dxa" w:w="1474"/>
            <w:shd w:val="clear" w:color="auto" w:fill="F2F5FA"/>
            <w:vAlign w:val="center"/>
          </w:tcPr>
          <w:p>
            <w:pPr>
              <w:spacing w:after="0"/>
              <w:jc w:val="center"/>
            </w:pPr>
            <w:r>
              <w:rPr>
                <w:rFonts w:ascii="游ゴシック" w:hAnsi="游ゴシック" w:eastAsia="游ゴシック"/>
                <w:b w:val="0"/>
                <w:sz w:val="19"/>
              </w:rPr>
              <w:t>9,320人</w:t>
            </w:r>
          </w:p>
        </w:tc>
        <w:tc>
          <w:tcPr>
            <w:tcW w:type="dxa" w:w="1134"/>
            <w:shd w:val="clear" w:color="auto" w:fill="F2F5FA"/>
            <w:vAlign w:val="center"/>
          </w:tcPr>
          <w:p>
            <w:pPr>
              <w:spacing w:after="0"/>
              <w:jc w:val="center"/>
            </w:pPr>
            <w:r>
              <w:rPr>
                <w:rFonts w:ascii="游ゴシック" w:hAnsi="游ゴシック" w:eastAsia="游ゴシック"/>
                <w:b w:val="0"/>
                <w:sz w:val="19"/>
              </w:rPr>
              <w:t>▲144人</w:t>
            </w:r>
          </w:p>
        </w:tc>
        <w:tc>
          <w:tcPr>
            <w:tcW w:type="dxa" w:w="1020"/>
            <w:shd w:val="clear" w:color="auto" w:fill="F2F5FA"/>
            <w:vAlign w:val="center"/>
          </w:tcPr>
          <w:p>
            <w:pPr>
              <w:spacing w:after="0"/>
              <w:jc w:val="center"/>
            </w:pPr>
            <w:r>
              <w:rPr>
                <w:rFonts w:ascii="游ゴシック" w:hAnsi="游ゴシック" w:eastAsia="游ゴシック"/>
                <w:b w:val="0"/>
                <w:sz w:val="19"/>
              </w:rPr>
              <w:t>▲1.5％</w:t>
            </w:r>
          </w:p>
        </w:tc>
        <w:tc>
          <w:tcPr>
            <w:tcW w:type="dxa" w:w="3402"/>
            <w:shd w:val="clear" w:color="auto" w:fill="F2F5FA"/>
            <w:vAlign w:val="center"/>
          </w:tcPr>
          <w:p>
            <w:pPr>
              <w:spacing w:after="0"/>
            </w:pPr>
            <w:r>
              <w:rPr>
                <w:rFonts w:ascii="游ゴシック" w:hAnsi="游ゴシック" w:eastAsia="游ゴシック"/>
                <w:b w:val="0"/>
                <w:sz w:val="19"/>
              </w:rPr>
              <w:t>住基が少ない。総人口とは向きが逆である</w:t>
            </w:r>
          </w:p>
        </w:tc>
      </w:tr>
      <w:tr>
        <w:trPr>
          <w:cantSplit/>
        </w:trPr>
        <w:tc>
          <w:tcPr>
            <w:tcW w:type="dxa" w:w="1247"/>
            <w:vAlign w:val="center"/>
          </w:tcPr>
          <w:p>
            <w:pPr>
              <w:spacing w:after="0"/>
            </w:pPr>
            <w:r>
              <w:rPr>
                <w:rFonts w:ascii="游ゴシック" w:hAnsi="游ゴシック" w:eastAsia="游ゴシック"/>
                <w:b/>
                <w:sz w:val="19"/>
              </w:rPr>
              <w:t>75歳以上</w:t>
            </w:r>
          </w:p>
        </w:tc>
        <w:tc>
          <w:tcPr>
            <w:tcW w:type="dxa" w:w="1474"/>
            <w:vAlign w:val="center"/>
          </w:tcPr>
          <w:p>
            <w:pPr>
              <w:spacing w:after="0"/>
              <w:jc w:val="center"/>
            </w:pPr>
            <w:r>
              <w:rPr>
                <w:rFonts w:ascii="游ゴシック" w:hAnsi="游ゴシック" w:eastAsia="游ゴシック"/>
                <w:b w:val="0"/>
                <w:sz w:val="19"/>
              </w:rPr>
              <w:t>5,492人</w:t>
            </w:r>
          </w:p>
        </w:tc>
        <w:tc>
          <w:tcPr>
            <w:tcW w:type="dxa" w:w="1474"/>
            <w:vAlign w:val="center"/>
          </w:tcPr>
          <w:p>
            <w:pPr>
              <w:spacing w:after="0"/>
              <w:jc w:val="center"/>
            </w:pPr>
            <w:r>
              <w:rPr>
                <w:rFonts w:ascii="游ゴシック" w:hAnsi="游ゴシック" w:eastAsia="游ゴシック"/>
                <w:b w:val="0"/>
                <w:sz w:val="19"/>
              </w:rPr>
              <w:t>5,748人</w:t>
            </w:r>
          </w:p>
        </w:tc>
        <w:tc>
          <w:tcPr>
            <w:tcW w:type="dxa" w:w="1134"/>
            <w:vAlign w:val="center"/>
          </w:tcPr>
          <w:p>
            <w:pPr>
              <w:spacing w:after="0"/>
              <w:jc w:val="center"/>
            </w:pPr>
            <w:r>
              <w:rPr>
                <w:rFonts w:ascii="游ゴシック" w:hAnsi="游ゴシック" w:eastAsia="游ゴシック"/>
                <w:b w:val="0"/>
                <w:sz w:val="19"/>
              </w:rPr>
              <w:t>▲256人</w:t>
            </w:r>
          </w:p>
        </w:tc>
        <w:tc>
          <w:tcPr>
            <w:tcW w:type="dxa" w:w="1020"/>
            <w:vAlign w:val="center"/>
          </w:tcPr>
          <w:p>
            <w:pPr>
              <w:spacing w:after="0"/>
              <w:jc w:val="center"/>
            </w:pPr>
            <w:r>
              <w:rPr>
                <w:rFonts w:ascii="游ゴシック" w:hAnsi="游ゴシック" w:eastAsia="游ゴシック"/>
                <w:b w:val="0"/>
                <w:sz w:val="19"/>
              </w:rPr>
              <w:t>▲4.5％</w:t>
            </w:r>
          </w:p>
        </w:tc>
        <w:tc>
          <w:tcPr>
            <w:tcW w:type="dxa" w:w="3402"/>
            <w:vAlign w:val="center"/>
          </w:tcPr>
          <w:p>
            <w:pPr>
              <w:spacing w:after="0"/>
            </w:pPr>
            <w:r>
              <w:rPr>
                <w:rFonts w:ascii="游ゴシック" w:hAnsi="游ゴシック" w:eastAsia="游ゴシック"/>
                <w:b w:val="0"/>
                <w:sz w:val="19"/>
              </w:rPr>
              <w:t>住基が少ない。乖離率は最も大きい</w:t>
            </w:r>
          </w:p>
        </w:tc>
      </w:tr>
    </w:tbl>
    <w:p>
      <w:pPr>
        <w:spacing w:before="40"/>
      </w:pPr>
      <w:r>
        <w:rPr>
          <w:rFonts w:ascii="游ゴシック" w:hAnsi="游ゴシック" w:eastAsia="游ゴシック"/>
          <w:sz w:val="17"/>
        </w:rPr>
        <w:t>資料：住民基本台帳（令和8年1月1日現在）及び見える化A2・A3（令和8年10月1日現在）</w:t>
      </w:r>
    </w:p>
    <w:p>
      <w:r>
        <w:rPr>
          <w:rFonts w:ascii="游ゴシック" w:hAnsi="游ゴシック" w:eastAsia="游ゴシック"/>
          <w:b w:val="0"/>
          <w:sz w:val="21"/>
        </w:rPr>
        <w:t>総人口では住民基本台帳が622人多いのに、65歳以上では144人、75歳以上では256人少なくなります。総人口の乖離は若年層にあり、社人研推計の高齢者数はむしろ実績を上回っています。</w:t>
      </w:r>
    </w:p>
    <w:p>
      <w:r>
        <w:rPr>
          <w:rFonts w:ascii="游ゴシック" w:hAnsi="游ゴシック" w:eastAsia="游ゴシック"/>
          <w:b/>
          <w:sz w:val="21"/>
        </w:rPr>
        <w:t>したがって、総人口を上方に補正しても給付費は増えません。3町計では75歳以上を下方に、65〜74歳を上方に補正する方向です。第1号被保険者数は増えますが、増えるのは認定率の低い前期高齢者であるため、認定者数はほとんど変わりません。</w:t>
      </w:r>
    </w:p>
    <w:p>
      <w:r>
        <w:rPr>
          <w:rFonts w:ascii="游ゴシック" w:hAnsi="游ゴシック" w:eastAsia="游ゴシック"/>
          <w:b w:val="0"/>
          <w:sz w:val="21"/>
        </w:rPr>
        <w:t>令和11年度で試算すると、第1号被保険者数は9,072人から9,159人へ87人増える一方、認定者数は2,004人から1,996人へ8人減ります。保険料基準額（自然体推計）は月額6,238円から約6,153円となります。</w:t>
      </w:r>
    </w:p>
    <w:p>
      <w:pPr>
        <w:ind w:left="227"/>
      </w:pPr>
      <w:r>
        <w:rPr>
          <w:rFonts w:ascii="游ゴシック" w:hAnsi="游ゴシック" w:eastAsia="游ゴシック"/>
          <w:sz w:val="18"/>
        </w:rPr>
        <w:t>※ 東川町の人口増加には外国人住民が寄与しています。外国人住民の65歳以上は令和8年時点で4人であり、第1号被保険者はほとんど増えません。人口増加がそのまま給付費の増加にはならないことの裏づけです。</w:t>
      </w:r>
    </w:p>
    <w:p>
      <w:pPr>
        <w:ind w:left="227"/>
      </w:pPr>
      <w:r>
        <w:rPr>
          <w:rFonts w:ascii="游ゴシック" w:hAnsi="游ゴシック" w:eastAsia="游ゴシック"/>
          <w:sz w:val="18"/>
        </w:rPr>
        <w:t>※ 時点が9か月異なります（住民基本台帳は令和8年1月1日、見える化は令和8年10月1日）。同一時点に揃えた比較を行うため、町別の第1号被保険者数（年齢階級別）のご提供をお願いしています。</w:t>
      </w:r>
    </w:p>
    <w:p>
      <w:pPr>
        <w:keepNext/>
        <w:spacing w:before="180" w:after="60"/>
      </w:pPr>
      <w:r>
        <w:rPr>
          <w:rFonts w:ascii="游ゴシック" w:hAnsi="游ゴシック" w:eastAsia="游ゴシック"/>
          <w:b/>
          <w:sz w:val="22"/>
        </w:rPr>
        <w:t>5　保険料への影響</w:t>
      </w:r>
    </w:p>
    <w:p>
      <w:r>
        <w:rPr>
          <w:rFonts w:ascii="游ゴシック" w:hAnsi="游ゴシック" w:eastAsia="游ゴシック"/>
          <w:b w:val="0"/>
          <w:sz w:val="21"/>
        </w:rPr>
        <w:t>第1号被保険者数を過大に見積もると、給付費は過大になりますが、保険料基準額の分母（所得段階別加入割合補正後被保険者数）も過大になるため、両者は相殺されます。</w:t>
      </w:r>
    </w:p>
    <w:p>
      <w:r>
        <w:rPr>
          <w:rFonts w:ascii="游ゴシック" w:hAnsi="游ゴシック" w:eastAsia="游ゴシック"/>
          <w:b w:val="0"/>
          <w:sz w:val="21"/>
        </w:rPr>
        <w:t>影響が出るのは保険料ではなく給付費の絶対額であり、介護給付費準備基金の取崩しの規模と、国庫負担金・道費負担金・支払基金交付金の額に現れます。</w:t>
      </w:r>
    </w:p>
    <w:p>
      <w:r>
        <w:br w:type="page"/>
      </w:r>
    </w:p>
    <w:p>
      <w:pPr>
        <w:keepNext/>
        <w:spacing w:before="280" w:after="120"/>
      </w:pPr>
      <w:r>
        <w:rPr>
          <w:rFonts w:ascii="游ゴシック" w:hAnsi="游ゴシック" w:eastAsia="游ゴシック"/>
          <w:b/>
          <w:color w:val="1F3864"/>
          <w:sz w:val="26"/>
        </w:rPr>
        <w:t>第4節　町別の現在地と論点</w:t>
      </w:r>
    </w:p>
    <w:p>
      <w:r>
        <w:rPr>
          <w:rFonts w:ascii="游ゴシック" w:hAnsi="游ゴシック" w:eastAsia="游ゴシック"/>
          <w:b w:val="0"/>
          <w:sz w:val="21"/>
        </w:rPr>
        <w:t>3町のサービス提供の構造には大きな差があります。介護サービス自給率（区域内の事業所による給付の割合）の算定できる区分の単純平均は、美瑛町77.5％・東川町67.1％・東神楽町63.2％で、14.3ポイントの差があります。3町を一律に扱う整備方針は妥当でないと考えています。</w:t>
      </w:r>
    </w:p>
    <w:p>
      <w:pPr>
        <w:keepNext/>
        <w:spacing w:before="160" w:after="40"/>
      </w:pPr>
      <w:r>
        <w:rPr>
          <w:rFonts w:ascii="游ゴシック" w:hAnsi="游ゴシック" w:eastAsia="游ゴシック"/>
          <w:b/>
          <w:sz w:val="20"/>
        </w:rPr>
        <w:t>表9　3町の現在地（主な指標）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3026"/>
            <w:shd w:val="clear" w:color="auto" w:fill="1F3864"/>
            <w:vAlign w:val="center"/>
          </w:tcPr>
          <w:p>
            <w:pPr>
              <w:spacing w:after="0"/>
              <w:jc w:val="center"/>
            </w:pPr>
            <w:r>
              <w:rPr>
                <w:rFonts w:ascii="游ゴシック" w:hAnsi="游ゴシック" w:eastAsia="游ゴシック"/>
                <w:b/>
                <w:color w:val="FFFFFF"/>
                <w:sz w:val="19"/>
              </w:rPr>
              <w:t>区分</w:t>
            </w:r>
          </w:p>
        </w:tc>
        <w:tc>
          <w:tcPr>
            <w:tcW w:type="dxa" w:w="2242"/>
            <w:shd w:val="clear" w:color="auto" w:fill="1F3864"/>
            <w:vAlign w:val="center"/>
          </w:tcPr>
          <w:p>
            <w:pPr>
              <w:spacing w:after="0"/>
              <w:jc w:val="center"/>
            </w:pPr>
            <w:r>
              <w:rPr>
                <w:rFonts w:ascii="游ゴシック" w:hAnsi="游ゴシック" w:eastAsia="游ゴシック"/>
                <w:b/>
                <w:color w:val="FFFFFF"/>
                <w:sz w:val="19"/>
              </w:rPr>
              <w:t>東川町</w:t>
            </w:r>
          </w:p>
        </w:tc>
        <w:tc>
          <w:tcPr>
            <w:tcW w:type="dxa" w:w="2242"/>
            <w:shd w:val="clear" w:color="auto" w:fill="1F3864"/>
            <w:vAlign w:val="center"/>
          </w:tcPr>
          <w:p>
            <w:pPr>
              <w:spacing w:after="0"/>
              <w:jc w:val="center"/>
            </w:pPr>
            <w:r>
              <w:rPr>
                <w:rFonts w:ascii="游ゴシック" w:hAnsi="游ゴシック" w:eastAsia="游ゴシック"/>
                <w:b/>
                <w:color w:val="FFFFFF"/>
                <w:sz w:val="19"/>
              </w:rPr>
              <w:t>美瑛町</w:t>
            </w:r>
          </w:p>
        </w:tc>
        <w:tc>
          <w:tcPr>
            <w:tcW w:type="dxa" w:w="2242"/>
            <w:shd w:val="clear" w:color="auto" w:fill="1F3864"/>
            <w:vAlign w:val="center"/>
          </w:tcPr>
          <w:p>
            <w:pPr>
              <w:spacing w:after="0"/>
              <w:jc w:val="center"/>
            </w:pPr>
            <w:r>
              <w:rPr>
                <w:rFonts w:ascii="游ゴシック" w:hAnsi="游ゴシック" w:eastAsia="游ゴシック"/>
                <w:b/>
                <w:color w:val="FFFFFF"/>
                <w:sz w:val="19"/>
              </w:rPr>
              <w:t>東神楽町</w:t>
            </w:r>
          </w:p>
        </w:tc>
      </w:tr>
      <w:tr>
        <w:trPr>
          <w:cantSplit/>
        </w:trPr>
        <w:tc>
          <w:tcPr>
            <w:tcW w:type="dxa" w:w="3026"/>
            <w:vAlign w:val="center"/>
          </w:tcPr>
          <w:p>
            <w:pPr>
              <w:spacing w:after="0"/>
            </w:pPr>
            <w:r>
              <w:rPr>
                <w:rFonts w:ascii="游ゴシック" w:hAnsi="游ゴシック" w:eastAsia="游ゴシック"/>
                <w:b/>
                <w:sz w:val="19"/>
              </w:rPr>
              <w:t>人口（令和7年国勢調査）</w:t>
            </w:r>
          </w:p>
        </w:tc>
        <w:tc>
          <w:tcPr>
            <w:tcW w:type="dxa" w:w="2242"/>
            <w:vAlign w:val="center"/>
          </w:tcPr>
          <w:p>
            <w:pPr>
              <w:spacing w:after="0"/>
              <w:jc w:val="center"/>
            </w:pPr>
            <w:r>
              <w:rPr>
                <w:rFonts w:ascii="游ゴシック" w:hAnsi="游ゴシック" w:eastAsia="游ゴシック"/>
                <w:b w:val="0"/>
                <w:sz w:val="19"/>
              </w:rPr>
              <w:t>8,726人</w:t>
            </w:r>
          </w:p>
        </w:tc>
        <w:tc>
          <w:tcPr>
            <w:tcW w:type="dxa" w:w="2242"/>
            <w:vAlign w:val="center"/>
          </w:tcPr>
          <w:p>
            <w:pPr>
              <w:spacing w:after="0"/>
              <w:jc w:val="center"/>
            </w:pPr>
            <w:r>
              <w:rPr>
                <w:rFonts w:ascii="游ゴシック" w:hAnsi="游ゴシック" w:eastAsia="游ゴシック"/>
                <w:b w:val="0"/>
                <w:sz w:val="19"/>
              </w:rPr>
              <w:t>9,337人</w:t>
            </w:r>
          </w:p>
        </w:tc>
        <w:tc>
          <w:tcPr>
            <w:tcW w:type="dxa" w:w="2242"/>
            <w:vAlign w:val="center"/>
          </w:tcPr>
          <w:p>
            <w:pPr>
              <w:spacing w:after="0"/>
              <w:jc w:val="center"/>
            </w:pPr>
            <w:r>
              <w:rPr>
                <w:rFonts w:ascii="游ゴシック" w:hAnsi="游ゴシック" w:eastAsia="游ゴシック"/>
                <w:b w:val="0"/>
                <w:sz w:val="19"/>
              </w:rPr>
              <w:t>9,588人</w:t>
            </w:r>
          </w:p>
        </w:tc>
      </w:tr>
      <w:tr>
        <w:trPr>
          <w:cantSplit/>
        </w:trPr>
        <w:tc>
          <w:tcPr>
            <w:tcW w:type="dxa" w:w="3026"/>
            <w:shd w:val="clear" w:color="auto" w:fill="F2F5FA"/>
            <w:vAlign w:val="center"/>
          </w:tcPr>
          <w:p>
            <w:pPr>
              <w:spacing w:after="0"/>
            </w:pPr>
            <w:r>
              <w:rPr>
                <w:rFonts w:ascii="游ゴシック" w:hAnsi="游ゴシック" w:eastAsia="游ゴシック"/>
                <w:b/>
                <w:sz w:val="19"/>
              </w:rPr>
              <w:t>令和2年からの増減</w:t>
            </w:r>
          </w:p>
        </w:tc>
        <w:tc>
          <w:tcPr>
            <w:tcW w:type="dxa" w:w="2242"/>
            <w:shd w:val="clear" w:color="auto" w:fill="F2F5FA"/>
            <w:vAlign w:val="center"/>
          </w:tcPr>
          <w:p>
            <w:pPr>
              <w:spacing w:after="0"/>
              <w:jc w:val="center"/>
            </w:pPr>
            <w:r>
              <w:rPr>
                <w:rFonts w:ascii="游ゴシック" w:hAnsi="游ゴシック" w:eastAsia="游ゴシック"/>
                <w:b w:val="0"/>
                <w:sz w:val="19"/>
              </w:rPr>
              <w:t>＋412人（＋4.96％）</w:t>
            </w:r>
          </w:p>
        </w:tc>
        <w:tc>
          <w:tcPr>
            <w:tcW w:type="dxa" w:w="2242"/>
            <w:shd w:val="clear" w:color="auto" w:fill="F2F5FA"/>
            <w:vAlign w:val="center"/>
          </w:tcPr>
          <w:p>
            <w:pPr>
              <w:spacing w:after="0"/>
              <w:jc w:val="center"/>
            </w:pPr>
            <w:r>
              <w:rPr>
                <w:rFonts w:ascii="游ゴシック" w:hAnsi="游ゴシック" w:eastAsia="游ゴシック"/>
                <w:b w:val="0"/>
                <w:sz w:val="19"/>
              </w:rPr>
              <w:t>▲331人（▲3.42％）</w:t>
            </w:r>
          </w:p>
        </w:tc>
        <w:tc>
          <w:tcPr>
            <w:tcW w:type="dxa" w:w="2242"/>
            <w:shd w:val="clear" w:color="auto" w:fill="F2F5FA"/>
            <w:vAlign w:val="center"/>
          </w:tcPr>
          <w:p>
            <w:pPr>
              <w:spacing w:after="0"/>
              <w:jc w:val="center"/>
            </w:pPr>
            <w:r>
              <w:rPr>
                <w:rFonts w:ascii="游ゴシック" w:hAnsi="游ゴシック" w:eastAsia="游ゴシック"/>
                <w:b w:val="0"/>
                <w:sz w:val="19"/>
              </w:rPr>
              <w:t>▲539人（▲5.32％）</w:t>
            </w:r>
          </w:p>
        </w:tc>
      </w:tr>
      <w:tr>
        <w:trPr>
          <w:cantSplit/>
        </w:trPr>
        <w:tc>
          <w:tcPr>
            <w:tcW w:type="dxa" w:w="3026"/>
            <w:vAlign w:val="center"/>
          </w:tcPr>
          <w:p>
            <w:pPr>
              <w:spacing w:after="0"/>
            </w:pPr>
            <w:r>
              <w:rPr>
                <w:rFonts w:ascii="游ゴシック" w:hAnsi="游ゴシック" w:eastAsia="游ゴシック"/>
                <w:b/>
                <w:sz w:val="19"/>
              </w:rPr>
              <w:t>高齢化率（令和7年・推計）</w:t>
            </w:r>
          </w:p>
        </w:tc>
        <w:tc>
          <w:tcPr>
            <w:tcW w:type="dxa" w:w="2242"/>
            <w:vAlign w:val="center"/>
          </w:tcPr>
          <w:p>
            <w:pPr>
              <w:spacing w:after="0"/>
              <w:jc w:val="center"/>
            </w:pPr>
            <w:r>
              <w:rPr>
                <w:rFonts w:ascii="游ゴシック" w:hAnsi="游ゴシック" w:eastAsia="游ゴシック"/>
                <w:b w:val="0"/>
                <w:sz w:val="19"/>
              </w:rPr>
              <w:t>32.9％</w:t>
            </w:r>
          </w:p>
        </w:tc>
        <w:tc>
          <w:tcPr>
            <w:tcW w:type="dxa" w:w="2242"/>
            <w:vAlign w:val="center"/>
          </w:tcPr>
          <w:p>
            <w:pPr>
              <w:spacing w:after="0"/>
              <w:jc w:val="center"/>
            </w:pPr>
            <w:r>
              <w:rPr>
                <w:rFonts w:ascii="游ゴシック" w:hAnsi="游ゴシック" w:eastAsia="游ゴシック"/>
                <w:b w:val="0"/>
                <w:sz w:val="19"/>
              </w:rPr>
              <w:t>39.4％</w:t>
            </w:r>
          </w:p>
        </w:tc>
        <w:tc>
          <w:tcPr>
            <w:tcW w:type="dxa" w:w="2242"/>
            <w:vAlign w:val="center"/>
          </w:tcPr>
          <w:p>
            <w:pPr>
              <w:spacing w:after="0"/>
              <w:jc w:val="center"/>
            </w:pPr>
            <w:r>
              <w:rPr>
                <w:rFonts w:ascii="游ゴシック" w:hAnsi="游ゴシック" w:eastAsia="游ゴシック"/>
                <w:b w:val="0"/>
                <w:sz w:val="19"/>
              </w:rPr>
              <w:t>31.2％</w:t>
            </w:r>
          </w:p>
        </w:tc>
      </w:tr>
      <w:tr>
        <w:trPr>
          <w:cantSplit/>
        </w:trPr>
        <w:tc>
          <w:tcPr>
            <w:tcW w:type="dxa" w:w="3026"/>
            <w:shd w:val="clear" w:color="auto" w:fill="F2F5FA"/>
            <w:vAlign w:val="center"/>
          </w:tcPr>
          <w:p>
            <w:pPr>
              <w:spacing w:after="0"/>
            </w:pPr>
            <w:r>
              <w:rPr>
                <w:rFonts w:ascii="游ゴシック" w:hAnsi="游ゴシック" w:eastAsia="游ゴシック"/>
                <w:b/>
                <w:sz w:val="19"/>
              </w:rPr>
              <w:t>世帯人員（令和7年国勢調査）</w:t>
            </w:r>
          </w:p>
        </w:tc>
        <w:tc>
          <w:tcPr>
            <w:tcW w:type="dxa" w:w="2242"/>
            <w:shd w:val="clear" w:color="auto" w:fill="F2F5FA"/>
            <w:vAlign w:val="center"/>
          </w:tcPr>
          <w:p>
            <w:pPr>
              <w:spacing w:after="0"/>
              <w:jc w:val="center"/>
            </w:pPr>
            <w:r>
              <w:rPr>
                <w:rFonts w:ascii="游ゴシック" w:hAnsi="游ゴシック" w:eastAsia="游ゴシック"/>
                <w:b w:val="0"/>
                <w:sz w:val="19"/>
              </w:rPr>
              <w:t>2.384人</w:t>
            </w:r>
          </w:p>
        </w:tc>
        <w:tc>
          <w:tcPr>
            <w:tcW w:type="dxa" w:w="2242"/>
            <w:shd w:val="clear" w:color="auto" w:fill="F2F5FA"/>
            <w:vAlign w:val="center"/>
          </w:tcPr>
          <w:p>
            <w:pPr>
              <w:spacing w:after="0"/>
              <w:jc w:val="center"/>
            </w:pPr>
            <w:r>
              <w:rPr>
                <w:rFonts w:ascii="游ゴシック" w:hAnsi="游ゴシック" w:eastAsia="游ゴシック"/>
                <w:b w:val="0"/>
                <w:sz w:val="19"/>
              </w:rPr>
              <w:t>2.104人</w:t>
            </w:r>
          </w:p>
        </w:tc>
        <w:tc>
          <w:tcPr>
            <w:tcW w:type="dxa" w:w="2242"/>
            <w:shd w:val="clear" w:color="auto" w:fill="F2F5FA"/>
            <w:vAlign w:val="center"/>
          </w:tcPr>
          <w:p>
            <w:pPr>
              <w:spacing w:after="0"/>
              <w:jc w:val="center"/>
            </w:pPr>
            <w:r>
              <w:rPr>
                <w:rFonts w:ascii="游ゴシック" w:hAnsi="游ゴシック" w:eastAsia="游ゴシック"/>
                <w:b w:val="0"/>
                <w:sz w:val="19"/>
              </w:rPr>
              <w:t>2.510人</w:t>
            </w:r>
          </w:p>
        </w:tc>
      </w:tr>
      <w:tr>
        <w:trPr>
          <w:cantSplit/>
        </w:trPr>
        <w:tc>
          <w:tcPr>
            <w:tcW w:type="dxa" w:w="3026"/>
            <w:vAlign w:val="center"/>
          </w:tcPr>
          <w:p>
            <w:pPr>
              <w:spacing w:after="0"/>
            </w:pPr>
            <w:r>
              <w:rPr>
                <w:rFonts w:ascii="游ゴシック" w:hAnsi="游ゴシック" w:eastAsia="游ゴシック"/>
                <w:b/>
                <w:sz w:val="19"/>
              </w:rPr>
              <w:t>高齢独居世帯（令和2年国勢調査）</w:t>
            </w:r>
          </w:p>
        </w:tc>
        <w:tc>
          <w:tcPr>
            <w:tcW w:type="dxa" w:w="2242"/>
            <w:vAlign w:val="center"/>
          </w:tcPr>
          <w:p>
            <w:pPr>
              <w:spacing w:after="0"/>
              <w:jc w:val="center"/>
            </w:pPr>
            <w:r>
              <w:rPr>
                <w:rFonts w:ascii="游ゴシック" w:hAnsi="游ゴシック" w:eastAsia="游ゴシック"/>
                <w:b w:val="0"/>
                <w:sz w:val="19"/>
              </w:rPr>
              <w:t>490世帯</w:t>
            </w:r>
          </w:p>
        </w:tc>
        <w:tc>
          <w:tcPr>
            <w:tcW w:type="dxa" w:w="2242"/>
            <w:vAlign w:val="center"/>
          </w:tcPr>
          <w:p>
            <w:pPr>
              <w:spacing w:after="0"/>
              <w:jc w:val="center"/>
            </w:pPr>
            <w:r>
              <w:rPr>
                <w:rFonts w:ascii="游ゴシック" w:hAnsi="游ゴシック" w:eastAsia="游ゴシック"/>
                <w:b w:val="0"/>
                <w:sz w:val="19"/>
              </w:rPr>
              <w:t>714世帯</w:t>
            </w:r>
          </w:p>
        </w:tc>
        <w:tc>
          <w:tcPr>
            <w:tcW w:type="dxa" w:w="2242"/>
            <w:vAlign w:val="center"/>
          </w:tcPr>
          <w:p>
            <w:pPr>
              <w:spacing w:after="0"/>
              <w:jc w:val="center"/>
            </w:pPr>
            <w:r>
              <w:rPr>
                <w:rFonts w:ascii="游ゴシック" w:hAnsi="游ゴシック" w:eastAsia="游ゴシック"/>
                <w:b w:val="0"/>
                <w:sz w:val="19"/>
              </w:rPr>
              <w:t>434世帯</w:t>
            </w:r>
          </w:p>
        </w:tc>
      </w:tr>
      <w:tr>
        <w:trPr>
          <w:cantSplit/>
        </w:trPr>
        <w:tc>
          <w:tcPr>
            <w:tcW w:type="dxa" w:w="3026"/>
            <w:shd w:val="clear" w:color="auto" w:fill="F2F5FA"/>
            <w:vAlign w:val="center"/>
          </w:tcPr>
          <w:p>
            <w:pPr>
              <w:spacing w:after="0"/>
            </w:pPr>
            <w:r>
              <w:rPr>
                <w:rFonts w:ascii="游ゴシック" w:hAnsi="游ゴシック" w:eastAsia="游ゴシック"/>
                <w:b/>
                <w:sz w:val="19"/>
              </w:rPr>
              <w:t>独居者割合（健康とくらしの調査）</w:t>
            </w:r>
          </w:p>
        </w:tc>
        <w:tc>
          <w:tcPr>
            <w:tcW w:type="dxa" w:w="2242"/>
            <w:shd w:val="clear" w:color="auto" w:fill="F2F5FA"/>
            <w:vAlign w:val="center"/>
          </w:tcPr>
          <w:p>
            <w:pPr>
              <w:spacing w:after="0"/>
              <w:jc w:val="center"/>
            </w:pPr>
            <w:r>
              <w:rPr>
                <w:rFonts w:ascii="游ゴシック" w:hAnsi="游ゴシック" w:eastAsia="游ゴシック"/>
                <w:b w:val="0"/>
                <w:sz w:val="19"/>
              </w:rPr>
              <w:t>19.5％</w:t>
            </w:r>
          </w:p>
        </w:tc>
        <w:tc>
          <w:tcPr>
            <w:tcW w:type="dxa" w:w="2242"/>
            <w:shd w:val="clear" w:color="auto" w:fill="F2F5FA"/>
            <w:vAlign w:val="center"/>
          </w:tcPr>
          <w:p>
            <w:pPr>
              <w:spacing w:after="0"/>
              <w:jc w:val="center"/>
            </w:pPr>
            <w:r>
              <w:rPr>
                <w:rFonts w:ascii="游ゴシック" w:hAnsi="游ゴシック" w:eastAsia="游ゴシック"/>
                <w:b w:val="0"/>
                <w:sz w:val="19"/>
              </w:rPr>
              <w:t>19.5％</w:t>
            </w:r>
          </w:p>
        </w:tc>
        <w:tc>
          <w:tcPr>
            <w:tcW w:type="dxa" w:w="2242"/>
            <w:shd w:val="clear" w:color="auto" w:fill="F2F5FA"/>
            <w:vAlign w:val="center"/>
          </w:tcPr>
          <w:p>
            <w:pPr>
              <w:spacing w:after="0"/>
              <w:jc w:val="center"/>
            </w:pPr>
            <w:r>
              <w:rPr>
                <w:rFonts w:ascii="游ゴシック" w:hAnsi="游ゴシック" w:eastAsia="游ゴシック"/>
                <w:b w:val="0"/>
                <w:sz w:val="19"/>
              </w:rPr>
              <w:t>15.4％</w:t>
            </w:r>
          </w:p>
        </w:tc>
      </w:tr>
      <w:tr>
        <w:trPr>
          <w:cantSplit/>
        </w:trPr>
        <w:tc>
          <w:tcPr>
            <w:tcW w:type="dxa" w:w="3026"/>
            <w:vAlign w:val="center"/>
          </w:tcPr>
          <w:p>
            <w:pPr>
              <w:spacing w:after="0"/>
            </w:pPr>
            <w:r>
              <w:rPr>
                <w:rFonts w:ascii="游ゴシック" w:hAnsi="游ゴシック" w:eastAsia="游ゴシック"/>
                <w:b/>
                <w:sz w:val="19"/>
              </w:rPr>
              <w:t>自給率（算定可能区分の平均）</w:t>
            </w:r>
          </w:p>
        </w:tc>
        <w:tc>
          <w:tcPr>
            <w:tcW w:type="dxa" w:w="2242"/>
            <w:vAlign w:val="center"/>
          </w:tcPr>
          <w:p>
            <w:pPr>
              <w:spacing w:after="0"/>
              <w:jc w:val="center"/>
            </w:pPr>
            <w:r>
              <w:rPr>
                <w:rFonts w:ascii="游ゴシック" w:hAnsi="游ゴシック" w:eastAsia="游ゴシック"/>
                <w:b w:val="0"/>
                <w:sz w:val="19"/>
              </w:rPr>
              <w:t>67.1％（管内8位）</w:t>
            </w:r>
          </w:p>
        </w:tc>
        <w:tc>
          <w:tcPr>
            <w:tcW w:type="dxa" w:w="2242"/>
            <w:vAlign w:val="center"/>
          </w:tcPr>
          <w:p>
            <w:pPr>
              <w:spacing w:after="0"/>
              <w:jc w:val="center"/>
            </w:pPr>
            <w:r>
              <w:rPr>
                <w:rFonts w:ascii="游ゴシック" w:hAnsi="游ゴシック" w:eastAsia="游ゴシック"/>
                <w:b w:val="0"/>
                <w:sz w:val="19"/>
              </w:rPr>
              <w:t>77.5％（管内2位）</w:t>
            </w:r>
          </w:p>
        </w:tc>
        <w:tc>
          <w:tcPr>
            <w:tcW w:type="dxa" w:w="2242"/>
            <w:vAlign w:val="center"/>
          </w:tcPr>
          <w:p>
            <w:pPr>
              <w:spacing w:after="0"/>
              <w:jc w:val="center"/>
            </w:pPr>
            <w:r>
              <w:rPr>
                <w:rFonts w:ascii="游ゴシック" w:hAnsi="游ゴシック" w:eastAsia="游ゴシック"/>
                <w:b w:val="0"/>
                <w:sz w:val="19"/>
              </w:rPr>
              <w:t>63.2％（管内10位）</w:t>
            </w:r>
          </w:p>
        </w:tc>
      </w:tr>
      <w:tr>
        <w:trPr>
          <w:cantSplit/>
        </w:trPr>
        <w:tc>
          <w:tcPr>
            <w:tcW w:type="dxa" w:w="3026"/>
            <w:shd w:val="clear" w:color="auto" w:fill="F2F5FA"/>
            <w:vAlign w:val="center"/>
          </w:tcPr>
          <w:p>
            <w:pPr>
              <w:spacing w:after="0"/>
            </w:pPr>
            <w:r>
              <w:rPr>
                <w:rFonts w:ascii="游ゴシック" w:hAnsi="游ゴシック" w:eastAsia="游ゴシック"/>
                <w:b/>
                <w:sz w:val="19"/>
              </w:rPr>
              <w:t xml:space="preserve">　うち訪問系</w:t>
            </w:r>
          </w:p>
        </w:tc>
        <w:tc>
          <w:tcPr>
            <w:tcW w:type="dxa" w:w="2242"/>
            <w:shd w:val="clear" w:color="auto" w:fill="F2F5FA"/>
            <w:vAlign w:val="center"/>
          </w:tcPr>
          <w:p>
            <w:pPr>
              <w:spacing w:after="0"/>
              <w:jc w:val="center"/>
            </w:pPr>
            <w:r>
              <w:rPr>
                <w:rFonts w:ascii="游ゴシック" w:hAnsi="游ゴシック" w:eastAsia="游ゴシック"/>
                <w:b w:val="0"/>
                <w:sz w:val="19"/>
              </w:rPr>
              <w:t>64.0％（管内2位）</w:t>
            </w:r>
          </w:p>
        </w:tc>
        <w:tc>
          <w:tcPr>
            <w:tcW w:type="dxa" w:w="2242"/>
            <w:shd w:val="clear" w:color="auto" w:fill="F2F5FA"/>
            <w:vAlign w:val="center"/>
          </w:tcPr>
          <w:p>
            <w:pPr>
              <w:spacing w:after="0"/>
              <w:jc w:val="center"/>
            </w:pPr>
            <w:r>
              <w:rPr>
                <w:rFonts w:ascii="游ゴシック" w:hAnsi="游ゴシック" w:eastAsia="游ゴシック"/>
                <w:b w:val="0"/>
                <w:sz w:val="19"/>
              </w:rPr>
              <w:t>45.9％（管内9位）</w:t>
            </w:r>
          </w:p>
        </w:tc>
        <w:tc>
          <w:tcPr>
            <w:tcW w:type="dxa" w:w="2242"/>
            <w:shd w:val="clear" w:color="auto" w:fill="F2F5FA"/>
            <w:vAlign w:val="center"/>
          </w:tcPr>
          <w:p>
            <w:pPr>
              <w:spacing w:after="0"/>
              <w:jc w:val="center"/>
            </w:pPr>
            <w:r>
              <w:rPr>
                <w:rFonts w:ascii="游ゴシック" w:hAnsi="游ゴシック" w:eastAsia="游ゴシック"/>
                <w:b w:val="0"/>
                <w:sz w:val="19"/>
              </w:rPr>
              <w:t>48.5％（管内7位）</w:t>
            </w:r>
          </w:p>
        </w:tc>
      </w:tr>
      <w:tr>
        <w:trPr>
          <w:cantSplit/>
        </w:trPr>
        <w:tc>
          <w:tcPr>
            <w:tcW w:type="dxa" w:w="3026"/>
            <w:vAlign w:val="center"/>
          </w:tcPr>
          <w:p>
            <w:pPr>
              <w:spacing w:after="0"/>
            </w:pPr>
            <w:r>
              <w:rPr>
                <w:rFonts w:ascii="游ゴシック" w:hAnsi="游ゴシック" w:eastAsia="游ゴシック"/>
                <w:b/>
                <w:sz w:val="19"/>
              </w:rPr>
              <w:t xml:space="preserve">　うち通所系</w:t>
            </w:r>
          </w:p>
        </w:tc>
        <w:tc>
          <w:tcPr>
            <w:tcW w:type="dxa" w:w="2242"/>
            <w:vAlign w:val="center"/>
          </w:tcPr>
          <w:p>
            <w:pPr>
              <w:spacing w:after="0"/>
              <w:jc w:val="center"/>
            </w:pPr>
            <w:r>
              <w:rPr>
                <w:rFonts w:ascii="游ゴシック" w:hAnsi="游ゴシック" w:eastAsia="游ゴシック"/>
                <w:b w:val="0"/>
                <w:sz w:val="19"/>
              </w:rPr>
              <w:t>84.7％（管内8位）</w:t>
            </w:r>
          </w:p>
        </w:tc>
        <w:tc>
          <w:tcPr>
            <w:tcW w:type="dxa" w:w="2242"/>
            <w:vAlign w:val="center"/>
          </w:tcPr>
          <w:p>
            <w:pPr>
              <w:spacing w:after="0"/>
              <w:jc w:val="center"/>
            </w:pPr>
            <w:r>
              <w:rPr>
                <w:rFonts w:ascii="游ゴシック" w:hAnsi="游ゴシック" w:eastAsia="游ゴシック"/>
                <w:b w:val="0"/>
                <w:sz w:val="19"/>
              </w:rPr>
              <w:t>93.0％（管内3位）</w:t>
            </w:r>
          </w:p>
        </w:tc>
        <w:tc>
          <w:tcPr>
            <w:tcW w:type="dxa" w:w="2242"/>
            <w:vAlign w:val="center"/>
          </w:tcPr>
          <w:p>
            <w:pPr>
              <w:spacing w:after="0"/>
              <w:jc w:val="center"/>
            </w:pPr>
            <w:r>
              <w:rPr>
                <w:rFonts w:ascii="游ゴシック" w:hAnsi="游ゴシック" w:eastAsia="游ゴシック"/>
                <w:b w:val="0"/>
                <w:sz w:val="19"/>
              </w:rPr>
              <w:t>63.9％（管内16位）</w:t>
            </w:r>
          </w:p>
        </w:tc>
      </w:tr>
      <w:tr>
        <w:trPr>
          <w:cantSplit/>
        </w:trPr>
        <w:tc>
          <w:tcPr>
            <w:tcW w:type="dxa" w:w="3026"/>
            <w:shd w:val="clear" w:color="auto" w:fill="F2F5FA"/>
            <w:vAlign w:val="center"/>
          </w:tcPr>
          <w:p>
            <w:pPr>
              <w:spacing w:after="0"/>
            </w:pPr>
            <w:r>
              <w:rPr>
                <w:rFonts w:ascii="游ゴシック" w:hAnsi="游ゴシック" w:eastAsia="游ゴシック"/>
                <w:b/>
                <w:sz w:val="19"/>
              </w:rPr>
              <w:t xml:space="preserve">　うち短期入所系</w:t>
            </w:r>
          </w:p>
        </w:tc>
        <w:tc>
          <w:tcPr>
            <w:tcW w:type="dxa" w:w="2242"/>
            <w:shd w:val="clear" w:color="auto" w:fill="F2F5FA"/>
            <w:vAlign w:val="center"/>
          </w:tcPr>
          <w:p>
            <w:pPr>
              <w:spacing w:after="0"/>
              <w:jc w:val="center"/>
            </w:pPr>
            <w:r>
              <w:rPr>
                <w:rFonts w:ascii="游ゴシック" w:hAnsi="游ゴシック" w:eastAsia="游ゴシック"/>
                <w:b w:val="0"/>
                <w:sz w:val="19"/>
              </w:rPr>
              <w:t>66.8％（管内13位）</w:t>
            </w:r>
          </w:p>
        </w:tc>
        <w:tc>
          <w:tcPr>
            <w:tcW w:type="dxa" w:w="2242"/>
            <w:shd w:val="clear" w:color="auto" w:fill="F2F5FA"/>
            <w:vAlign w:val="center"/>
          </w:tcPr>
          <w:p>
            <w:pPr>
              <w:spacing w:after="0"/>
              <w:jc w:val="center"/>
            </w:pPr>
            <w:r>
              <w:rPr>
                <w:rFonts w:ascii="游ゴシック" w:hAnsi="游ゴシック" w:eastAsia="游ゴシック"/>
                <w:b w:val="0"/>
                <w:sz w:val="19"/>
              </w:rPr>
              <w:t>100.0％（管内1位）</w:t>
            </w:r>
          </w:p>
        </w:tc>
        <w:tc>
          <w:tcPr>
            <w:tcW w:type="dxa" w:w="2242"/>
            <w:shd w:val="clear" w:color="auto" w:fill="F2F5FA"/>
            <w:vAlign w:val="center"/>
          </w:tcPr>
          <w:p>
            <w:pPr>
              <w:spacing w:after="0"/>
              <w:jc w:val="center"/>
            </w:pPr>
            <w:r>
              <w:rPr>
                <w:rFonts w:ascii="游ゴシック" w:hAnsi="游ゴシック" w:eastAsia="游ゴシック"/>
                <w:b w:val="0"/>
                <w:sz w:val="19"/>
              </w:rPr>
              <w:t>92.3％（管内6位）</w:t>
            </w:r>
          </w:p>
        </w:tc>
      </w:tr>
      <w:tr>
        <w:trPr>
          <w:cantSplit/>
        </w:trPr>
        <w:tc>
          <w:tcPr>
            <w:tcW w:type="dxa" w:w="3026"/>
            <w:vAlign w:val="center"/>
          </w:tcPr>
          <w:p>
            <w:pPr>
              <w:spacing w:after="0"/>
            </w:pPr>
            <w:r>
              <w:rPr>
                <w:rFonts w:ascii="游ゴシック" w:hAnsi="游ゴシック" w:eastAsia="游ゴシック"/>
                <w:b/>
                <w:sz w:val="19"/>
              </w:rPr>
              <w:t xml:space="preserve">　うち施設・居住系</w:t>
            </w:r>
          </w:p>
        </w:tc>
        <w:tc>
          <w:tcPr>
            <w:tcW w:type="dxa" w:w="2242"/>
            <w:vAlign w:val="center"/>
          </w:tcPr>
          <w:p>
            <w:pPr>
              <w:spacing w:after="0"/>
              <w:jc w:val="center"/>
            </w:pPr>
            <w:r>
              <w:rPr>
                <w:rFonts w:ascii="游ゴシック" w:hAnsi="游ゴシック" w:eastAsia="游ゴシック"/>
                <w:b w:val="0"/>
                <w:sz w:val="19"/>
              </w:rPr>
              <w:t>76.8％（管内6位）</w:t>
            </w:r>
          </w:p>
        </w:tc>
        <w:tc>
          <w:tcPr>
            <w:tcW w:type="dxa" w:w="2242"/>
            <w:vAlign w:val="center"/>
          </w:tcPr>
          <w:p>
            <w:pPr>
              <w:spacing w:after="0"/>
              <w:jc w:val="center"/>
            </w:pPr>
            <w:r>
              <w:rPr>
                <w:rFonts w:ascii="游ゴシック" w:hAnsi="游ゴシック" w:eastAsia="游ゴシック"/>
                <w:b w:val="0"/>
                <w:sz w:val="19"/>
              </w:rPr>
              <w:t>75.3％（管内7位）</w:t>
            </w:r>
          </w:p>
        </w:tc>
        <w:tc>
          <w:tcPr>
            <w:tcW w:type="dxa" w:w="2242"/>
            <w:vAlign w:val="center"/>
          </w:tcPr>
          <w:p>
            <w:pPr>
              <w:spacing w:after="0"/>
              <w:jc w:val="center"/>
            </w:pPr>
            <w:r>
              <w:rPr>
                <w:rFonts w:ascii="游ゴシック" w:hAnsi="游ゴシック" w:eastAsia="游ゴシック"/>
                <w:b w:val="0"/>
                <w:sz w:val="19"/>
              </w:rPr>
              <w:t>65.5％（管内13位）</w:t>
            </w:r>
          </w:p>
        </w:tc>
      </w:tr>
      <w:tr>
        <w:trPr>
          <w:cantSplit/>
        </w:trPr>
        <w:tc>
          <w:tcPr>
            <w:tcW w:type="dxa" w:w="3026"/>
            <w:shd w:val="clear" w:color="auto" w:fill="F2F5FA"/>
            <w:vAlign w:val="center"/>
          </w:tcPr>
          <w:p>
            <w:pPr>
              <w:spacing w:after="0"/>
            </w:pPr>
            <w:r>
              <w:rPr>
                <w:rFonts w:ascii="游ゴシック" w:hAnsi="游ゴシック" w:eastAsia="游ゴシック"/>
                <w:b/>
                <w:sz w:val="19"/>
              </w:rPr>
              <w:t>訪問介護事業所数・従事者数</w:t>
            </w:r>
          </w:p>
        </w:tc>
        <w:tc>
          <w:tcPr>
            <w:tcW w:type="dxa" w:w="2242"/>
            <w:shd w:val="clear" w:color="auto" w:fill="F2F5FA"/>
            <w:vAlign w:val="center"/>
          </w:tcPr>
          <w:p>
            <w:pPr>
              <w:spacing w:after="0"/>
              <w:jc w:val="center"/>
            </w:pPr>
            <w:r>
              <w:rPr>
                <w:rFonts w:ascii="游ゴシック" w:hAnsi="游ゴシック" w:eastAsia="游ゴシック"/>
                <w:b w:val="0"/>
                <w:sz w:val="19"/>
              </w:rPr>
              <w:t>6事業所90人</w:t>
            </w:r>
          </w:p>
        </w:tc>
        <w:tc>
          <w:tcPr>
            <w:tcW w:type="dxa" w:w="2242"/>
            <w:shd w:val="clear" w:color="auto" w:fill="F2F5FA"/>
            <w:vAlign w:val="center"/>
          </w:tcPr>
          <w:p>
            <w:pPr>
              <w:spacing w:after="0"/>
              <w:jc w:val="center"/>
            </w:pPr>
            <w:r>
              <w:rPr>
                <w:rFonts w:ascii="游ゴシック" w:hAnsi="游ゴシック" w:eastAsia="游ゴシック"/>
                <w:b w:val="0"/>
                <w:sz w:val="19"/>
              </w:rPr>
              <w:t>2事業所30人</w:t>
            </w:r>
          </w:p>
        </w:tc>
        <w:tc>
          <w:tcPr>
            <w:tcW w:type="dxa" w:w="2242"/>
            <w:shd w:val="clear" w:color="auto" w:fill="F2F5FA"/>
            <w:vAlign w:val="center"/>
          </w:tcPr>
          <w:p>
            <w:pPr>
              <w:spacing w:after="0"/>
              <w:jc w:val="center"/>
            </w:pPr>
            <w:r>
              <w:rPr>
                <w:rFonts w:ascii="游ゴシック" w:hAnsi="游ゴシック" w:eastAsia="游ゴシック"/>
                <w:b w:val="0"/>
                <w:sz w:val="19"/>
              </w:rPr>
              <w:t>5事業所61人</w:t>
            </w:r>
          </w:p>
        </w:tc>
      </w:tr>
      <w:tr>
        <w:trPr>
          <w:cantSplit/>
        </w:trPr>
        <w:tc>
          <w:tcPr>
            <w:tcW w:type="dxa" w:w="3026"/>
            <w:vAlign w:val="center"/>
          </w:tcPr>
          <w:p>
            <w:pPr>
              <w:spacing w:after="0"/>
            </w:pPr>
            <w:r>
              <w:rPr>
                <w:rFonts w:ascii="游ゴシック" w:hAnsi="游ゴシック" w:eastAsia="游ゴシック"/>
                <w:b/>
                <w:sz w:val="19"/>
              </w:rPr>
              <w:t>面積</w:t>
            </w:r>
          </w:p>
        </w:tc>
        <w:tc>
          <w:tcPr>
            <w:tcW w:type="dxa" w:w="2242"/>
            <w:vAlign w:val="center"/>
          </w:tcPr>
          <w:p>
            <w:pPr>
              <w:spacing w:after="0"/>
              <w:jc w:val="center"/>
            </w:pPr>
            <w:r>
              <w:rPr>
                <w:rFonts w:ascii="游ゴシック" w:hAnsi="游ゴシック" w:eastAsia="游ゴシック"/>
                <w:b w:val="0"/>
                <w:sz w:val="19"/>
              </w:rPr>
              <w:t>247.30km²</w:t>
            </w:r>
          </w:p>
        </w:tc>
        <w:tc>
          <w:tcPr>
            <w:tcW w:type="dxa" w:w="2242"/>
            <w:vAlign w:val="center"/>
          </w:tcPr>
          <w:p>
            <w:pPr>
              <w:spacing w:after="0"/>
              <w:jc w:val="center"/>
            </w:pPr>
            <w:r>
              <w:rPr>
                <w:rFonts w:ascii="游ゴシック" w:hAnsi="游ゴシック" w:eastAsia="游ゴシック"/>
                <w:b w:val="0"/>
                <w:sz w:val="19"/>
              </w:rPr>
              <w:t>676.78km²</w:t>
            </w:r>
          </w:p>
        </w:tc>
        <w:tc>
          <w:tcPr>
            <w:tcW w:type="dxa" w:w="2242"/>
            <w:vAlign w:val="center"/>
          </w:tcPr>
          <w:p>
            <w:pPr>
              <w:spacing w:after="0"/>
              <w:jc w:val="center"/>
            </w:pPr>
            <w:r>
              <w:rPr>
                <w:rFonts w:ascii="游ゴシック" w:hAnsi="游ゴシック" w:eastAsia="游ゴシック"/>
                <w:b w:val="0"/>
                <w:sz w:val="19"/>
              </w:rPr>
              <w:t>68.50km²</w:t>
            </w:r>
          </w:p>
        </w:tc>
      </w:tr>
    </w:tbl>
    <w:p>
      <w:pPr>
        <w:spacing w:before="40"/>
      </w:pPr>
      <w:r>
        <w:rPr>
          <w:rFonts w:ascii="游ゴシック" w:hAnsi="游ゴシック" w:eastAsia="游ゴシック"/>
          <w:sz w:val="17"/>
        </w:rPr>
        <w:t>資料：令和7年国勢調査 人口速報集計、見える化A1・δ、2025年健康とくらしの調査、介護サービス情報公表システムの個別公表画面</w:t>
      </w:r>
    </w:p>
    <w:p>
      <w:pPr>
        <w:keepNext/>
        <w:spacing w:before="180" w:after="60"/>
      </w:pPr>
      <w:r>
        <w:rPr>
          <w:rFonts w:ascii="游ゴシック" w:hAnsi="游ゴシック" w:eastAsia="游ゴシック"/>
          <w:b/>
          <w:sz w:val="22"/>
        </w:rPr>
        <w:t>1　東川町</w:t>
      </w:r>
    </w:p>
    <w:p>
      <w:pPr>
        <w:ind w:left="340" w:hanging="340"/>
      </w:pPr>
      <w:r>
        <w:rPr>
          <w:rFonts w:ascii="游ゴシック" w:hAnsi="游ゴシック" w:eastAsia="游ゴシック"/>
          <w:sz w:val="21"/>
        </w:rPr>
        <w:t>・3町で唯一、令和2年から令和7年にかけて人口が増加しています（＋412人・＋4.96％）。北海道全体が▲4.58％、旭川市が▲7.17％である中での増加です。</w:t>
      </w:r>
    </w:p>
    <w:p>
      <w:pPr>
        <w:ind w:left="340" w:hanging="340"/>
      </w:pPr>
      <w:r>
        <w:rPr>
          <w:rFonts w:ascii="游ゴシック" w:hAnsi="游ゴシック" w:eastAsia="游ゴシック"/>
          <w:sz w:val="21"/>
        </w:rPr>
        <w:t>・第3期総合戦略の目標8,635人（令和11年度）を、令和7年国勢調査の8,726人が既に91人上回っています。目標をそのまま用いると推計が過小になります。</w:t>
      </w:r>
    </w:p>
    <w:p>
      <w:pPr>
        <w:ind w:left="340" w:hanging="340"/>
      </w:pPr>
      <w:r>
        <w:rPr>
          <w:rFonts w:ascii="游ゴシック" w:hAnsi="游ゴシック" w:eastAsia="游ゴシック"/>
          <w:sz w:val="21"/>
        </w:rPr>
        <w:t>・訪問介護は6事業所90人で区域内最多です。一方、短期入所系の自給率は66.8％（管内13位）で、33.2％が区域外の施設によるものです。</w:t>
      </w:r>
    </w:p>
    <w:p>
      <w:r>
        <w:rPr>
          <w:rFonts w:ascii="游ゴシック" w:hAnsi="游ゴシック" w:eastAsia="游ゴシック"/>
          <w:b/>
          <w:sz w:val="21"/>
        </w:rPr>
        <w:t>お伺いしたいこと</w:t>
      </w:r>
    </w:p>
    <w:p>
      <w:pPr>
        <w:ind w:left="340" w:hanging="340"/>
      </w:pPr>
      <w:r>
        <w:rPr>
          <w:rFonts w:ascii="游ゴシック" w:hAnsi="游ゴシック" w:eastAsia="游ゴシック"/>
          <w:sz w:val="20"/>
        </w:rPr>
        <w:t>・人口増加の内訳です。留学生・移住・自然増のいずれがどの程度か。留学生が中心であれば第1号被保険者はほとんど増えず、給付費への影響は小さくなります。</w:t>
      </w:r>
    </w:p>
    <w:p>
      <w:pPr>
        <w:ind w:left="340" w:hanging="340"/>
      </w:pPr>
      <w:r>
        <w:rPr>
          <w:rFonts w:ascii="游ゴシック" w:hAnsi="游ゴシック" w:eastAsia="游ゴシック"/>
          <w:sz w:val="20"/>
        </w:rPr>
        <w:t>・短期入所の確保の状況と今後の見通しです。</w:t>
      </w:r>
    </w:p>
    <w:p>
      <w:pPr>
        <w:ind w:left="340" w:hanging="340"/>
      </w:pPr>
      <w:r>
        <w:rPr>
          <w:rFonts w:ascii="游ゴシック" w:hAnsi="游ゴシック" w:eastAsia="游ゴシック"/>
          <w:sz w:val="20"/>
        </w:rPr>
        <w:t>・住宅型有料老人ホーム3施設・サービス付き高齢者向け住宅2施設の稼働と入居者の状況です。</w:t>
      </w:r>
    </w:p>
    <w:p>
      <w:pPr>
        <w:keepNext/>
        <w:spacing w:before="180" w:after="60"/>
      </w:pPr>
      <w:r>
        <w:rPr>
          <w:rFonts w:ascii="游ゴシック" w:hAnsi="游ゴシック" w:eastAsia="游ゴシック"/>
          <w:b/>
          <w:sz w:val="22"/>
        </w:rPr>
        <w:t>2　美瑛町</w:t>
      </w:r>
    </w:p>
    <w:p>
      <w:pPr>
        <w:ind w:left="340" w:hanging="340"/>
      </w:pPr>
      <w:r>
        <w:rPr>
          <w:rFonts w:ascii="游ゴシック" w:hAnsi="游ゴシック" w:eastAsia="游ゴシック"/>
          <w:sz w:val="21"/>
        </w:rPr>
        <w:t>・高齢化率39.4％で3町のなかで最も高く、世帯人員2.104人も3町で最小です（令和2年からの縮小幅▲0.191人も3町最大）。</w:t>
      </w:r>
    </w:p>
    <w:p>
      <w:pPr>
        <w:ind w:left="340" w:hanging="340"/>
      </w:pPr>
      <w:r>
        <w:rPr>
          <w:rFonts w:ascii="游ゴシック" w:hAnsi="游ゴシック" w:eastAsia="游ゴシック"/>
          <w:sz w:val="21"/>
        </w:rPr>
        <w:t>・社人研推計は令和2年から令和7年に8.0％の減少を見込んでいましたが、実績は3.4％でした。推計が444人過小です。</w:t>
      </w:r>
    </w:p>
    <w:p>
      <w:pPr>
        <w:ind w:left="340" w:hanging="340"/>
      </w:pPr>
      <w:r>
        <w:rPr>
          <w:rFonts w:ascii="游ゴシック" w:hAnsi="游ゴシック" w:eastAsia="游ゴシック"/>
          <w:sz w:val="21"/>
        </w:rPr>
        <w:t>・自給率（算定可能区分の平均・6区分）77.5％は管内2位で、短期入所系100.0％・多機能系100.0％・通所系93.0％と区域内で完結する区分が多い一方、訪問系は45.9％にとどまります。面積676.78km²で移動距離の制約が強いことが背景と考えられます。</w:t>
      </w:r>
    </w:p>
    <w:p>
      <w:pPr>
        <w:ind w:left="340" w:hanging="340"/>
      </w:pPr>
      <w:r>
        <w:rPr>
          <w:rFonts w:ascii="游ゴシック" w:hAnsi="游ゴシック" w:eastAsia="游ゴシック"/>
          <w:sz w:val="21"/>
        </w:rPr>
        <w:t>・訪問介護は2事業所30人で、利用者76人を担っています。</w:t>
      </w:r>
    </w:p>
    <w:p>
      <w:r>
        <w:rPr>
          <w:rFonts w:ascii="游ゴシック" w:hAnsi="游ゴシック" w:eastAsia="游ゴシック"/>
          <w:b/>
          <w:sz w:val="21"/>
        </w:rPr>
        <w:t>お伺いしたいこと</w:t>
      </w:r>
    </w:p>
    <w:p>
      <w:pPr>
        <w:ind w:left="340" w:hanging="340"/>
      </w:pPr>
      <w:r>
        <w:rPr>
          <w:rFonts w:ascii="游ゴシック" w:hAnsi="游ゴシック" w:eastAsia="游ゴシック"/>
          <w:sz w:val="20"/>
        </w:rPr>
        <w:t>・減少が緩やかになっている要因です。移住施策等の効果があれば推計の補正に反映します。</w:t>
      </w:r>
    </w:p>
    <w:p>
      <w:pPr>
        <w:ind w:left="340" w:hanging="340"/>
      </w:pPr>
      <w:r>
        <w:rPr>
          <w:rFonts w:ascii="游ゴシック" w:hAnsi="游ゴシック" w:eastAsia="游ゴシック"/>
          <w:sz w:val="20"/>
        </w:rPr>
        <w:t>・訪問介護の供給の状況です。2事業所30人という体制で今後の需要に対応できるか。</w:t>
      </w:r>
    </w:p>
    <w:p>
      <w:pPr>
        <w:ind w:left="340" w:hanging="340"/>
      </w:pPr>
      <w:r>
        <w:rPr>
          <w:rFonts w:ascii="游ゴシック" w:hAnsi="游ゴシック" w:eastAsia="游ゴシック"/>
          <w:sz w:val="20"/>
        </w:rPr>
        <w:t>・小学校区別の差です。独居者割合は美瑛東小学校区21.9％に対し美馬牛小学校区6.9％で、市街地と農村部の差が大きくなっています。日常生活圏域の設定にどう反映するか。</w:t>
      </w:r>
    </w:p>
    <w:p>
      <w:pPr>
        <w:keepNext/>
        <w:spacing w:before="180" w:after="60"/>
      </w:pPr>
      <w:r>
        <w:rPr>
          <w:rFonts w:ascii="游ゴシック" w:hAnsi="游ゴシック" w:eastAsia="游ゴシック"/>
          <w:b/>
          <w:sz w:val="22"/>
        </w:rPr>
        <w:t>3　東神楽町</w:t>
      </w:r>
    </w:p>
    <w:p>
      <w:pPr>
        <w:ind w:left="340" w:hanging="340"/>
      </w:pPr>
      <w:r>
        <w:rPr>
          <w:rFonts w:ascii="游ゴシック" w:hAnsi="游ゴシック" w:eastAsia="游ゴシック"/>
          <w:sz w:val="21"/>
        </w:rPr>
        <w:t>・平成27年の10,233人をピークに減少に転じ、令和2年から令和7年は▲539人（▲5.32％）と減少が加速しています（平成27年から令和2年は▲106人）。</w:t>
      </w:r>
    </w:p>
    <w:p>
      <w:pPr>
        <w:ind w:left="340" w:hanging="340"/>
      </w:pPr>
      <w:r>
        <w:rPr>
          <w:rFonts w:ascii="游ゴシック" w:hAnsi="游ゴシック" w:eastAsia="游ゴシック"/>
          <w:sz w:val="21"/>
        </w:rPr>
        <w:t>・第3期総合戦略の目標は「令和11年度までに9,500人を維持」ですが、令和7年国勢調査の9,588人から年▲1.09％のペースが続けば、令和8年中に9,500人を割り込む見込みです。目標をそのまま用いると推計が過大になります。</w:t>
      </w:r>
    </w:p>
    <w:p>
      <w:pPr>
        <w:ind w:left="340" w:hanging="340"/>
      </w:pPr>
      <w:r>
        <w:rPr>
          <w:rFonts w:ascii="游ゴシック" w:hAnsi="游ゴシック" w:eastAsia="游ゴシック"/>
          <w:sz w:val="21"/>
        </w:rPr>
        <w:t>・自給率（算定可能区分の平均・5区分）63.2％は3町で最も低く、通所系63.9％（管内16位）・施設居住系65.5％（管内13位）と区域外への依存が最も強くなっています。面積68.50km²で旭川市に隣接する条件によるものと考えられます。</w:t>
      </w:r>
    </w:p>
    <w:p>
      <w:pPr>
        <w:ind w:left="340" w:hanging="340"/>
      </w:pPr>
      <w:r>
        <w:rPr>
          <w:rFonts w:ascii="游ゴシック" w:hAnsi="游ゴシック" w:eastAsia="游ゴシック"/>
          <w:sz w:val="21"/>
        </w:rPr>
        <w:t>・旭川市が5年で▲7.17％（▲23,605人）と減少しており、ベッドタウンとしての転入の供給元が縮小しています。</w:t>
      </w:r>
    </w:p>
    <w:p>
      <w:r>
        <w:rPr>
          <w:rFonts w:ascii="游ゴシック" w:hAnsi="游ゴシック" w:eastAsia="游ゴシック"/>
          <w:b/>
          <w:sz w:val="21"/>
        </w:rPr>
        <w:t>お伺いしたいこと</w:t>
      </w:r>
    </w:p>
    <w:p>
      <w:pPr>
        <w:ind w:left="340" w:hanging="340"/>
      </w:pPr>
      <w:r>
        <w:rPr>
          <w:rFonts w:ascii="游ゴシック" w:hAnsi="游ゴシック" w:eastAsia="游ゴシック"/>
          <w:sz w:val="20"/>
        </w:rPr>
        <w:t>・目標人口の見直しの予定の有無です。</w:t>
      </w:r>
    </w:p>
    <w:p>
      <w:pPr>
        <w:ind w:left="340" w:hanging="340"/>
      </w:pPr>
      <w:r>
        <w:rPr>
          <w:rFonts w:ascii="游ゴシック" w:hAnsi="游ゴシック" w:eastAsia="游ゴシック"/>
          <w:sz w:val="20"/>
        </w:rPr>
        <w:t>・区域内整備と区域外利用の調整の、いずれを重点とするかです。</w:t>
      </w:r>
    </w:p>
    <w:p>
      <w:pPr>
        <w:ind w:left="340" w:hanging="340"/>
      </w:pPr>
      <w:r>
        <w:rPr>
          <w:rFonts w:ascii="游ゴシック" w:hAnsi="游ゴシック" w:eastAsia="游ゴシック"/>
          <w:sz w:val="20"/>
        </w:rPr>
        <w:t>・旭川市の事業所の利用の実態と、それを計画に位置づけるかです。</w:t>
      </w:r>
    </w:p>
    <w:p>
      <w:r>
        <w:br w:type="page"/>
      </w:r>
    </w:p>
    <w:p>
      <w:pPr>
        <w:keepNext/>
        <w:spacing w:before="280" w:after="120"/>
      </w:pPr>
      <w:r>
        <w:rPr>
          <w:rFonts w:ascii="游ゴシック" w:hAnsi="游ゴシック" w:eastAsia="游ゴシック"/>
          <w:b/>
          <w:color w:val="1F3864"/>
          <w:sz w:val="26"/>
        </w:rPr>
        <w:t>第5節　ご提供をお願いする資料</w:t>
      </w:r>
    </w:p>
    <w:p>
      <w:r>
        <w:rPr>
          <w:rFonts w:ascii="游ゴシック" w:hAnsi="游ゴシック" w:eastAsia="游ゴシック"/>
          <w:b w:val="0"/>
          <w:sz w:val="21"/>
        </w:rPr>
        <w:t>業務そのものが完了しないものから順に掲げます。①と②は、ご提供がないと計画の中心部分が作成できません。</w:t>
      </w:r>
    </w:p>
    <w:p>
      <w:pPr>
        <w:keepNext/>
        <w:spacing w:before="160" w:after="40"/>
      </w:pPr>
      <w:r>
        <w:rPr>
          <w:rFonts w:ascii="游ゴシック" w:hAnsi="游ゴシック" w:eastAsia="游ゴシック"/>
          <w:b/>
          <w:sz w:val="20"/>
        </w:rPr>
        <w:t>表10　ご提供をお願いする資料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510"/>
            <w:shd w:val="clear" w:color="auto" w:fill="1F3864"/>
            <w:vAlign w:val="center"/>
          </w:tcPr>
          <w:p>
            <w:pPr>
              <w:spacing w:after="0"/>
              <w:jc w:val="center"/>
            </w:pPr>
            <w:r>
              <w:rPr>
                <w:rFonts w:ascii="游ゴシック" w:hAnsi="游ゴシック" w:eastAsia="游ゴシック"/>
                <w:b/>
                <w:color w:val="FFFFFF"/>
                <w:sz w:val="19"/>
              </w:rPr>
            </w:r>
          </w:p>
        </w:tc>
        <w:tc>
          <w:tcPr>
            <w:tcW w:type="dxa" w:w="2381"/>
            <w:shd w:val="clear" w:color="auto" w:fill="1F3864"/>
            <w:vAlign w:val="center"/>
          </w:tcPr>
          <w:p>
            <w:pPr>
              <w:spacing w:after="0"/>
              <w:jc w:val="center"/>
            </w:pPr>
            <w:r>
              <w:rPr>
                <w:rFonts w:ascii="游ゴシック" w:hAnsi="游ゴシック" w:eastAsia="游ゴシック"/>
                <w:b/>
                <w:color w:val="FFFFFF"/>
                <w:sz w:val="19"/>
              </w:rPr>
              <w:t>資料</w:t>
            </w:r>
          </w:p>
        </w:tc>
        <w:tc>
          <w:tcPr>
            <w:tcW w:type="dxa" w:w="2494"/>
            <w:shd w:val="clear" w:color="auto" w:fill="1F3864"/>
            <w:vAlign w:val="center"/>
          </w:tcPr>
          <w:p>
            <w:pPr>
              <w:spacing w:after="0"/>
              <w:jc w:val="center"/>
            </w:pPr>
            <w:r>
              <w:rPr>
                <w:rFonts w:ascii="游ゴシック" w:hAnsi="游ゴシック" w:eastAsia="游ゴシック"/>
                <w:b/>
                <w:color w:val="FFFFFF"/>
                <w:sz w:val="19"/>
              </w:rPr>
              <w:t>何のために必要か</w:t>
            </w:r>
          </w:p>
        </w:tc>
        <w:tc>
          <w:tcPr>
            <w:tcW w:type="dxa" w:w="2494"/>
            <w:shd w:val="clear" w:color="auto" w:fill="1F3864"/>
            <w:vAlign w:val="center"/>
          </w:tcPr>
          <w:p>
            <w:pPr>
              <w:spacing w:after="0"/>
              <w:jc w:val="center"/>
            </w:pPr>
            <w:r>
              <w:rPr>
                <w:rFonts w:ascii="游ゴシック" w:hAnsi="游ゴシック" w:eastAsia="游ゴシック"/>
                <w:b/>
                <w:color w:val="FFFFFF"/>
                <w:sz w:val="19"/>
              </w:rPr>
              <w:t>これがないと進まないこと</w:t>
            </w:r>
          </w:p>
        </w:tc>
        <w:tc>
          <w:tcPr>
            <w:tcW w:type="dxa" w:w="1134"/>
            <w:shd w:val="clear" w:color="auto" w:fill="1F3864"/>
            <w:vAlign w:val="center"/>
          </w:tcPr>
          <w:p>
            <w:pPr>
              <w:spacing w:after="0"/>
              <w:jc w:val="center"/>
            </w:pPr>
            <w:r>
              <w:rPr>
                <w:rFonts w:ascii="游ゴシック" w:hAnsi="游ゴシック" w:eastAsia="游ゴシック"/>
                <w:b/>
                <w:color w:val="FFFFFF"/>
                <w:sz w:val="19"/>
              </w:rPr>
              <w:t>期限</w:t>
            </w:r>
          </w:p>
        </w:tc>
      </w:tr>
      <w:tr>
        <w:trPr>
          <w:cantSplit/>
        </w:trPr>
        <w:tc>
          <w:tcPr>
            <w:tcW w:type="dxa" w:w="510"/>
            <w:vAlign w:val="center"/>
          </w:tcPr>
          <w:p>
            <w:pPr>
              <w:spacing w:after="0"/>
              <w:jc w:val="center"/>
            </w:pPr>
            <w:r>
              <w:rPr>
                <w:rFonts w:ascii="游ゴシック" w:hAnsi="游ゴシック" w:eastAsia="游ゴシック"/>
                <w:b w:val="0"/>
                <w:sz w:val="19"/>
              </w:rPr>
              <w:t>①</w:t>
            </w:r>
          </w:p>
        </w:tc>
        <w:tc>
          <w:tcPr>
            <w:tcW w:type="dxa" w:w="2381"/>
            <w:vAlign w:val="center"/>
          </w:tcPr>
          <w:p>
            <w:pPr>
              <w:spacing w:after="0"/>
            </w:pPr>
            <w:r>
              <w:rPr>
                <w:rFonts w:ascii="游ゴシック" w:hAnsi="游ゴシック" w:eastAsia="游ゴシック"/>
                <w:b w:val="0"/>
                <w:sz w:val="19"/>
              </w:rPr>
              <w:t>令和6〜8年度の施策・事業実績、事業量、対象実人数、予算・決算額</w:t>
            </w:r>
          </w:p>
        </w:tc>
        <w:tc>
          <w:tcPr>
            <w:tcW w:type="dxa" w:w="2494"/>
            <w:vAlign w:val="center"/>
          </w:tcPr>
          <w:p>
            <w:pPr>
              <w:spacing w:after="0"/>
            </w:pPr>
            <w:r>
              <w:rPr>
                <w:rFonts w:ascii="游ゴシック" w:hAnsi="游ゴシック" w:eastAsia="游ゴシック"/>
                <w:b w:val="0"/>
                <w:sz w:val="19"/>
              </w:rPr>
              <w:t>第9期のプロセス評価（事業が計画どおり実施されたか）。現時点で最大の空白です。</w:t>
            </w:r>
          </w:p>
        </w:tc>
        <w:tc>
          <w:tcPr>
            <w:tcW w:type="dxa" w:w="2494"/>
            <w:vAlign w:val="center"/>
          </w:tcPr>
          <w:p>
            <w:pPr>
              <w:spacing w:after="0"/>
            </w:pPr>
            <w:r>
              <w:rPr>
                <w:rFonts w:ascii="游ゴシック" w:hAnsi="游ゴシック" w:eastAsia="游ゴシック"/>
                <w:b w:val="0"/>
                <w:sz w:val="19"/>
              </w:rPr>
              <w:t>第3章の施策単位の達成・未達の判定ができません。計画骨子案の前提となります。</w:t>
            </w:r>
          </w:p>
        </w:tc>
        <w:tc>
          <w:tcPr>
            <w:tcW w:type="dxa" w:w="1134"/>
            <w:vAlign w:val="center"/>
          </w:tcPr>
          <w:p>
            <w:pPr>
              <w:spacing w:after="0"/>
              <w:jc w:val="center"/>
            </w:pPr>
            <w:r>
              <w:rPr>
                <w:rFonts w:ascii="游ゴシック" w:hAnsi="游ゴシック" w:eastAsia="游ゴシック"/>
                <w:b w:val="0"/>
                <w:sz w:val="19"/>
              </w:rPr>
              <w:t>令和8年9月</w:t>
            </w:r>
          </w:p>
        </w:tc>
      </w:tr>
      <w:tr>
        <w:trPr>
          <w:cantSplit/>
        </w:trPr>
        <w:tc>
          <w:tcPr>
            <w:tcW w:type="dxa" w:w="510"/>
            <w:shd w:val="clear" w:color="auto" w:fill="F2F5FA"/>
            <w:vAlign w:val="center"/>
          </w:tcPr>
          <w:p>
            <w:pPr>
              <w:spacing w:after="0"/>
              <w:jc w:val="center"/>
            </w:pPr>
            <w:r>
              <w:rPr>
                <w:rFonts w:ascii="游ゴシック" w:hAnsi="游ゴシック" w:eastAsia="游ゴシック"/>
                <w:b w:val="0"/>
                <w:sz w:val="19"/>
              </w:rPr>
              <w:t>②</w:t>
            </w:r>
          </w:p>
        </w:tc>
        <w:tc>
          <w:tcPr>
            <w:tcW w:type="dxa" w:w="2381"/>
            <w:shd w:val="clear" w:color="auto" w:fill="F2F5FA"/>
            <w:vAlign w:val="center"/>
          </w:tcPr>
          <w:p>
            <w:pPr>
              <w:spacing w:after="0"/>
            </w:pPr>
            <w:r>
              <w:rPr>
                <w:rFonts w:ascii="游ゴシック" w:hAnsi="游ゴシック" w:eastAsia="游ゴシック"/>
                <w:b w:val="0"/>
                <w:sz w:val="19"/>
              </w:rPr>
              <w:t>町別の第1号被保険者数（年齢階級別・令和8年3月末）</w:t>
            </w:r>
          </w:p>
        </w:tc>
        <w:tc>
          <w:tcPr>
            <w:tcW w:type="dxa" w:w="2494"/>
            <w:shd w:val="clear" w:color="auto" w:fill="F2F5FA"/>
            <w:vAlign w:val="center"/>
          </w:tcPr>
          <w:p>
            <w:pPr>
              <w:spacing w:after="0"/>
            </w:pPr>
            <w:r>
              <w:rPr>
                <w:rFonts w:ascii="游ゴシック" w:hAnsi="游ゴシック" w:eastAsia="游ゴシック"/>
                <w:b w:val="0"/>
                <w:sz w:val="19"/>
              </w:rPr>
              <w:t>65〜74歳・75〜84歳・85歳以上の3階級。町別の補正係数を適用するための基準人口です。現在は3町計のみを見える化B4cから得ています。なお町別住民基本台帳人口（年齢5歳階級別）は、総務省の公表資料により平成31年から令和7年までを入手済みです。</w:t>
            </w:r>
          </w:p>
        </w:tc>
        <w:tc>
          <w:tcPr>
            <w:tcW w:type="dxa" w:w="2494"/>
            <w:shd w:val="clear" w:color="auto" w:fill="F2F5FA"/>
            <w:vAlign w:val="center"/>
          </w:tcPr>
          <w:p>
            <w:pPr>
              <w:spacing w:after="0"/>
            </w:pPr>
            <w:r>
              <w:rPr>
                <w:rFonts w:ascii="游ゴシック" w:hAnsi="游ゴシック" w:eastAsia="游ゴシック"/>
                <w:b w:val="0"/>
                <w:sz w:val="19"/>
              </w:rPr>
              <w:t>第3節の補正の町別適用ができず、サービス見込量の町別配分が3町計の按分にとどまります。</w:t>
            </w:r>
          </w:p>
        </w:tc>
        <w:tc>
          <w:tcPr>
            <w:tcW w:type="dxa" w:w="1134"/>
            <w:shd w:val="clear" w:color="auto" w:fill="F2F5FA"/>
            <w:vAlign w:val="center"/>
          </w:tcPr>
          <w:p>
            <w:pPr>
              <w:spacing w:after="0"/>
              <w:jc w:val="center"/>
            </w:pPr>
            <w:r>
              <w:rPr>
                <w:rFonts w:ascii="游ゴシック" w:hAnsi="游ゴシック" w:eastAsia="游ゴシック"/>
                <w:b w:val="0"/>
                <w:sz w:val="19"/>
              </w:rPr>
              <w:t>令和8年9月</w:t>
            </w:r>
          </w:p>
        </w:tc>
      </w:tr>
      <w:tr>
        <w:trPr>
          <w:cantSplit/>
        </w:trPr>
        <w:tc>
          <w:tcPr>
            <w:tcW w:type="dxa" w:w="510"/>
            <w:vAlign w:val="center"/>
          </w:tcPr>
          <w:p>
            <w:pPr>
              <w:spacing w:after="0"/>
              <w:jc w:val="center"/>
            </w:pPr>
            <w:r>
              <w:rPr>
                <w:rFonts w:ascii="游ゴシック" w:hAnsi="游ゴシック" w:eastAsia="游ゴシック"/>
                <w:b w:val="0"/>
                <w:sz w:val="19"/>
              </w:rPr>
              <w:t>③</w:t>
            </w:r>
          </w:p>
        </w:tc>
        <w:tc>
          <w:tcPr>
            <w:tcW w:type="dxa" w:w="2381"/>
            <w:vAlign w:val="center"/>
          </w:tcPr>
          <w:p>
            <w:pPr>
              <w:spacing w:after="0"/>
            </w:pPr>
            <w:r>
              <w:rPr>
                <w:rFonts w:ascii="游ゴシック" w:hAnsi="游ゴシック" w:eastAsia="游ゴシック"/>
                <w:b w:val="0"/>
                <w:sz w:val="19"/>
              </w:rPr>
              <w:t>決算書及び介護給付費準備基金の積立・取崩実績（第7期〜第9期各年度、令和8年度末残高見込を含む）</w:t>
            </w:r>
          </w:p>
        </w:tc>
        <w:tc>
          <w:tcPr>
            <w:tcW w:type="dxa" w:w="2494"/>
            <w:vAlign w:val="center"/>
          </w:tcPr>
          <w:p>
            <w:pPr>
              <w:spacing w:after="0"/>
            </w:pPr>
            <w:r>
              <w:rPr>
                <w:rFonts w:ascii="游ゴシック" w:hAnsi="游ゴシック" w:eastAsia="游ゴシック"/>
                <w:b w:val="0"/>
                <w:sz w:val="19"/>
              </w:rPr>
              <w:t>第10期の基金取崩額の決定。保険料の据え置きの可否の判断。</w:t>
            </w:r>
          </w:p>
        </w:tc>
        <w:tc>
          <w:tcPr>
            <w:tcW w:type="dxa" w:w="2494"/>
            <w:vAlign w:val="center"/>
          </w:tcPr>
          <w:p>
            <w:pPr>
              <w:spacing w:after="0"/>
            </w:pPr>
            <w:r>
              <w:rPr>
                <w:rFonts w:ascii="游ゴシック" w:hAnsi="游ゴシック" w:eastAsia="游ゴシック"/>
                <w:b w:val="0"/>
                <w:sz w:val="19"/>
              </w:rPr>
              <w:t>第6章第6節の保険料試算が確定しません。</w:t>
            </w:r>
          </w:p>
        </w:tc>
        <w:tc>
          <w:tcPr>
            <w:tcW w:type="dxa" w:w="1134"/>
            <w:vAlign w:val="center"/>
          </w:tcPr>
          <w:p>
            <w:pPr>
              <w:spacing w:after="0"/>
              <w:jc w:val="center"/>
            </w:pPr>
            <w:r>
              <w:rPr>
                <w:rFonts w:ascii="游ゴシック" w:hAnsi="游ゴシック" w:eastAsia="游ゴシック"/>
                <w:b w:val="0"/>
                <w:sz w:val="19"/>
              </w:rPr>
              <w:t>令和8年10月</w:t>
            </w:r>
          </w:p>
        </w:tc>
      </w:tr>
      <w:tr>
        <w:trPr>
          <w:cantSplit/>
        </w:trPr>
        <w:tc>
          <w:tcPr>
            <w:tcW w:type="dxa" w:w="510"/>
            <w:shd w:val="clear" w:color="auto" w:fill="F2F5FA"/>
            <w:vAlign w:val="center"/>
          </w:tcPr>
          <w:p>
            <w:pPr>
              <w:spacing w:after="0"/>
              <w:jc w:val="center"/>
            </w:pPr>
            <w:r>
              <w:rPr>
                <w:rFonts w:ascii="游ゴシック" w:hAnsi="游ゴシック" w:eastAsia="游ゴシック"/>
                <w:b w:val="0"/>
                <w:sz w:val="19"/>
              </w:rPr>
              <w:t>④</w:t>
            </w:r>
          </w:p>
        </w:tc>
        <w:tc>
          <w:tcPr>
            <w:tcW w:type="dxa" w:w="2381"/>
            <w:shd w:val="clear" w:color="auto" w:fill="F2F5FA"/>
            <w:vAlign w:val="center"/>
          </w:tcPr>
          <w:p>
            <w:pPr>
              <w:spacing w:after="0"/>
            </w:pPr>
            <w:r>
              <w:rPr>
                <w:rFonts w:ascii="游ゴシック" w:hAnsi="游ゴシック" w:eastAsia="游ゴシック"/>
                <w:b w:val="0"/>
                <w:sz w:val="19"/>
              </w:rPr>
              <w:t>町別・サービス区分別の給付費（令和4〜7年度）</w:t>
            </w:r>
          </w:p>
        </w:tc>
        <w:tc>
          <w:tcPr>
            <w:tcW w:type="dxa" w:w="2494"/>
            <w:shd w:val="clear" w:color="auto" w:fill="F2F5FA"/>
            <w:vAlign w:val="center"/>
          </w:tcPr>
          <w:p>
            <w:pPr>
              <w:spacing w:after="0"/>
            </w:pPr>
            <w:r>
              <w:rPr>
                <w:rFonts w:ascii="游ゴシック" w:hAnsi="游ゴシック" w:eastAsia="游ゴシック"/>
                <w:b w:val="0"/>
                <w:sz w:val="19"/>
              </w:rPr>
              <w:t>自給率と掛け合わせた区域外への給付費の流出額の算定。</w:t>
            </w:r>
          </w:p>
        </w:tc>
        <w:tc>
          <w:tcPr>
            <w:tcW w:type="dxa" w:w="2494"/>
            <w:shd w:val="clear" w:color="auto" w:fill="F2F5FA"/>
            <w:vAlign w:val="center"/>
          </w:tcPr>
          <w:p>
            <w:pPr>
              <w:spacing w:after="0"/>
            </w:pPr>
            <w:r>
              <w:rPr>
                <w:rFonts w:ascii="游ゴシック" w:hAnsi="游ゴシック" w:eastAsia="游ゴシック"/>
                <w:b w:val="0"/>
                <w:sz w:val="19"/>
              </w:rPr>
              <w:t>給付費の地域内還流の議論が割合の記述にとどまります。</w:t>
            </w:r>
          </w:p>
        </w:tc>
        <w:tc>
          <w:tcPr>
            <w:tcW w:type="dxa" w:w="1134"/>
            <w:shd w:val="clear" w:color="auto" w:fill="F2F5FA"/>
            <w:vAlign w:val="center"/>
          </w:tcPr>
          <w:p>
            <w:pPr>
              <w:spacing w:after="0"/>
              <w:jc w:val="center"/>
            </w:pPr>
            <w:r>
              <w:rPr>
                <w:rFonts w:ascii="游ゴシック" w:hAnsi="游ゴシック" w:eastAsia="游ゴシック"/>
                <w:b w:val="0"/>
                <w:sz w:val="19"/>
              </w:rPr>
              <w:t>令和8年10月</w:t>
            </w:r>
          </w:p>
        </w:tc>
      </w:tr>
      <w:tr>
        <w:trPr>
          <w:cantSplit/>
        </w:trPr>
        <w:tc>
          <w:tcPr>
            <w:tcW w:type="dxa" w:w="510"/>
            <w:vAlign w:val="center"/>
          </w:tcPr>
          <w:p>
            <w:pPr>
              <w:spacing w:after="0"/>
              <w:jc w:val="center"/>
            </w:pPr>
            <w:r>
              <w:rPr>
                <w:rFonts w:ascii="游ゴシック" w:hAnsi="游ゴシック" w:eastAsia="游ゴシック"/>
                <w:b w:val="0"/>
                <w:sz w:val="19"/>
              </w:rPr>
              <w:t>⑤</w:t>
            </w:r>
          </w:p>
        </w:tc>
        <w:tc>
          <w:tcPr>
            <w:tcW w:type="dxa" w:w="2381"/>
            <w:vAlign w:val="center"/>
          </w:tcPr>
          <w:p>
            <w:pPr>
              <w:spacing w:after="0"/>
            </w:pPr>
            <w:r>
              <w:rPr>
                <w:rFonts w:ascii="游ゴシック" w:hAnsi="游ゴシック" w:eastAsia="游ゴシック"/>
                <w:b w:val="0"/>
                <w:sz w:val="19"/>
              </w:rPr>
              <w:t>事業所・施設の定員と稼働の実績</w:t>
            </w:r>
          </w:p>
        </w:tc>
        <w:tc>
          <w:tcPr>
            <w:tcW w:type="dxa" w:w="2494"/>
            <w:vAlign w:val="center"/>
          </w:tcPr>
          <w:p>
            <w:pPr>
              <w:spacing w:after="0"/>
            </w:pPr>
            <w:r>
              <w:rPr>
                <w:rFonts w:ascii="游ゴシック" w:hAnsi="游ゴシック" w:eastAsia="游ゴシック"/>
                <w:b w:val="0"/>
                <w:sz w:val="19"/>
              </w:rPr>
              <w:t>稼働率の低下の有無の確認。介護老人福祉施設の定員が234人から160人へ減少した経緯。</w:t>
            </w:r>
          </w:p>
        </w:tc>
        <w:tc>
          <w:tcPr>
            <w:tcW w:type="dxa" w:w="2494"/>
            <w:vAlign w:val="center"/>
          </w:tcPr>
          <w:p>
            <w:pPr>
              <w:spacing w:after="0"/>
            </w:pPr>
            <w:r>
              <w:rPr>
                <w:rFonts w:ascii="游ゴシック" w:hAnsi="游ゴシック" w:eastAsia="游ゴシック"/>
                <w:b w:val="0"/>
                <w:sz w:val="19"/>
              </w:rPr>
              <w:t>第6章第2節の整備必要量の算定ができません。</w:t>
            </w:r>
          </w:p>
        </w:tc>
        <w:tc>
          <w:tcPr>
            <w:tcW w:type="dxa" w:w="1134"/>
            <w:vAlign w:val="center"/>
          </w:tcPr>
          <w:p>
            <w:pPr>
              <w:spacing w:after="0"/>
              <w:jc w:val="center"/>
            </w:pPr>
            <w:r>
              <w:rPr>
                <w:rFonts w:ascii="游ゴシック" w:hAnsi="游ゴシック" w:eastAsia="游ゴシック"/>
                <w:b w:val="0"/>
                <w:sz w:val="19"/>
              </w:rPr>
              <w:t>令和8年10月</w:t>
            </w:r>
          </w:p>
        </w:tc>
      </w:tr>
      <w:tr>
        <w:trPr>
          <w:cantSplit/>
        </w:trPr>
        <w:tc>
          <w:tcPr>
            <w:tcW w:type="dxa" w:w="510"/>
            <w:shd w:val="clear" w:color="auto" w:fill="F2F5FA"/>
            <w:vAlign w:val="center"/>
          </w:tcPr>
          <w:p>
            <w:pPr>
              <w:spacing w:after="0"/>
              <w:jc w:val="center"/>
            </w:pPr>
            <w:r>
              <w:rPr>
                <w:rFonts w:ascii="游ゴシック" w:hAnsi="游ゴシック" w:eastAsia="游ゴシック"/>
                <w:b w:val="0"/>
                <w:sz w:val="19"/>
              </w:rPr>
              <w:t>⑥</w:t>
            </w:r>
          </w:p>
        </w:tc>
        <w:tc>
          <w:tcPr>
            <w:tcW w:type="dxa" w:w="2381"/>
            <w:shd w:val="clear" w:color="auto" w:fill="F2F5FA"/>
            <w:vAlign w:val="center"/>
          </w:tcPr>
          <w:p>
            <w:pPr>
              <w:spacing w:after="0"/>
            </w:pPr>
            <w:r>
              <w:rPr>
                <w:rFonts w:ascii="游ゴシック" w:hAnsi="游ゴシック" w:eastAsia="游ゴシック"/>
                <w:b w:val="0"/>
                <w:sz w:val="19"/>
              </w:rPr>
              <w:t>業務継続計画未策定減算の算定状況（国民健康保険団体連合会）</w:t>
            </w:r>
          </w:p>
        </w:tc>
        <w:tc>
          <w:tcPr>
            <w:tcW w:type="dxa" w:w="2494"/>
            <w:shd w:val="clear" w:color="auto" w:fill="F2F5FA"/>
            <w:vAlign w:val="center"/>
          </w:tcPr>
          <w:p>
            <w:pPr>
              <w:spacing w:after="0"/>
            </w:pPr>
            <w:r>
              <w:rPr>
                <w:rFonts w:ascii="游ゴシック" w:hAnsi="游ゴシック" w:eastAsia="游ゴシック"/>
                <w:b w:val="0"/>
                <w:sz w:val="19"/>
              </w:rPr>
              <w:t>代表KPI H16（災害・感染症時のサービス継続）の代理指標。</w:t>
            </w:r>
          </w:p>
        </w:tc>
        <w:tc>
          <w:tcPr>
            <w:tcW w:type="dxa" w:w="2494"/>
            <w:shd w:val="clear" w:color="auto" w:fill="F2F5FA"/>
            <w:vAlign w:val="center"/>
          </w:tcPr>
          <w:p>
            <w:pPr>
              <w:spacing w:after="0"/>
            </w:pPr>
            <w:r>
              <w:rPr>
                <w:rFonts w:ascii="游ゴシック" w:hAnsi="游ゴシック" w:eastAsia="游ゴシック"/>
                <w:b w:val="0"/>
                <w:sz w:val="19"/>
              </w:rPr>
              <w:t>H16の基準値が設定できません。</w:t>
            </w:r>
          </w:p>
        </w:tc>
        <w:tc>
          <w:tcPr>
            <w:tcW w:type="dxa" w:w="1134"/>
            <w:shd w:val="clear" w:color="auto" w:fill="F2F5FA"/>
            <w:vAlign w:val="center"/>
          </w:tcPr>
          <w:p>
            <w:pPr>
              <w:spacing w:after="0"/>
              <w:jc w:val="center"/>
            </w:pPr>
            <w:r>
              <w:rPr>
                <w:rFonts w:ascii="游ゴシック" w:hAnsi="游ゴシック" w:eastAsia="游ゴシック"/>
                <w:b w:val="0"/>
                <w:sz w:val="19"/>
              </w:rPr>
              <w:t>令和8年10月</w:t>
            </w:r>
          </w:p>
        </w:tc>
      </w:tr>
      <w:tr>
        <w:trPr>
          <w:cantSplit/>
        </w:trPr>
        <w:tc>
          <w:tcPr>
            <w:tcW w:type="dxa" w:w="510"/>
            <w:vAlign w:val="center"/>
          </w:tcPr>
          <w:p>
            <w:pPr>
              <w:spacing w:after="0"/>
              <w:jc w:val="center"/>
            </w:pPr>
            <w:r>
              <w:rPr>
                <w:rFonts w:ascii="游ゴシック" w:hAnsi="游ゴシック" w:eastAsia="游ゴシック"/>
                <w:b w:val="0"/>
                <w:sz w:val="19"/>
              </w:rPr>
              <w:t>⑦</w:t>
            </w:r>
          </w:p>
        </w:tc>
        <w:tc>
          <w:tcPr>
            <w:tcW w:type="dxa" w:w="2381"/>
            <w:vAlign w:val="center"/>
          </w:tcPr>
          <w:p>
            <w:pPr>
              <w:spacing w:after="0"/>
            </w:pPr>
            <w:r>
              <w:rPr>
                <w:rFonts w:ascii="游ゴシック" w:hAnsi="游ゴシック" w:eastAsia="游ゴシック"/>
                <w:b w:val="0"/>
                <w:sz w:val="19"/>
              </w:rPr>
              <w:t>小学校区と日常生活圏域の対応関係</w:t>
            </w:r>
          </w:p>
        </w:tc>
        <w:tc>
          <w:tcPr>
            <w:tcW w:type="dxa" w:w="2494"/>
            <w:vAlign w:val="center"/>
          </w:tcPr>
          <w:p>
            <w:pPr>
              <w:spacing w:after="0"/>
            </w:pPr>
            <w:r>
              <w:rPr>
                <w:rFonts w:ascii="游ゴシック" w:hAnsi="游ゴシック" w:eastAsia="游ゴシック"/>
                <w:b w:val="0"/>
                <w:sz w:val="19"/>
              </w:rPr>
              <w:t>健康とくらしの調査の小学校区12地区と第9期の6圏域の対応。</w:t>
            </w:r>
          </w:p>
        </w:tc>
        <w:tc>
          <w:tcPr>
            <w:tcW w:type="dxa" w:w="2494"/>
            <w:vAlign w:val="center"/>
          </w:tcPr>
          <w:p>
            <w:pPr>
              <w:spacing w:after="0"/>
            </w:pPr>
            <w:r>
              <w:rPr>
                <w:rFonts w:ascii="游ゴシック" w:hAnsi="游ゴシック" w:eastAsia="游ゴシック"/>
                <w:b w:val="0"/>
                <w:sz w:val="19"/>
              </w:rPr>
              <w:t>圏域別の分析ができず、圏域設定の見直しが確定しません。</w:t>
            </w:r>
          </w:p>
        </w:tc>
        <w:tc>
          <w:tcPr>
            <w:tcW w:type="dxa" w:w="1134"/>
            <w:vAlign w:val="center"/>
          </w:tcPr>
          <w:p>
            <w:pPr>
              <w:spacing w:after="0"/>
              <w:jc w:val="center"/>
            </w:pPr>
            <w:r>
              <w:rPr>
                <w:rFonts w:ascii="游ゴシック" w:hAnsi="游ゴシック" w:eastAsia="游ゴシック"/>
                <w:b w:val="0"/>
                <w:sz w:val="19"/>
              </w:rPr>
              <w:t>令和8年9月</w:t>
            </w:r>
          </w:p>
        </w:tc>
      </w:tr>
    </w:tbl>
    <w:p>
      <w:r>
        <w:rPr>
          <w:rFonts w:ascii="游ゴシック" w:hAnsi="游ゴシック" w:eastAsia="游ゴシック"/>
          <w:b w:val="0"/>
          <w:sz w:val="21"/>
        </w:rPr>
        <w:t>①については、そのままご記入いただける様式を作成しています（「第10期計画_資料提供依頼_第9期の施策事業実績.xlsx」）。第9期の19施策・地域支援事業15区分・基盤整備23サービス・決算の記入表です。ご提供が難しい項目については、代替手段と、代替した場合に生じる限界を同資料の06シートに整理しています。</w:t>
      </w:r>
    </w:p>
    <w:p>
      <w:pPr>
        <w:ind w:left="227"/>
      </w:pPr>
      <w:r>
        <w:rPr>
          <w:rFonts w:ascii="游ゴシック" w:hAnsi="游ゴシック" w:eastAsia="游ゴシック"/>
          <w:sz w:val="18"/>
        </w:rPr>
        <w:t>※ ①がご提供いただけない場合、第9期の評価は「代表KPIの達成状況」と「保険者機能強化推進交付金による外部評価」の2つのみとなり、施策・事業が計画どおり実施されたかという評価ができません。介護保険法第117条に基づく点検・評価の要件を満たさないおそれがあります。</w:t>
      </w:r>
    </w:p>
    <w:p>
      <w:r>
        <w:br w:type="page"/>
      </w:r>
    </w:p>
    <w:p>
      <w:pPr>
        <w:keepNext/>
        <w:spacing w:before="280" w:after="120"/>
      </w:pPr>
      <w:r>
        <w:rPr>
          <w:rFonts w:ascii="游ゴシック" w:hAnsi="游ゴシック" w:eastAsia="游ゴシック"/>
          <w:b/>
          <w:color w:val="1F3864"/>
          <w:sz w:val="26"/>
        </w:rPr>
        <w:t>第6節　お伺いしたいこと</w:t>
      </w:r>
    </w:p>
    <w:p>
      <w:pPr>
        <w:keepNext/>
        <w:spacing w:before="180" w:after="60"/>
      </w:pPr>
      <w:r>
        <w:rPr>
          <w:rFonts w:ascii="游ゴシック" w:hAnsi="游ゴシック" w:eastAsia="游ゴシック"/>
          <w:b/>
          <w:sz w:val="22"/>
        </w:rPr>
        <w:t>1　人口推計について</w:t>
      </w:r>
    </w:p>
    <w:p>
      <w:pPr>
        <w:ind w:left="340" w:hanging="340"/>
      </w:pPr>
      <w:r>
        <w:rPr>
          <w:rFonts w:ascii="游ゴシック" w:hAnsi="游ゴシック" w:eastAsia="游ゴシック"/>
          <w:sz w:val="21"/>
        </w:rPr>
        <w:t>・第3期地方創生総合戦略の人口推計の考え方（目標人口の設定方法、想定した社会増減）</w:t>
      </w:r>
    </w:p>
    <w:p>
      <w:pPr>
        <w:ind w:left="340" w:hanging="340"/>
      </w:pPr>
      <w:r>
        <w:rPr>
          <w:rFonts w:ascii="游ゴシック" w:hAnsi="游ゴシック" w:eastAsia="游ゴシック"/>
          <w:sz w:val="21"/>
        </w:rPr>
        <w:t>・総合戦略の人口推計を介護保険の推計に用いることについてのお考え</w:t>
      </w:r>
    </w:p>
    <w:p>
      <w:pPr>
        <w:ind w:left="340" w:hanging="340"/>
      </w:pPr>
      <w:r>
        <w:rPr>
          <w:rFonts w:ascii="游ゴシック" w:hAnsi="游ゴシック" w:eastAsia="游ゴシック"/>
          <w:sz w:val="21"/>
        </w:rPr>
        <w:t>・東川町・東神楽町については、目標と実績の差の扱い</w:t>
      </w:r>
    </w:p>
    <w:p>
      <w:pPr>
        <w:keepNext/>
        <w:spacing w:before="180" w:after="60"/>
      </w:pPr>
      <w:r>
        <w:rPr>
          <w:rFonts w:ascii="游ゴシック" w:hAnsi="游ゴシック" w:eastAsia="游ゴシック"/>
          <w:b/>
          <w:sz w:val="22"/>
        </w:rPr>
        <w:t>2　第9期の評価について</w:t>
      </w:r>
    </w:p>
    <w:p>
      <w:pPr>
        <w:ind w:left="340" w:hanging="340"/>
      </w:pPr>
      <w:r>
        <w:rPr>
          <w:rFonts w:ascii="游ゴシック" w:hAnsi="游ゴシック" w:eastAsia="游ゴシック"/>
          <w:sz w:val="21"/>
        </w:rPr>
        <w:t>・令和6〜8年度の施策・事業実績のご提供の時期と方法</w:t>
      </w:r>
    </w:p>
    <w:p>
      <w:pPr>
        <w:ind w:left="340" w:hanging="340"/>
      </w:pPr>
      <w:r>
        <w:rPr>
          <w:rFonts w:ascii="游ゴシック" w:hAnsi="游ゴシック" w:eastAsia="游ゴシック"/>
          <w:sz w:val="21"/>
        </w:rPr>
        <w:t>・実績が把握できない事業がある場合の扱い（「評価不能」として理由・代替指標・改善期限を記録する案）</w:t>
      </w:r>
    </w:p>
    <w:p>
      <w:pPr>
        <w:ind w:left="340" w:hanging="340"/>
      </w:pPr>
      <w:r>
        <w:rPr>
          <w:rFonts w:ascii="游ゴシック" w:hAnsi="游ゴシック" w:eastAsia="游ゴシック"/>
          <w:sz w:val="21"/>
        </w:rPr>
        <w:t>・第9期の自己評価と北海道への報告の実績</w:t>
      </w:r>
    </w:p>
    <w:p>
      <w:pPr>
        <w:keepNext/>
        <w:spacing w:before="180" w:after="60"/>
      </w:pPr>
      <w:r>
        <w:rPr>
          <w:rFonts w:ascii="游ゴシック" w:hAnsi="游ゴシック" w:eastAsia="游ゴシック"/>
          <w:b/>
          <w:sz w:val="22"/>
        </w:rPr>
        <w:t>3　代表KPIについて</w:t>
      </w:r>
    </w:p>
    <w:p>
      <w:pPr>
        <w:ind w:left="340" w:hanging="340"/>
      </w:pPr>
      <w:r>
        <w:rPr>
          <w:rFonts w:ascii="游ゴシック" w:hAnsi="游ゴシック" w:eastAsia="游ゴシック"/>
          <w:sz w:val="21"/>
        </w:rPr>
        <w:t>・代表KPI16項目のうち、現在のデータでは算定できない4項目（H07・H08・H12・H16）の代理指標への振替え（「第10期計画_代表KPIの振替案と確認事項の精査.xlsx」）</w:t>
      </w:r>
    </w:p>
    <w:p>
      <w:pPr>
        <w:ind w:left="340" w:hanging="340"/>
      </w:pPr>
      <w:r>
        <w:rPr>
          <w:rFonts w:ascii="游ゴシック" w:hAnsi="游ゴシック" w:eastAsia="游ゴシック"/>
          <w:sz w:val="21"/>
        </w:rPr>
        <w:t>・H09・H10の測定に必要な、3町共通の記録様式の整備（令和9年度に整備し令和10年度から実測する案）</w:t>
      </w:r>
    </w:p>
    <w:p>
      <w:pPr>
        <w:ind w:left="340" w:hanging="340"/>
      </w:pPr>
      <w:r>
        <w:rPr>
          <w:rFonts w:ascii="游ゴシック" w:hAnsi="游ゴシック" w:eastAsia="游ゴシック"/>
          <w:sz w:val="21"/>
        </w:rPr>
        <w:t>・3町の高齢者福祉計画への共通KPIの掲載</w:t>
      </w:r>
    </w:p>
    <w:p>
      <w:pPr>
        <w:keepNext/>
        <w:spacing w:before="180" w:after="60"/>
      </w:pPr>
      <w:r>
        <w:rPr>
          <w:rFonts w:ascii="游ゴシック" w:hAnsi="游ゴシック" w:eastAsia="游ゴシック"/>
          <w:b/>
          <w:sz w:val="22"/>
        </w:rPr>
        <w:t>4　サービス基盤と圏域について</w:t>
      </w:r>
    </w:p>
    <w:p>
      <w:pPr>
        <w:ind w:left="340" w:hanging="340"/>
      </w:pPr>
      <w:r>
        <w:rPr>
          <w:rFonts w:ascii="游ゴシック" w:hAnsi="游ゴシック" w:eastAsia="游ゴシック"/>
          <w:sz w:val="21"/>
        </w:rPr>
        <w:t>・日常生活圏域の設定（統計・分析単位は第9期の6圏域、基盤整備単位は3町の3圏域とする案）</w:t>
      </w:r>
    </w:p>
    <w:p>
      <w:pPr>
        <w:ind w:left="340" w:hanging="340"/>
      </w:pPr>
      <w:r>
        <w:rPr>
          <w:rFonts w:ascii="游ゴシック" w:hAnsi="游ゴシック" w:eastAsia="游ゴシック"/>
          <w:sz w:val="21"/>
        </w:rPr>
        <w:t>・24時間対応サービス（定期巡回・随時対応型訪問介護看護、夜間対応型訪問介護、看護小規模多機能型居宅介護）の確保方策。3種とも区域内に事業所がありません。</w:t>
      </w:r>
    </w:p>
    <w:p>
      <w:pPr>
        <w:ind w:left="340" w:hanging="340"/>
      </w:pPr>
      <w:r>
        <w:rPr>
          <w:rFonts w:ascii="游ゴシック" w:hAnsi="游ゴシック" w:eastAsia="游ゴシック"/>
          <w:sz w:val="21"/>
        </w:rPr>
        <w:t>・施設・居住系の整備方針。給付の23〜35％が区域外の施設によることを計画に明示するか。</w:t>
      </w:r>
    </w:p>
    <w:p>
      <w:pPr>
        <w:keepNext/>
        <w:spacing w:before="180" w:after="60"/>
      </w:pPr>
      <w:r>
        <w:rPr>
          <w:rFonts w:ascii="游ゴシック" w:hAnsi="游ゴシック" w:eastAsia="游ゴシック"/>
          <w:b/>
          <w:sz w:val="22"/>
        </w:rPr>
        <w:t>5　調査の点検事項について</w:t>
      </w:r>
    </w:p>
    <w:p>
      <w:r>
        <w:rPr>
          <w:rFonts w:ascii="游ゴシック" w:hAnsi="游ゴシック" w:eastAsia="游ゴシック"/>
          <w:b w:val="0"/>
          <w:sz w:val="21"/>
        </w:rPr>
        <w:t>実施済み4調査について、35件の点検事項を整理しています（うち2件は解消）。集計方法を決めないと計画本文の数値が確定しません。重大6件のうち、3町の事業所に関わるものをお伺いします。</w:t>
      </w:r>
    </w:p>
    <w:p>
      <w:pPr>
        <w:ind w:left="340" w:hanging="340"/>
      </w:pPr>
      <w:r>
        <w:rPr>
          <w:rFonts w:ascii="游ゴシック" w:hAnsi="游ゴシック" w:eastAsia="游ゴシック"/>
          <w:sz w:val="21"/>
        </w:rPr>
        <w:t>・有料老人ホーム華とヘルパーステーションフラワーの介護職員13人が施設票と訪問系の票の双方に記入されている件（東川町・介護職員数が348人か361人かに影響します）</w:t>
      </w:r>
    </w:p>
    <w:p>
      <w:pPr>
        <w:ind w:left="340" w:hanging="340"/>
      </w:pPr>
      <w:r>
        <w:rPr>
          <w:rFonts w:ascii="游ゴシック" w:hAnsi="游ゴシック" w:eastAsia="游ゴシック"/>
          <w:sz w:val="21"/>
        </w:rPr>
        <w:t>・小規模多機能型居宅介護3事業所の事業所票の提出の有無（美瑛町）</w:t>
      </w:r>
    </w:p>
    <w:p>
      <w:pPr>
        <w:ind w:left="340" w:hanging="340"/>
      </w:pPr>
      <w:r>
        <w:rPr>
          <w:rFonts w:ascii="游ゴシック" w:hAnsi="游ゴシック" w:eastAsia="游ゴシック"/>
          <w:sz w:val="21"/>
        </w:rPr>
        <w:t>・東川町の地域包括支援センターからの事業所票の提出の有無</w:t>
      </w:r>
    </w:p>
    <w:p>
      <w:pPr>
        <w:keepNext/>
        <w:spacing w:before="180" w:after="60"/>
      </w:pPr>
      <w:r>
        <w:rPr>
          <w:rFonts w:ascii="游ゴシック" w:hAnsi="游ゴシック" w:eastAsia="游ゴシック"/>
          <w:b/>
          <w:sz w:val="22"/>
        </w:rPr>
        <w:t>6　用語と様式について</w:t>
      </w:r>
    </w:p>
    <w:p>
      <w:pPr>
        <w:ind w:left="340" w:hanging="340"/>
      </w:pPr>
      <w:r>
        <w:rPr>
          <w:rFonts w:ascii="游ゴシック" w:hAnsi="游ゴシック" w:eastAsia="游ゴシック"/>
          <w:sz w:val="21"/>
        </w:rPr>
        <w:t>・用語の統一の範囲。「フレイル」は美瑛町27回・東神楽町2回・東川町0回、「地域包括ケアシステム」を東川町は「地域ケアシステム」と表記しています。</w:t>
      </w:r>
    </w:p>
    <w:p>
      <w:pPr>
        <w:ind w:left="340" w:hanging="340"/>
      </w:pPr>
      <w:r>
        <w:rPr>
          <w:rFonts w:ascii="游ゴシック" w:hAnsi="游ゴシック" w:eastAsia="游ゴシック"/>
          <w:sz w:val="21"/>
        </w:rPr>
        <w:t>・自己評価の様式と評価の段階（◎○△×の4段階とする案）</w:t>
      </w:r>
    </w:p>
    <w:p>
      <w:r>
        <w:rPr>
          <w:rFonts w:ascii="游ゴシック" w:hAnsi="游ゴシック" w:eastAsia="游ゴシック"/>
          <w:b w:val="0"/>
          <w:sz w:val="21"/>
        </w:rPr>
      </w:r>
    </w:p>
    <w:p>
      <w:r>
        <w:rPr>
          <w:rFonts w:ascii="游ゴシック" w:hAnsi="游ゴシック" w:eastAsia="游ゴシック"/>
          <w:b w:val="0"/>
          <w:sz w:val="20"/>
        </w:rPr>
        <w:t>以上です。ご不明な点は、ヒアリングの場又はメールにてお知らせください。</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