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游ゴシック" w:hAnsi="游ゴシック" w:eastAsia="游ゴシック"/>
          <w:b w:val="0"/>
          <w:sz w:val="24"/>
        </w:rPr>
        <w:t>大雪地区広域連合　第10期介護保険事業計画</w:t>
      </w:r>
    </w:p>
    <w:p>
      <w:pPr>
        <w:spacing w:after="40"/>
        <w:jc w:val="center"/>
      </w:pPr>
      <w:r>
        <w:rPr>
          <w:rFonts w:ascii="游ゴシック" w:hAnsi="游ゴシック" w:eastAsia="游ゴシック"/>
          <w:b/>
          <w:color w:val="1F3864"/>
          <w:sz w:val="36"/>
        </w:rPr>
        <w:t>構成3町合同　意見交換会　資料</w:t>
      </w:r>
    </w:p>
    <w:p>
      <w:pPr>
        <w:spacing w:after="80"/>
        <w:jc w:val="center"/>
      </w:pPr>
      <w:r>
        <w:rPr>
          <w:rFonts w:ascii="游ゴシック" w:hAnsi="游ゴシック" w:eastAsia="游ゴシック"/>
          <w:b w:val="0"/>
          <w:sz w:val="20"/>
        </w:rPr>
        <w:t>令和8年10月　　大雪地区広域連合・東川町・美瑛町・東神楽町</w:t>
      </w:r>
    </w:p>
    <w:p>
      <w:pPr>
        <w:spacing w:after="80"/>
      </w:pPr>
      <w:r>
        <w:rPr>
          <w:rFonts w:ascii="游ゴシック" w:hAnsi="游ゴシック" w:eastAsia="游ゴシック"/>
          <w:sz w:val="21"/>
        </w:rPr>
      </w:r>
    </w:p>
    <w:p>
      <w:pPr>
        <w:spacing w:after="80"/>
      </w:pPr>
      <w:r>
        <w:rPr>
          <w:rFonts w:ascii="游ゴシック" w:hAnsi="游ゴシック" w:eastAsia="游ゴシック"/>
          <w:b w:val="0"/>
          <w:sz w:val="21"/>
        </w:rPr>
        <w:t>第10期介護保険事業計画（令和9年度から令和11年度まで）の策定に当たり、構成3町と広域連合で共通の認識を持っていただきたい事項と、ご決定をお願いする事項をまとめたものです。基準日 令和8年10月1日。</w:t>
      </w:r>
    </w:p>
    <w:p>
      <w:pPr>
        <w:spacing w:after="80"/>
      </w:pPr>
      <w:r>
        <w:rPr>
          <w:rFonts w:ascii="游ゴシック" w:hAnsi="游ゴシック" w:eastAsia="游ゴシック"/>
          <w:b w:val="0"/>
          <w:sz w:val="21"/>
        </w:rPr>
        <w:t>ご決定をお願いする事項には、</w:t>
      </w:r>
      <w:r>
        <w:rPr>
          <w:rFonts w:ascii="游ゴシック" w:hAnsi="游ゴシック" w:eastAsia="游ゴシック"/>
          <w:b/>
          <w:sz w:val="21"/>
        </w:rPr>
        <w:t>すべて「決まらない場合の当方の扱い」を置いています。</w:t>
      </w:r>
      <w:r>
        <w:rPr>
          <w:rFonts w:ascii="游ゴシック" w:hAnsi="游ゴシック" w:eastAsia="游ゴシック"/>
          <w:b w:val="0"/>
          <w:sz w:val="21"/>
        </w:rPr>
        <w:t xml:space="preserve"> これは協議を進めるための仮置きであり、本意見交換会でその内容を諮るものです。ご決定がない場合もサービス見込量 第2次概算（令和8年10月30日）は組むことができますが、計画として確定する前にご判断を要します。</w:t>
      </w:r>
    </w:p>
    <w:p>
      <w:pPr>
        <w:keepNext/>
        <w:pageBreakBefore w:val="0"/>
        <w:spacing w:before="280" w:after="120"/>
      </w:pPr>
      <w:r>
        <w:rPr>
          <w:rFonts w:ascii="游ゴシック" w:hAnsi="游ゴシック" w:eastAsia="游ゴシック"/>
          <w:b/>
          <w:color w:val="1F3864"/>
          <w:sz w:val="26"/>
        </w:rPr>
        <w:t>第1節　意見交換会の次第</w:t>
      </w:r>
    </w:p>
    <w:p>
      <w:pPr>
        <w:keepNext/>
        <w:spacing w:before="160" w:after="40"/>
      </w:pPr>
      <w:r>
        <w:rPr>
          <w:rFonts w:ascii="游ゴシック" w:hAnsi="游ゴシック" w:eastAsia="游ゴシック"/>
          <w:b/>
          <w:sz w:val="20"/>
        </w:rPr>
        <w:t>表1　次第</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1474"/>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8277"/>
            <w:shd w:val="clear" w:color="auto" w:fill="1F3864"/>
            <w:vAlign w:val="center"/>
          </w:tcPr>
          <w:p>
            <w:pPr>
              <w:keepNext/>
              <w:spacing w:after="0"/>
              <w:jc w:val="center"/>
            </w:pPr>
            <w:r>
              <w:rPr>
                <w:rFonts w:ascii="游ゴシック" w:hAnsi="游ゴシック" w:eastAsia="游ゴシック"/>
                <w:b/>
                <w:color w:val="FFFFFF"/>
                <w:sz w:val="18"/>
              </w:rPr>
              <w:t>内容</w:t>
            </w:r>
          </w:p>
        </w:tc>
      </w:tr>
      <w:tr>
        <w:trPr>
          <w:cantSplit/>
        </w:trPr>
        <w:tc>
          <w:tcPr>
            <w:tcW w:type="dxa" w:w="1474"/>
            <w:vAlign w:val="center"/>
          </w:tcPr>
          <w:p>
            <w:pPr>
              <w:keepNext/>
              <w:spacing w:after="0"/>
              <w:jc w:val="center"/>
            </w:pPr>
            <w:r>
              <w:rPr>
                <w:rFonts w:ascii="游ゴシック" w:hAnsi="游ゴシック" w:eastAsia="游ゴシック"/>
                <w:b/>
                <w:sz w:val="18"/>
              </w:rPr>
              <w:t>日時</w:t>
            </w:r>
          </w:p>
        </w:tc>
        <w:tc>
          <w:tcPr>
            <w:tcW w:type="dxa" w:w="8277"/>
            <w:vAlign w:val="center"/>
          </w:tcPr>
          <w:p>
            <w:pPr>
              <w:keepNext/>
              <w:spacing w:after="0"/>
            </w:pPr>
            <w:r>
              <w:rPr>
                <w:rFonts w:ascii="游ゴシック" w:hAnsi="游ゴシック" w:eastAsia="游ゴシック"/>
                <w:b w:val="0"/>
                <w:sz w:val="18"/>
              </w:rPr>
              <w:t>令和8年10月　〔　　　　　　　　　　〕</w:t>
            </w:r>
          </w:p>
        </w:tc>
      </w:tr>
      <w:tr>
        <w:trPr>
          <w:cantSplit/>
        </w:trPr>
        <w:tc>
          <w:tcPr>
            <w:tcW w:type="dxa" w:w="1474"/>
            <w:shd w:val="clear" w:color="auto" w:fill="F2F5FA"/>
            <w:vAlign w:val="center"/>
          </w:tcPr>
          <w:p>
            <w:pPr>
              <w:keepNext/>
              <w:spacing w:after="0"/>
              <w:jc w:val="center"/>
            </w:pPr>
            <w:r>
              <w:rPr>
                <w:rFonts w:ascii="游ゴシック" w:hAnsi="游ゴシック" w:eastAsia="游ゴシック"/>
                <w:b/>
                <w:sz w:val="18"/>
              </w:rPr>
              <w:t>場所</w:t>
            </w:r>
          </w:p>
        </w:tc>
        <w:tc>
          <w:tcPr>
            <w:tcW w:type="dxa" w:w="8277"/>
            <w:shd w:val="clear" w:color="auto" w:fill="F2F5FA"/>
            <w:vAlign w:val="center"/>
          </w:tcPr>
          <w:p>
            <w:pPr>
              <w:keepNext/>
              <w:spacing w:after="0"/>
            </w:pPr>
            <w:r>
              <w:rPr>
                <w:rFonts w:ascii="游ゴシック" w:hAnsi="游ゴシック" w:eastAsia="游ゴシック"/>
                <w:b w:val="0"/>
                <w:sz w:val="18"/>
              </w:rPr>
              <w:t>〔　　　　　　　　　　　　　　　〕</w:t>
            </w:r>
          </w:p>
        </w:tc>
      </w:tr>
      <w:tr>
        <w:trPr>
          <w:cantSplit/>
        </w:trPr>
        <w:tc>
          <w:tcPr>
            <w:tcW w:type="dxa" w:w="1474"/>
            <w:vAlign w:val="center"/>
          </w:tcPr>
          <w:p>
            <w:pPr>
              <w:keepNext/>
              <w:spacing w:after="0"/>
              <w:jc w:val="center"/>
            </w:pPr>
            <w:r>
              <w:rPr>
                <w:rFonts w:ascii="游ゴシック" w:hAnsi="游ゴシック" w:eastAsia="游ゴシック"/>
                <w:b/>
                <w:sz w:val="18"/>
              </w:rPr>
              <w:t>出席</w:t>
            </w:r>
          </w:p>
        </w:tc>
        <w:tc>
          <w:tcPr>
            <w:tcW w:type="dxa" w:w="8277"/>
            <w:vAlign w:val="center"/>
          </w:tcPr>
          <w:p>
            <w:pPr>
              <w:keepNext/>
              <w:spacing w:after="0"/>
            </w:pPr>
            <w:r>
              <w:rPr>
                <w:rFonts w:ascii="游ゴシック" w:hAnsi="游ゴシック" w:eastAsia="游ゴシック"/>
                <w:b w:val="0"/>
                <w:sz w:val="18"/>
              </w:rPr>
              <w:t>大雪地区広域連合、東川町、美瑛町、東神楽町、受託者</w:t>
            </w:r>
          </w:p>
        </w:tc>
      </w:tr>
      <w:tr>
        <w:trPr>
          <w:cantSplit/>
        </w:trPr>
        <w:tc>
          <w:tcPr>
            <w:tcW w:type="dxa" w:w="1474"/>
            <w:shd w:val="clear" w:color="auto" w:fill="F2F5FA"/>
            <w:vAlign w:val="center"/>
          </w:tcPr>
          <w:p>
            <w:pPr>
              <w:keepNext/>
              <w:spacing w:after="0"/>
              <w:jc w:val="center"/>
            </w:pPr>
            <w:r>
              <w:rPr>
                <w:rFonts w:ascii="游ゴシック" w:hAnsi="游ゴシック" w:eastAsia="游ゴシック"/>
                <w:b/>
                <w:sz w:val="18"/>
              </w:rPr>
              <w:t>1</w:t>
            </w:r>
          </w:p>
        </w:tc>
        <w:tc>
          <w:tcPr>
            <w:tcW w:type="dxa" w:w="8277"/>
            <w:shd w:val="clear" w:color="auto" w:fill="F2F5FA"/>
            <w:vAlign w:val="center"/>
          </w:tcPr>
          <w:p>
            <w:pPr>
              <w:keepNext/>
              <w:spacing w:after="0"/>
            </w:pPr>
            <w:r>
              <w:rPr>
                <w:rFonts w:ascii="游ゴシック" w:hAnsi="游ゴシック" w:eastAsia="游ゴシック"/>
                <w:b w:val="0"/>
                <w:sz w:val="18"/>
              </w:rPr>
              <w:t>第10期計画の策定の状況（第2節）</w:t>
            </w:r>
          </w:p>
        </w:tc>
      </w:tr>
      <w:tr>
        <w:trPr>
          <w:cantSplit/>
        </w:trPr>
        <w:tc>
          <w:tcPr>
            <w:tcW w:type="dxa" w:w="1474"/>
            <w:vAlign w:val="center"/>
          </w:tcPr>
          <w:p>
            <w:pPr>
              <w:keepNext/>
              <w:spacing w:after="0"/>
              <w:jc w:val="center"/>
            </w:pPr>
            <w:r>
              <w:rPr>
                <w:rFonts w:ascii="游ゴシック" w:hAnsi="游ゴシック" w:eastAsia="游ゴシック"/>
                <w:b/>
                <w:sz w:val="18"/>
              </w:rPr>
              <w:t>2</w:t>
            </w:r>
          </w:p>
        </w:tc>
        <w:tc>
          <w:tcPr>
            <w:tcW w:type="dxa" w:w="8277"/>
            <w:vAlign w:val="center"/>
          </w:tcPr>
          <w:p>
            <w:pPr>
              <w:keepNext/>
              <w:spacing w:after="0"/>
            </w:pPr>
            <w:r>
              <w:rPr>
                <w:rFonts w:ascii="游ゴシック" w:hAnsi="游ゴシック" w:eastAsia="游ゴシック"/>
                <w:b w:val="0"/>
                <w:sz w:val="18"/>
              </w:rPr>
              <w:t>サービス見込量・給付費・保険料の試算（第3節・第4節）</w:t>
            </w:r>
          </w:p>
        </w:tc>
      </w:tr>
      <w:tr>
        <w:trPr>
          <w:cantSplit/>
        </w:trPr>
        <w:tc>
          <w:tcPr>
            <w:tcW w:type="dxa" w:w="1474"/>
            <w:shd w:val="clear" w:color="auto" w:fill="F2F5FA"/>
            <w:vAlign w:val="center"/>
          </w:tcPr>
          <w:p>
            <w:pPr>
              <w:keepNext/>
              <w:spacing w:after="0"/>
              <w:jc w:val="center"/>
            </w:pPr>
            <w:r>
              <w:rPr>
                <w:rFonts w:ascii="游ゴシック" w:hAnsi="游ゴシック" w:eastAsia="游ゴシック"/>
                <w:b/>
                <w:sz w:val="18"/>
              </w:rPr>
              <w:t>3</w:t>
            </w:r>
          </w:p>
        </w:tc>
        <w:tc>
          <w:tcPr>
            <w:tcW w:type="dxa" w:w="8277"/>
            <w:shd w:val="clear" w:color="auto" w:fill="F2F5FA"/>
            <w:vAlign w:val="center"/>
          </w:tcPr>
          <w:p>
            <w:pPr>
              <w:keepNext/>
              <w:spacing w:after="0"/>
            </w:pPr>
            <w:r>
              <w:rPr>
                <w:rFonts w:ascii="游ゴシック" w:hAnsi="游ゴシック" w:eastAsia="游ゴシック"/>
                <w:b w:val="0"/>
                <w:sz w:val="18"/>
              </w:rPr>
              <w:t>令和8年9月の制度の動向（第5節）</w:t>
            </w:r>
          </w:p>
        </w:tc>
      </w:tr>
      <w:tr>
        <w:trPr>
          <w:cantSplit/>
        </w:trPr>
        <w:tc>
          <w:tcPr>
            <w:tcW w:type="dxa" w:w="1474"/>
            <w:vAlign w:val="center"/>
          </w:tcPr>
          <w:p>
            <w:pPr>
              <w:keepNext/>
              <w:spacing w:after="0"/>
              <w:jc w:val="center"/>
            </w:pPr>
            <w:r>
              <w:rPr>
                <w:rFonts w:ascii="游ゴシック" w:hAnsi="游ゴシック" w:eastAsia="游ゴシック"/>
                <w:b/>
                <w:sz w:val="18"/>
              </w:rPr>
              <w:t>4</w:t>
            </w:r>
          </w:p>
        </w:tc>
        <w:tc>
          <w:tcPr>
            <w:tcW w:type="dxa" w:w="8277"/>
            <w:vAlign w:val="center"/>
          </w:tcPr>
          <w:p>
            <w:pPr>
              <w:keepNext/>
              <w:spacing w:after="0"/>
            </w:pPr>
            <w:r>
              <w:rPr>
                <w:rFonts w:ascii="游ゴシック" w:hAnsi="游ゴシック" w:eastAsia="游ゴシック"/>
                <w:b w:val="0"/>
                <w:sz w:val="18"/>
              </w:rPr>
              <w:t>地域の課題（第6節）</w:t>
            </w:r>
          </w:p>
        </w:tc>
      </w:tr>
      <w:tr>
        <w:trPr>
          <w:cantSplit/>
        </w:trPr>
        <w:tc>
          <w:tcPr>
            <w:tcW w:type="dxa" w:w="1474"/>
            <w:shd w:val="clear" w:color="auto" w:fill="F2F5FA"/>
            <w:vAlign w:val="center"/>
          </w:tcPr>
          <w:p>
            <w:pPr>
              <w:keepNext/>
              <w:spacing w:after="0"/>
              <w:jc w:val="center"/>
            </w:pPr>
            <w:r>
              <w:rPr>
                <w:rFonts w:ascii="游ゴシック" w:hAnsi="游ゴシック" w:eastAsia="游ゴシック"/>
                <w:b/>
                <w:sz w:val="18"/>
              </w:rPr>
              <w:t>5</w:t>
            </w:r>
          </w:p>
        </w:tc>
        <w:tc>
          <w:tcPr>
            <w:tcW w:type="dxa" w:w="8277"/>
            <w:shd w:val="clear" w:color="auto" w:fill="F2F5FA"/>
            <w:vAlign w:val="center"/>
          </w:tcPr>
          <w:p>
            <w:pPr>
              <w:keepNext/>
              <w:spacing w:after="0"/>
            </w:pPr>
            <w:r>
              <w:rPr>
                <w:rFonts w:ascii="游ゴシック" w:hAnsi="游ゴシック" w:eastAsia="游ゴシック"/>
                <w:b w:val="0"/>
                <w:sz w:val="18"/>
              </w:rPr>
              <w:t>ご決定をお願いする事項　30件（第7節）</w:t>
            </w:r>
          </w:p>
        </w:tc>
      </w:tr>
      <w:tr>
        <w:trPr>
          <w:cantSplit/>
        </w:trPr>
        <w:tc>
          <w:tcPr>
            <w:tcW w:type="dxa" w:w="1474"/>
            <w:vAlign w:val="center"/>
          </w:tcPr>
          <w:p>
            <w:pPr>
              <w:keepNext/>
              <w:spacing w:after="0"/>
              <w:jc w:val="center"/>
            </w:pPr>
            <w:r>
              <w:rPr>
                <w:rFonts w:ascii="游ゴシック" w:hAnsi="游ゴシック" w:eastAsia="游ゴシック"/>
                <w:b/>
                <w:sz w:val="18"/>
              </w:rPr>
              <w:t>6</w:t>
            </w:r>
          </w:p>
        </w:tc>
        <w:tc>
          <w:tcPr>
            <w:tcW w:type="dxa" w:w="8277"/>
            <w:vAlign w:val="center"/>
          </w:tcPr>
          <w:p>
            <w:pPr>
              <w:keepNext/>
              <w:spacing w:after="0"/>
            </w:pPr>
            <w:r>
              <w:rPr>
                <w:rFonts w:ascii="游ゴシック" w:hAnsi="游ゴシック" w:eastAsia="游ゴシック"/>
                <w:b w:val="0"/>
                <w:sz w:val="18"/>
              </w:rPr>
              <w:t>認知症施策推進計画の扱い（第8節）</w:t>
            </w:r>
          </w:p>
        </w:tc>
      </w:tr>
      <w:tr>
        <w:trPr>
          <w:cantSplit/>
        </w:trPr>
        <w:tc>
          <w:tcPr>
            <w:tcW w:type="dxa" w:w="1474"/>
            <w:shd w:val="clear" w:color="auto" w:fill="F2F5FA"/>
            <w:vAlign w:val="center"/>
          </w:tcPr>
          <w:p>
            <w:pPr>
              <w:spacing w:after="0"/>
              <w:jc w:val="center"/>
            </w:pPr>
            <w:r>
              <w:rPr>
                <w:rFonts w:ascii="游ゴシック" w:hAnsi="游ゴシック" w:eastAsia="游ゴシック"/>
                <w:b/>
                <w:sz w:val="18"/>
              </w:rPr>
              <w:t>7</w:t>
            </w:r>
          </w:p>
        </w:tc>
        <w:tc>
          <w:tcPr>
            <w:tcW w:type="dxa" w:w="8277"/>
            <w:shd w:val="clear" w:color="auto" w:fill="F2F5FA"/>
            <w:vAlign w:val="center"/>
          </w:tcPr>
          <w:p>
            <w:pPr>
              <w:spacing w:after="0"/>
            </w:pPr>
            <w:r>
              <w:rPr>
                <w:rFonts w:ascii="游ゴシック" w:hAnsi="游ゴシック" w:eastAsia="游ゴシック"/>
                <w:b w:val="0"/>
                <w:sz w:val="18"/>
              </w:rPr>
              <w:t>資料のご提供のお願いと今後の進め方（第10節・第11節）</w:t>
            </w:r>
          </w:p>
        </w:tc>
      </w:tr>
    </w:tbl>
    <w:p>
      <w:pPr>
        <w:ind w:left="227"/>
      </w:pPr>
      <w:r>
        <w:rPr>
          <w:rFonts w:ascii="游ゴシック" w:hAnsi="游ゴシック" w:eastAsia="游ゴシック"/>
          <w:b w:val="0"/>
          <w:sz w:val="18"/>
        </w:rPr>
        <w:t>※ 町ごとの個別協議（令和8年10月中旬から下旬）でお伺いする事項は第9節に掲げています。本意見交換会では扱いません。</w:t>
      </w:r>
    </w:p>
    <w:p>
      <w:pPr>
        <w:keepNext/>
        <w:spacing w:before="180" w:after="60"/>
      </w:pPr>
      <w:r>
        <w:rPr>
          <w:rFonts w:ascii="游ゴシック" w:hAnsi="游ゴシック" w:eastAsia="游ゴシック"/>
          <w:b/>
          <w:sz w:val="22"/>
        </w:rPr>
        <w:t>時間配分の案</w:t>
      </w:r>
    </w:p>
    <w:p>
      <w:pPr>
        <w:spacing w:after="80"/>
      </w:pPr>
      <w:r>
        <w:rPr>
          <w:rFonts w:ascii="游ゴシック" w:hAnsi="游ゴシック" w:eastAsia="游ゴシック"/>
          <w:b w:val="0"/>
          <w:sz w:val="20"/>
        </w:rPr>
        <w:t>ご決定をお願いする事項は3町共通で30件ありますが、</w:t>
      </w:r>
      <w:r>
        <w:rPr>
          <w:rFonts w:ascii="游ゴシック" w:hAnsi="游ゴシック" w:eastAsia="游ゴシック"/>
          <w:b/>
          <w:sz w:val="20"/>
        </w:rPr>
        <w:t>この場でご決定をお願いしたいものを4件（A群・計60分）に絞っています。</w:t>
      </w:r>
      <w:r>
        <w:rPr>
          <w:rFonts w:ascii="游ゴシック" w:hAnsi="游ゴシック" w:eastAsia="游ゴシック"/>
          <w:b w:val="0"/>
          <w:sz w:val="20"/>
        </w:rPr>
        <w:t xml:space="preserve"> 時間があればご決定をお願いしたいものをB群（4件・計20分）とし、残る10件（C群）は当方の仮置きのまま第2次概算に進めます。A群・B群の内容は第7節1・2に掲げています。</w:t>
      </w:r>
    </w:p>
    <w:p>
      <w:pPr>
        <w:keepNext/>
        <w:spacing w:before="160" w:after="40"/>
      </w:pPr>
      <w:r>
        <w:rPr>
          <w:rFonts w:ascii="游ゴシック" w:hAnsi="游ゴシック" w:eastAsia="游ゴシック"/>
          <w:b/>
          <w:sz w:val="20"/>
        </w:rPr>
        <w:t>表2　時間配分の案</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680"/>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6236"/>
            <w:shd w:val="clear" w:color="auto" w:fill="1F3864"/>
            <w:vAlign w:val="center"/>
          </w:tcPr>
          <w:p>
            <w:pPr>
              <w:keepNext/>
              <w:spacing w:after="0"/>
              <w:jc w:val="center"/>
            </w:pPr>
            <w:r>
              <w:rPr>
                <w:rFonts w:ascii="游ゴシック" w:hAnsi="游ゴシック" w:eastAsia="游ゴシック"/>
                <w:b/>
                <w:color w:val="FFFFFF"/>
                <w:sz w:val="18"/>
              </w:rPr>
              <w:t>内容</w:t>
            </w:r>
          </w:p>
        </w:tc>
        <w:tc>
          <w:tcPr>
            <w:tcW w:type="dxa" w:w="1417"/>
            <w:shd w:val="clear" w:color="auto" w:fill="1F3864"/>
            <w:vAlign w:val="center"/>
          </w:tcPr>
          <w:p>
            <w:pPr>
              <w:keepNext/>
              <w:spacing w:after="0"/>
              <w:jc w:val="center"/>
            </w:pPr>
            <w:r>
              <w:rPr>
                <w:rFonts w:ascii="游ゴシック" w:hAnsi="游ゴシック" w:eastAsia="游ゴシック"/>
                <w:b/>
                <w:color w:val="FFFFFF"/>
                <w:sz w:val="18"/>
              </w:rPr>
              <w:t>120分の場合</w:t>
            </w:r>
          </w:p>
        </w:tc>
        <w:tc>
          <w:tcPr>
            <w:tcW w:type="dxa" w:w="1417"/>
            <w:shd w:val="clear" w:color="auto" w:fill="1F3864"/>
            <w:vAlign w:val="center"/>
          </w:tcPr>
          <w:p>
            <w:pPr>
              <w:keepNext/>
              <w:spacing w:after="0"/>
              <w:jc w:val="center"/>
            </w:pPr>
            <w:r>
              <w:rPr>
                <w:rFonts w:ascii="游ゴシック" w:hAnsi="游ゴシック" w:eastAsia="游ゴシック"/>
                <w:b/>
                <w:color w:val="FFFFFF"/>
                <w:sz w:val="18"/>
              </w:rPr>
              <w:t>90分の場合</w:t>
            </w:r>
          </w:p>
        </w:tc>
      </w:tr>
      <w:tr>
        <w:trPr>
          <w:cantSplit/>
        </w:trPr>
        <w:tc>
          <w:tcPr>
            <w:tcW w:type="dxa" w:w="680"/>
            <w:vAlign w:val="center"/>
          </w:tcPr>
          <w:p>
            <w:pPr>
              <w:keepNext/>
              <w:spacing w:after="0"/>
              <w:jc w:val="center"/>
            </w:pPr>
            <w:r>
              <w:rPr>
                <w:rFonts w:ascii="游ゴシック" w:hAnsi="游ゴシック" w:eastAsia="游ゴシック"/>
                <w:b w:val="0"/>
                <w:sz w:val="18"/>
              </w:rPr>
              <w:t>1</w:t>
            </w:r>
          </w:p>
        </w:tc>
        <w:tc>
          <w:tcPr>
            <w:tcW w:type="dxa" w:w="6236"/>
            <w:vAlign w:val="center"/>
          </w:tcPr>
          <w:p>
            <w:pPr>
              <w:keepNext/>
              <w:spacing w:after="0"/>
            </w:pPr>
            <w:r>
              <w:rPr>
                <w:rFonts w:ascii="游ゴシック" w:hAnsi="游ゴシック" w:eastAsia="游ゴシック"/>
                <w:b w:val="0"/>
                <w:sz w:val="18"/>
              </w:rPr>
              <w:t>冒頭　仮置きによる算定の結果と、低く出る側に寄っていること（第2節・第3節）</w:t>
            </w:r>
          </w:p>
        </w:tc>
        <w:tc>
          <w:tcPr>
            <w:tcW w:type="dxa" w:w="1417"/>
            <w:vAlign w:val="center"/>
          </w:tcPr>
          <w:p>
            <w:pPr>
              <w:keepNext/>
              <w:spacing w:after="0"/>
              <w:jc w:val="center"/>
            </w:pPr>
            <w:r>
              <w:rPr>
                <w:rFonts w:ascii="游ゴシック" w:hAnsi="游ゴシック" w:eastAsia="游ゴシック"/>
                <w:b/>
                <w:sz w:val="18"/>
              </w:rPr>
              <w:t>5分</w:t>
            </w:r>
          </w:p>
        </w:tc>
        <w:tc>
          <w:tcPr>
            <w:tcW w:type="dxa" w:w="1417"/>
            <w:vAlign w:val="center"/>
          </w:tcPr>
          <w:p>
            <w:pPr>
              <w:keepNext/>
              <w:spacing w:after="0"/>
              <w:jc w:val="center"/>
            </w:pPr>
            <w:r>
              <w:rPr>
                <w:rFonts w:ascii="游ゴシック" w:hAnsi="游ゴシック" w:eastAsia="游ゴシック"/>
                <w:b/>
                <w:sz w:val="18"/>
              </w:rPr>
              <w:t>5分</w:t>
            </w:r>
          </w:p>
        </w:tc>
      </w:tr>
      <w:tr>
        <w:trPr>
          <w:cantSplit/>
        </w:trPr>
        <w:tc>
          <w:tcPr>
            <w:tcW w:type="dxa" w:w="680"/>
            <w:shd w:val="clear" w:color="auto" w:fill="F2F5FA"/>
            <w:vAlign w:val="center"/>
          </w:tcPr>
          <w:p>
            <w:pPr>
              <w:keepNext/>
              <w:spacing w:after="0"/>
              <w:jc w:val="center"/>
            </w:pPr>
            <w:r>
              <w:rPr>
                <w:rFonts w:ascii="游ゴシック" w:hAnsi="游ゴシック" w:eastAsia="游ゴシック"/>
                <w:b w:val="0"/>
                <w:sz w:val="18"/>
              </w:rPr>
              <w:t>2</w:t>
            </w:r>
          </w:p>
        </w:tc>
        <w:tc>
          <w:tcPr>
            <w:tcW w:type="dxa" w:w="6236"/>
            <w:shd w:val="clear" w:color="auto" w:fill="F2F5FA"/>
            <w:vAlign w:val="center"/>
          </w:tcPr>
          <w:p>
            <w:pPr>
              <w:keepNext/>
              <w:spacing w:after="0"/>
            </w:pPr>
            <w:r>
              <w:rPr>
                <w:rFonts w:ascii="游ゴシック" w:hAnsi="游ゴシック" w:eastAsia="游ゴシック"/>
                <w:b w:val="0"/>
                <w:sz w:val="18"/>
              </w:rPr>
              <w:t>A群　この場でご決定をお願いしたいもの（4件・第7節1）</w:t>
            </w:r>
          </w:p>
        </w:tc>
        <w:tc>
          <w:tcPr>
            <w:tcW w:type="dxa" w:w="1417"/>
            <w:shd w:val="clear" w:color="auto" w:fill="F2F5FA"/>
            <w:vAlign w:val="center"/>
          </w:tcPr>
          <w:p>
            <w:pPr>
              <w:keepNext/>
              <w:spacing w:after="0"/>
              <w:jc w:val="center"/>
            </w:pPr>
            <w:r>
              <w:rPr>
                <w:rFonts w:ascii="游ゴシック" w:hAnsi="游ゴシック" w:eastAsia="游ゴシック"/>
                <w:b/>
                <w:sz w:val="18"/>
              </w:rPr>
              <w:t>60分</w:t>
            </w:r>
          </w:p>
        </w:tc>
        <w:tc>
          <w:tcPr>
            <w:tcW w:type="dxa" w:w="1417"/>
            <w:shd w:val="clear" w:color="auto" w:fill="F2F5FA"/>
            <w:vAlign w:val="center"/>
          </w:tcPr>
          <w:p>
            <w:pPr>
              <w:keepNext/>
              <w:spacing w:after="0"/>
              <w:jc w:val="center"/>
            </w:pPr>
            <w:r>
              <w:rPr>
                <w:rFonts w:ascii="游ゴシック" w:hAnsi="游ゴシック" w:eastAsia="游ゴシック"/>
                <w:b/>
                <w:sz w:val="18"/>
              </w:rPr>
              <w:t>60分</w:t>
            </w:r>
          </w:p>
        </w:tc>
      </w:tr>
      <w:tr>
        <w:trPr>
          <w:cantSplit/>
        </w:trPr>
        <w:tc>
          <w:tcPr>
            <w:tcW w:type="dxa" w:w="680"/>
            <w:vAlign w:val="center"/>
          </w:tcPr>
          <w:p>
            <w:pPr>
              <w:keepNext/>
              <w:spacing w:after="0"/>
              <w:jc w:val="center"/>
            </w:pPr>
            <w:r>
              <w:rPr>
                <w:rFonts w:ascii="游ゴシック" w:hAnsi="游ゴシック" w:eastAsia="游ゴシック"/>
                <w:b w:val="0"/>
                <w:sz w:val="18"/>
              </w:rPr>
              <w:t>3</w:t>
            </w:r>
          </w:p>
        </w:tc>
        <w:tc>
          <w:tcPr>
            <w:tcW w:type="dxa" w:w="6236"/>
            <w:vAlign w:val="center"/>
          </w:tcPr>
          <w:p>
            <w:pPr>
              <w:keepNext/>
              <w:spacing w:after="0"/>
            </w:pPr>
            <w:r>
              <w:rPr>
                <w:rFonts w:ascii="游ゴシック" w:hAnsi="游ゴシック" w:eastAsia="游ゴシック"/>
                <w:b w:val="0"/>
                <w:sz w:val="18"/>
              </w:rPr>
              <w:t>B群　時間があればご決定をお願いしたいもの（4件・第7節2）</w:t>
            </w:r>
          </w:p>
        </w:tc>
        <w:tc>
          <w:tcPr>
            <w:tcW w:type="dxa" w:w="1417"/>
            <w:vAlign w:val="center"/>
          </w:tcPr>
          <w:p>
            <w:pPr>
              <w:keepNext/>
              <w:spacing w:after="0"/>
              <w:jc w:val="center"/>
            </w:pPr>
            <w:r>
              <w:rPr>
                <w:rFonts w:ascii="游ゴシック" w:hAnsi="游ゴシック" w:eastAsia="游ゴシック"/>
                <w:b/>
                <w:sz w:val="18"/>
              </w:rPr>
              <w:t>20分</w:t>
            </w:r>
          </w:p>
        </w:tc>
        <w:tc>
          <w:tcPr>
            <w:tcW w:type="dxa" w:w="1417"/>
            <w:vAlign w:val="center"/>
          </w:tcPr>
          <w:p>
            <w:pPr>
              <w:keepNext/>
              <w:spacing w:after="0"/>
              <w:jc w:val="center"/>
            </w:pPr>
            <w:r>
              <w:rPr>
                <w:rFonts w:ascii="游ゴシック" w:hAnsi="游ゴシック" w:eastAsia="游ゴシック"/>
                <w:b/>
                <w:sz w:val="18"/>
              </w:rPr>
              <w:t>―</w:t>
            </w:r>
          </w:p>
        </w:tc>
      </w:tr>
      <w:tr>
        <w:trPr>
          <w:cantSplit/>
        </w:trPr>
        <w:tc>
          <w:tcPr>
            <w:tcW w:type="dxa" w:w="680"/>
            <w:shd w:val="clear" w:color="auto" w:fill="F2F5FA"/>
            <w:vAlign w:val="center"/>
          </w:tcPr>
          <w:p>
            <w:pPr>
              <w:keepNext/>
              <w:spacing w:after="0"/>
              <w:jc w:val="center"/>
            </w:pPr>
            <w:r>
              <w:rPr>
                <w:rFonts w:ascii="游ゴシック" w:hAnsi="游ゴシック" w:eastAsia="游ゴシック"/>
                <w:b w:val="0"/>
                <w:sz w:val="18"/>
              </w:rPr>
              <w:t>4</w:t>
            </w:r>
          </w:p>
        </w:tc>
        <w:tc>
          <w:tcPr>
            <w:tcW w:type="dxa" w:w="6236"/>
            <w:shd w:val="clear" w:color="auto" w:fill="F2F5FA"/>
            <w:vAlign w:val="center"/>
          </w:tcPr>
          <w:p>
            <w:pPr>
              <w:keepNext/>
              <w:spacing w:after="0"/>
            </w:pPr>
            <w:r>
              <w:rPr>
                <w:rFonts w:ascii="游ゴシック" w:hAnsi="游ゴシック" w:eastAsia="游ゴシック"/>
                <w:b w:val="0"/>
                <w:sz w:val="18"/>
              </w:rPr>
              <w:t>地域の課題と、資料のご提供のお願いの確認（第6節・第10節）</w:t>
            </w:r>
          </w:p>
        </w:tc>
        <w:tc>
          <w:tcPr>
            <w:tcW w:type="dxa" w:w="1417"/>
            <w:shd w:val="clear" w:color="auto" w:fill="F2F5FA"/>
            <w:vAlign w:val="center"/>
          </w:tcPr>
          <w:p>
            <w:pPr>
              <w:keepNext/>
              <w:spacing w:after="0"/>
              <w:jc w:val="center"/>
            </w:pPr>
            <w:r>
              <w:rPr>
                <w:rFonts w:ascii="游ゴシック" w:hAnsi="游ゴシック" w:eastAsia="游ゴシック"/>
                <w:b/>
                <w:sz w:val="18"/>
              </w:rPr>
              <w:t>15分</w:t>
            </w:r>
          </w:p>
        </w:tc>
        <w:tc>
          <w:tcPr>
            <w:tcW w:type="dxa" w:w="1417"/>
            <w:shd w:val="clear" w:color="auto" w:fill="F2F5FA"/>
            <w:vAlign w:val="center"/>
          </w:tcPr>
          <w:p>
            <w:pPr>
              <w:keepNext/>
              <w:spacing w:after="0"/>
              <w:jc w:val="center"/>
            </w:pPr>
            <w:r>
              <w:rPr>
                <w:rFonts w:ascii="游ゴシック" w:hAnsi="游ゴシック" w:eastAsia="游ゴシック"/>
                <w:b/>
                <w:sz w:val="18"/>
              </w:rPr>
              <w:t>15分</w:t>
            </w:r>
          </w:p>
        </w:tc>
      </w:tr>
      <w:tr>
        <w:trPr>
          <w:cantSplit/>
        </w:trPr>
        <w:tc>
          <w:tcPr>
            <w:tcW w:type="dxa" w:w="680"/>
            <w:vAlign w:val="center"/>
          </w:tcPr>
          <w:p>
            <w:pPr>
              <w:keepNext/>
              <w:spacing w:after="0"/>
              <w:jc w:val="center"/>
            </w:pPr>
            <w:r>
              <w:rPr>
                <w:rFonts w:ascii="游ゴシック" w:hAnsi="游ゴシック" w:eastAsia="游ゴシック"/>
                <w:b w:val="0"/>
                <w:sz w:val="18"/>
              </w:rPr>
              <w:t>5</w:t>
            </w:r>
          </w:p>
        </w:tc>
        <w:tc>
          <w:tcPr>
            <w:tcW w:type="dxa" w:w="6236"/>
            <w:vAlign w:val="center"/>
          </w:tcPr>
          <w:p>
            <w:pPr>
              <w:keepNext/>
              <w:spacing w:after="0"/>
            </w:pPr>
            <w:r>
              <w:rPr>
                <w:rFonts w:ascii="游ゴシック" w:hAnsi="游ゴシック" w:eastAsia="游ゴシック"/>
                <w:b w:val="0"/>
                <w:sz w:val="18"/>
              </w:rPr>
              <w:t>今後の進め方と個別協議の日程（第9節・第11節）</w:t>
            </w:r>
          </w:p>
        </w:tc>
        <w:tc>
          <w:tcPr>
            <w:tcW w:type="dxa" w:w="1417"/>
            <w:vAlign w:val="center"/>
          </w:tcPr>
          <w:p>
            <w:pPr>
              <w:keepNext/>
              <w:spacing w:after="0"/>
              <w:jc w:val="center"/>
            </w:pPr>
            <w:r>
              <w:rPr>
                <w:rFonts w:ascii="游ゴシック" w:hAnsi="游ゴシック" w:eastAsia="游ゴシック"/>
                <w:b/>
                <w:sz w:val="18"/>
              </w:rPr>
              <w:t>15分</w:t>
            </w:r>
          </w:p>
        </w:tc>
        <w:tc>
          <w:tcPr>
            <w:tcW w:type="dxa" w:w="1417"/>
            <w:vAlign w:val="center"/>
          </w:tcPr>
          <w:p>
            <w:pPr>
              <w:keepNext/>
              <w:spacing w:after="0"/>
              <w:jc w:val="center"/>
            </w:pPr>
            <w:r>
              <w:rPr>
                <w:rFonts w:ascii="游ゴシック" w:hAnsi="游ゴシック" w:eastAsia="游ゴシック"/>
                <w:b/>
                <w:sz w:val="18"/>
              </w:rPr>
              <w:t>―</w:t>
            </w:r>
          </w:p>
        </w:tc>
      </w:tr>
      <w:tr>
        <w:trPr>
          <w:cantSplit/>
        </w:trPr>
        <w:tc>
          <w:tcPr>
            <w:tcW w:type="dxa" w:w="680"/>
            <w:shd w:val="clear" w:color="auto" w:fill="F2F5FA"/>
            <w:vAlign w:val="center"/>
          </w:tcPr>
          <w:p>
            <w:pPr>
              <w:keepNext/>
              <w:spacing w:after="0"/>
              <w:jc w:val="center"/>
            </w:pPr>
            <w:r>
              <w:rPr>
                <w:rFonts w:ascii="游ゴシック" w:hAnsi="游ゴシック" w:eastAsia="游ゴシック"/>
                <w:b w:val="0"/>
                <w:sz w:val="18"/>
              </w:rPr>
              <w:t>6</w:t>
            </w:r>
          </w:p>
        </w:tc>
        <w:tc>
          <w:tcPr>
            <w:tcW w:type="dxa" w:w="6236"/>
            <w:shd w:val="clear" w:color="auto" w:fill="F2F5FA"/>
            <w:vAlign w:val="center"/>
          </w:tcPr>
          <w:p>
            <w:pPr>
              <w:keepNext/>
              <w:spacing w:after="0"/>
            </w:pPr>
            <w:r>
              <w:rPr>
                <w:rFonts w:ascii="游ゴシック" w:hAnsi="游ゴシック" w:eastAsia="游ゴシック"/>
                <w:b w:val="0"/>
                <w:sz w:val="18"/>
              </w:rPr>
              <w:t>予備</w:t>
            </w:r>
          </w:p>
        </w:tc>
        <w:tc>
          <w:tcPr>
            <w:tcW w:type="dxa" w:w="1417"/>
            <w:shd w:val="clear" w:color="auto" w:fill="F2F5FA"/>
            <w:vAlign w:val="center"/>
          </w:tcPr>
          <w:p>
            <w:pPr>
              <w:keepNext/>
              <w:spacing w:after="0"/>
              <w:jc w:val="center"/>
            </w:pPr>
            <w:r>
              <w:rPr>
                <w:rFonts w:ascii="游ゴシック" w:hAnsi="游ゴシック" w:eastAsia="游ゴシック"/>
                <w:b/>
                <w:sz w:val="18"/>
              </w:rPr>
              <w:t>5分</w:t>
            </w:r>
          </w:p>
        </w:tc>
        <w:tc>
          <w:tcPr>
            <w:tcW w:type="dxa" w:w="1417"/>
            <w:shd w:val="clear" w:color="auto" w:fill="F2F5FA"/>
            <w:vAlign w:val="center"/>
          </w:tcPr>
          <w:p>
            <w:pPr>
              <w:keepNext/>
              <w:spacing w:after="0"/>
              <w:jc w:val="center"/>
            </w:pPr>
            <w:r>
              <w:rPr>
                <w:rFonts w:ascii="游ゴシック" w:hAnsi="游ゴシック" w:eastAsia="游ゴシック"/>
                <w:b/>
                <w:sz w:val="18"/>
              </w:rPr>
              <w:t>10分</w:t>
            </w:r>
          </w:p>
        </w:tc>
      </w:tr>
      <w:tr>
        <w:trPr>
          <w:cantSplit/>
        </w:trPr>
        <w:tc>
          <w:tcPr>
            <w:tcW w:type="dxa" w:w="680"/>
            <w:vAlign w:val="center"/>
          </w:tcPr>
          <w:p>
            <w:pPr>
              <w:spacing w:after="0"/>
              <w:jc w:val="center"/>
            </w:pPr>
            <w:r>
              <w:rPr>
                <w:rFonts w:ascii="游ゴシック" w:hAnsi="游ゴシック" w:eastAsia="游ゴシック"/>
                <w:b w:val="0"/>
                <w:sz w:val="18"/>
              </w:rPr>
              <w:t>計</w:t>
            </w:r>
          </w:p>
        </w:tc>
        <w:tc>
          <w:tcPr>
            <w:tcW w:type="dxa" w:w="6236"/>
            <w:vAlign w:val="center"/>
          </w:tcPr>
          <w:p>
            <w:pPr>
              <w:spacing w:after="0"/>
            </w:pPr>
            <w:r>
              <w:rPr>
                <w:rFonts w:ascii="游ゴシック" w:hAnsi="游ゴシック" w:eastAsia="游ゴシック"/>
                <w:sz w:val="18"/>
              </w:rPr>
            </w:r>
          </w:p>
        </w:tc>
        <w:tc>
          <w:tcPr>
            <w:tcW w:type="dxa" w:w="1417"/>
            <w:vAlign w:val="center"/>
          </w:tcPr>
          <w:p>
            <w:pPr>
              <w:spacing w:after="0"/>
              <w:jc w:val="center"/>
            </w:pPr>
            <w:r>
              <w:rPr>
                <w:rFonts w:ascii="游ゴシック" w:hAnsi="游ゴシック" w:eastAsia="游ゴシック"/>
                <w:b/>
                <w:sz w:val="18"/>
              </w:rPr>
              <w:t>120分</w:t>
            </w:r>
          </w:p>
        </w:tc>
        <w:tc>
          <w:tcPr>
            <w:tcW w:type="dxa" w:w="1417"/>
            <w:vAlign w:val="center"/>
          </w:tcPr>
          <w:p>
            <w:pPr>
              <w:spacing w:after="0"/>
              <w:jc w:val="center"/>
            </w:pPr>
            <w:r>
              <w:rPr>
                <w:rFonts w:ascii="游ゴシック" w:hAnsi="游ゴシック" w:eastAsia="游ゴシック"/>
                <w:b/>
                <w:sz w:val="18"/>
              </w:rPr>
              <w:t>90分</w:t>
            </w:r>
          </w:p>
        </w:tc>
      </w:tr>
    </w:tbl>
    <w:p>
      <w:pPr>
        <w:ind w:left="227"/>
      </w:pPr>
      <w:r>
        <w:rPr>
          <w:rFonts w:ascii="游ゴシック" w:hAnsi="游ゴシック" w:eastAsia="游ゴシック"/>
          <w:b w:val="0"/>
          <w:sz w:val="18"/>
        </w:rPr>
        <w:t>※ 会の所要は、構成町との協議の進め方（確認事項No.83）により3町合同の意見交換会を120分としてお示ししているものです。90分の場合はB群と今後の進め方を扱わず、いずれも本資料によってご確認いただくこととします。</w:t>
      </w:r>
    </w:p>
    <w:p>
      <w:pPr>
        <w:keepNext/>
        <w:pageBreakBefore w:val="0"/>
        <w:spacing w:before="280" w:after="120"/>
      </w:pPr>
      <w:r>
        <w:rPr>
          <w:rFonts w:ascii="游ゴシック" w:hAnsi="游ゴシック" w:eastAsia="游ゴシック"/>
          <w:b/>
          <w:color w:val="1F3864"/>
          <w:sz w:val="26"/>
        </w:rPr>
        <w:t>第2節　第10期計画の策定の状況</w:t>
      </w:r>
    </w:p>
    <w:p>
      <w:pPr>
        <w:keepNext/>
        <w:spacing w:before="180" w:after="60"/>
      </w:pPr>
      <w:r>
        <w:rPr>
          <w:rFonts w:ascii="游ゴシック" w:hAnsi="游ゴシック" w:eastAsia="游ゴシック"/>
          <w:b/>
          <w:sz w:val="22"/>
        </w:rPr>
        <w:t>1　算定が済んでいるもの</w:t>
      </w:r>
    </w:p>
    <w:p>
      <w:pPr>
        <w:spacing w:after="80"/>
      </w:pPr>
      <w:r>
        <w:rPr>
          <w:rFonts w:ascii="游ゴシック" w:hAnsi="游ゴシック" w:eastAsia="游ゴシック"/>
          <w:b w:val="0"/>
          <w:sz w:val="20"/>
        </w:rPr>
        <w:t>次の事項は、現に確認できている資料により算定を終えています。資料の追加のご提供を待たずに第2次概算に用いることができます。</w:t>
      </w:r>
    </w:p>
    <w:p>
      <w:pPr>
        <w:keepNext/>
        <w:spacing w:before="160" w:after="40"/>
      </w:pPr>
      <w:r>
        <w:rPr>
          <w:rFonts w:ascii="游ゴシック" w:hAnsi="游ゴシック" w:eastAsia="游ゴシック"/>
          <w:b/>
          <w:sz w:val="20"/>
        </w:rPr>
        <w:t>表3　算定を終えている事項</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041"/>
            <w:shd w:val="clear" w:color="auto" w:fill="1F3864"/>
            <w:vAlign w:val="center"/>
          </w:tcPr>
          <w:p>
            <w:pPr>
              <w:keepNext/>
              <w:spacing w:after="0"/>
              <w:jc w:val="center"/>
            </w:pPr>
            <w:r>
              <w:rPr>
                <w:rFonts w:ascii="游ゴシック" w:hAnsi="游ゴシック" w:eastAsia="游ゴシック"/>
                <w:b/>
                <w:color w:val="FFFFFF"/>
                <w:sz w:val="18"/>
              </w:rPr>
              <w:t>事項</w:t>
            </w:r>
          </w:p>
        </w:tc>
        <w:tc>
          <w:tcPr>
            <w:tcW w:type="dxa" w:w="5329"/>
            <w:shd w:val="clear" w:color="auto" w:fill="1F3864"/>
            <w:vAlign w:val="center"/>
          </w:tcPr>
          <w:p>
            <w:pPr>
              <w:keepNext/>
              <w:spacing w:after="0"/>
              <w:jc w:val="center"/>
            </w:pPr>
            <w:r>
              <w:rPr>
                <w:rFonts w:ascii="游ゴシック" w:hAnsi="游ゴシック" w:eastAsia="游ゴシック"/>
                <w:b/>
                <w:color w:val="FFFFFF"/>
                <w:sz w:val="18"/>
              </w:rPr>
              <w:t>内容</w:t>
            </w:r>
          </w:p>
        </w:tc>
        <w:tc>
          <w:tcPr>
            <w:tcW w:type="dxa" w:w="2381"/>
            <w:shd w:val="clear" w:color="auto" w:fill="1F3864"/>
            <w:vAlign w:val="center"/>
          </w:tcPr>
          <w:p>
            <w:pPr>
              <w:keepNext/>
              <w:spacing w:after="0"/>
              <w:jc w:val="center"/>
            </w:pPr>
            <w:r>
              <w:rPr>
                <w:rFonts w:ascii="游ゴシック" w:hAnsi="游ゴシック" w:eastAsia="游ゴシック"/>
                <w:b/>
                <w:color w:val="FFFFFF"/>
                <w:sz w:val="18"/>
              </w:rPr>
              <w:t>計画本文</w:t>
            </w:r>
          </w:p>
        </w:tc>
      </w:tr>
      <w:tr>
        <w:trPr>
          <w:cantSplit/>
        </w:trPr>
        <w:tc>
          <w:tcPr>
            <w:tcW w:type="dxa" w:w="2041"/>
            <w:vAlign w:val="center"/>
          </w:tcPr>
          <w:p>
            <w:pPr>
              <w:keepNext/>
              <w:spacing w:after="0"/>
            </w:pPr>
            <w:r>
              <w:rPr>
                <w:rFonts w:ascii="游ゴシック" w:hAnsi="游ゴシック" w:eastAsia="游ゴシック"/>
                <w:b/>
                <w:sz w:val="18"/>
              </w:rPr>
              <w:t>人口・第1号被保険者数</w:t>
            </w:r>
          </w:p>
        </w:tc>
        <w:tc>
          <w:tcPr>
            <w:tcW w:type="dxa" w:w="5329"/>
            <w:vAlign w:val="center"/>
          </w:tcPr>
          <w:p>
            <w:pPr>
              <w:keepNext/>
              <w:spacing w:after="0"/>
            </w:pPr>
            <w:r>
              <w:rPr>
                <w:rFonts w:ascii="游ゴシック" w:hAnsi="游ゴシック" w:eastAsia="游ゴシック"/>
                <w:b w:val="0"/>
                <w:sz w:val="18"/>
              </w:rPr>
              <w:t>令和9年度から令和32年度まで（総合戦略及び住民基本台帳の実績趨勢による案C）</w:t>
            </w:r>
          </w:p>
        </w:tc>
        <w:tc>
          <w:tcPr>
            <w:tcW w:type="dxa" w:w="2381"/>
            <w:vAlign w:val="center"/>
          </w:tcPr>
          <w:p>
            <w:pPr>
              <w:keepNext/>
              <w:spacing w:after="0"/>
            </w:pPr>
            <w:r>
              <w:rPr>
                <w:rFonts w:ascii="游ゴシック" w:hAnsi="游ゴシック" w:eastAsia="游ゴシック"/>
                <w:b w:val="0"/>
                <w:sz w:val="18"/>
              </w:rPr>
              <w:t>第2章第1節・第6章第1節</w:t>
            </w:r>
          </w:p>
        </w:tc>
      </w:tr>
      <w:tr>
        <w:trPr>
          <w:cantSplit/>
        </w:trPr>
        <w:tc>
          <w:tcPr>
            <w:tcW w:type="dxa" w:w="2041"/>
            <w:shd w:val="clear" w:color="auto" w:fill="F2F5FA"/>
            <w:vAlign w:val="center"/>
          </w:tcPr>
          <w:p>
            <w:pPr>
              <w:keepNext/>
              <w:spacing w:after="0"/>
            </w:pPr>
            <w:r>
              <w:rPr>
                <w:rFonts w:ascii="游ゴシック" w:hAnsi="游ゴシック" w:eastAsia="游ゴシック"/>
                <w:b/>
                <w:sz w:val="18"/>
              </w:rPr>
              <w:t>認定者数</w:t>
            </w:r>
          </w:p>
        </w:tc>
        <w:tc>
          <w:tcPr>
            <w:tcW w:type="dxa" w:w="5329"/>
            <w:shd w:val="clear" w:color="auto" w:fill="F2F5FA"/>
            <w:vAlign w:val="center"/>
          </w:tcPr>
          <w:p>
            <w:pPr>
              <w:keepNext/>
              <w:spacing w:after="0"/>
            </w:pPr>
            <w:r>
              <w:rPr>
                <w:rFonts w:ascii="游ゴシック" w:hAnsi="游ゴシック" w:eastAsia="游ゴシック"/>
                <w:b w:val="0"/>
                <w:sz w:val="18"/>
              </w:rPr>
              <w:t>性別・年齢階級別・要介護度別。令和11年度2,067人、令和22年度2,288人</w:t>
            </w:r>
          </w:p>
        </w:tc>
        <w:tc>
          <w:tcPr>
            <w:tcW w:type="dxa" w:w="2381"/>
            <w:shd w:val="clear" w:color="auto" w:fill="F2F5FA"/>
            <w:vAlign w:val="center"/>
          </w:tcPr>
          <w:p>
            <w:pPr>
              <w:keepNext/>
              <w:spacing w:after="0"/>
            </w:pPr>
            <w:r>
              <w:rPr>
                <w:rFonts w:ascii="游ゴシック" w:hAnsi="游ゴシック" w:eastAsia="游ゴシック"/>
                <w:b w:val="0"/>
                <w:sz w:val="18"/>
              </w:rPr>
              <w:t>第6章第1節</w:t>
            </w:r>
          </w:p>
        </w:tc>
      </w:tr>
      <w:tr>
        <w:trPr>
          <w:cantSplit/>
        </w:trPr>
        <w:tc>
          <w:tcPr>
            <w:tcW w:type="dxa" w:w="2041"/>
            <w:vAlign w:val="center"/>
          </w:tcPr>
          <w:p>
            <w:pPr>
              <w:keepNext/>
              <w:spacing w:after="0"/>
            </w:pPr>
            <w:r>
              <w:rPr>
                <w:rFonts w:ascii="游ゴシック" w:hAnsi="游ゴシック" w:eastAsia="游ゴシック"/>
                <w:b/>
                <w:sz w:val="18"/>
              </w:rPr>
              <w:t>サービス見込量</w:t>
            </w:r>
          </w:p>
        </w:tc>
        <w:tc>
          <w:tcPr>
            <w:tcW w:type="dxa" w:w="5329"/>
            <w:vAlign w:val="center"/>
          </w:tcPr>
          <w:p>
            <w:pPr>
              <w:keepNext/>
              <w:spacing w:after="0"/>
            </w:pPr>
            <w:r>
              <w:rPr>
                <w:rFonts w:ascii="游ゴシック" w:hAnsi="游ゴシック" w:eastAsia="游ゴシック"/>
                <w:b w:val="0"/>
                <w:sz w:val="18"/>
              </w:rPr>
              <w:t>29区分の1月当たり利用者数（要介護度別）</w:t>
            </w:r>
          </w:p>
        </w:tc>
        <w:tc>
          <w:tcPr>
            <w:tcW w:type="dxa" w:w="2381"/>
            <w:vAlign w:val="center"/>
          </w:tcPr>
          <w:p>
            <w:pPr>
              <w:keepNext/>
              <w:spacing w:after="0"/>
            </w:pPr>
            <w:r>
              <w:rPr>
                <w:rFonts w:ascii="游ゴシック" w:hAnsi="游ゴシック" w:eastAsia="游ゴシック"/>
                <w:b w:val="0"/>
                <w:sz w:val="18"/>
              </w:rPr>
              <w:t>第6章第2節</w:t>
            </w:r>
          </w:p>
        </w:tc>
      </w:tr>
      <w:tr>
        <w:trPr>
          <w:cantSplit/>
        </w:trPr>
        <w:tc>
          <w:tcPr>
            <w:tcW w:type="dxa" w:w="2041"/>
            <w:shd w:val="clear" w:color="auto" w:fill="F2F5FA"/>
            <w:vAlign w:val="center"/>
          </w:tcPr>
          <w:p>
            <w:pPr>
              <w:keepNext/>
              <w:spacing w:after="0"/>
            </w:pPr>
            <w:r>
              <w:rPr>
                <w:rFonts w:ascii="游ゴシック" w:hAnsi="游ゴシック" w:eastAsia="游ゴシック"/>
                <w:b/>
                <w:sz w:val="18"/>
              </w:rPr>
              <w:t>利用回（日）数</w:t>
            </w:r>
          </w:p>
        </w:tc>
        <w:tc>
          <w:tcPr>
            <w:tcW w:type="dxa" w:w="5329"/>
            <w:shd w:val="clear" w:color="auto" w:fill="F2F5FA"/>
            <w:vAlign w:val="center"/>
          </w:tcPr>
          <w:p>
            <w:pPr>
              <w:keepNext/>
              <w:spacing w:after="0"/>
            </w:pPr>
            <w:r>
              <w:rPr>
                <w:rFonts w:ascii="游ゴシック" w:hAnsi="游ゴシック" w:eastAsia="游ゴシック"/>
                <w:b w:val="0"/>
                <w:sz w:val="18"/>
              </w:rPr>
              <w:t>12区分</w:t>
            </w:r>
          </w:p>
        </w:tc>
        <w:tc>
          <w:tcPr>
            <w:tcW w:type="dxa" w:w="2381"/>
            <w:shd w:val="clear" w:color="auto" w:fill="F2F5FA"/>
            <w:vAlign w:val="center"/>
          </w:tcPr>
          <w:p>
            <w:pPr>
              <w:keepNext/>
              <w:spacing w:after="0"/>
            </w:pPr>
            <w:r>
              <w:rPr>
                <w:rFonts w:ascii="游ゴシック" w:hAnsi="游ゴシック" w:eastAsia="游ゴシック"/>
                <w:b w:val="0"/>
                <w:sz w:val="18"/>
              </w:rPr>
              <w:t>第6章第2節</w:t>
            </w:r>
          </w:p>
        </w:tc>
      </w:tr>
      <w:tr>
        <w:trPr>
          <w:cantSplit/>
        </w:trPr>
        <w:tc>
          <w:tcPr>
            <w:tcW w:type="dxa" w:w="2041"/>
            <w:vAlign w:val="center"/>
          </w:tcPr>
          <w:p>
            <w:pPr>
              <w:keepNext/>
              <w:spacing w:after="0"/>
            </w:pPr>
            <w:r>
              <w:rPr>
                <w:rFonts w:ascii="游ゴシック" w:hAnsi="游ゴシック" w:eastAsia="游ゴシック"/>
                <w:b/>
                <w:sz w:val="18"/>
              </w:rPr>
              <w:t>地域支援事業の量</w:t>
            </w:r>
          </w:p>
        </w:tc>
        <w:tc>
          <w:tcPr>
            <w:tcW w:type="dxa" w:w="5329"/>
            <w:vAlign w:val="center"/>
          </w:tcPr>
          <w:p>
            <w:pPr>
              <w:keepNext/>
              <w:spacing w:after="0"/>
            </w:pPr>
            <w:r>
              <w:rPr>
                <w:rFonts w:ascii="游ゴシック" w:hAnsi="游ゴシック" w:eastAsia="游ゴシック"/>
                <w:b w:val="0"/>
                <w:sz w:val="18"/>
              </w:rPr>
              <w:t>総合事業9項目・一般介護予防事業3項目</w:t>
            </w:r>
          </w:p>
        </w:tc>
        <w:tc>
          <w:tcPr>
            <w:tcW w:type="dxa" w:w="2381"/>
            <w:vAlign w:val="center"/>
          </w:tcPr>
          <w:p>
            <w:pPr>
              <w:keepNext/>
              <w:spacing w:after="0"/>
            </w:pPr>
            <w:r>
              <w:rPr>
                <w:rFonts w:ascii="游ゴシック" w:hAnsi="游ゴシック" w:eastAsia="游ゴシック"/>
                <w:b w:val="0"/>
                <w:sz w:val="18"/>
              </w:rPr>
              <w:t>第6章第3節</w:t>
            </w:r>
          </w:p>
        </w:tc>
      </w:tr>
      <w:tr>
        <w:trPr>
          <w:cantSplit/>
        </w:trPr>
        <w:tc>
          <w:tcPr>
            <w:tcW w:type="dxa" w:w="2041"/>
            <w:shd w:val="clear" w:color="auto" w:fill="F2F5FA"/>
            <w:vAlign w:val="center"/>
          </w:tcPr>
          <w:p>
            <w:pPr>
              <w:keepNext/>
              <w:spacing w:after="0"/>
            </w:pPr>
            <w:r>
              <w:rPr>
                <w:rFonts w:ascii="游ゴシック" w:hAnsi="游ゴシック" w:eastAsia="游ゴシック"/>
                <w:b/>
                <w:sz w:val="18"/>
              </w:rPr>
              <w:t>給付費</w:t>
            </w:r>
          </w:p>
        </w:tc>
        <w:tc>
          <w:tcPr>
            <w:tcW w:type="dxa" w:w="5329"/>
            <w:shd w:val="clear" w:color="auto" w:fill="F2F5FA"/>
            <w:vAlign w:val="center"/>
          </w:tcPr>
          <w:p>
            <w:pPr>
              <w:keepNext/>
              <w:spacing w:after="0"/>
            </w:pPr>
            <w:r>
              <w:rPr>
                <w:rFonts w:ascii="游ゴシック" w:hAnsi="游ゴシック" w:eastAsia="游ゴシック"/>
                <w:b w:val="0"/>
                <w:sz w:val="18"/>
              </w:rPr>
              <w:t>要介護度別の単価による。3か年計9,035,114,142円</w:t>
            </w:r>
          </w:p>
        </w:tc>
        <w:tc>
          <w:tcPr>
            <w:tcW w:type="dxa" w:w="2381"/>
            <w:shd w:val="clear" w:color="auto" w:fill="F2F5FA"/>
            <w:vAlign w:val="center"/>
          </w:tcPr>
          <w:p>
            <w:pPr>
              <w:keepNext/>
              <w:spacing w:after="0"/>
            </w:pPr>
            <w:r>
              <w:rPr>
                <w:rFonts w:ascii="游ゴシック" w:hAnsi="游ゴシック" w:eastAsia="游ゴシック"/>
                <w:b w:val="0"/>
                <w:sz w:val="18"/>
              </w:rPr>
              <w:t>第6章第3節</w:t>
            </w:r>
          </w:p>
        </w:tc>
      </w:tr>
      <w:tr>
        <w:trPr>
          <w:cantSplit/>
        </w:trPr>
        <w:tc>
          <w:tcPr>
            <w:tcW w:type="dxa" w:w="2041"/>
            <w:vAlign w:val="center"/>
          </w:tcPr>
          <w:p>
            <w:pPr>
              <w:keepNext/>
              <w:spacing w:after="0"/>
            </w:pPr>
            <w:r>
              <w:rPr>
                <w:rFonts w:ascii="游ゴシック" w:hAnsi="游ゴシック" w:eastAsia="游ゴシック"/>
                <w:b/>
                <w:sz w:val="18"/>
              </w:rPr>
              <w:t>保険料</w:t>
            </w:r>
          </w:p>
        </w:tc>
        <w:tc>
          <w:tcPr>
            <w:tcW w:type="dxa" w:w="5329"/>
            <w:vAlign w:val="center"/>
          </w:tcPr>
          <w:p>
            <w:pPr>
              <w:keepNext/>
              <w:spacing w:after="0"/>
            </w:pPr>
            <w:r>
              <w:rPr>
                <w:rFonts w:ascii="游ゴシック" w:hAnsi="游ゴシック" w:eastAsia="游ゴシック"/>
                <w:b w:val="0"/>
                <w:sz w:val="18"/>
              </w:rPr>
              <w:t>算定上の月額基準額6,438円（記号A〜J）</w:t>
            </w:r>
          </w:p>
        </w:tc>
        <w:tc>
          <w:tcPr>
            <w:tcW w:type="dxa" w:w="2381"/>
            <w:vAlign w:val="center"/>
          </w:tcPr>
          <w:p>
            <w:pPr>
              <w:keepNext/>
              <w:spacing w:after="0"/>
            </w:pPr>
            <w:r>
              <w:rPr>
                <w:rFonts w:ascii="游ゴシック" w:hAnsi="游ゴシック" w:eastAsia="游ゴシック"/>
                <w:b w:val="0"/>
                <w:sz w:val="18"/>
              </w:rPr>
              <w:t>第6章第6節</w:t>
            </w:r>
          </w:p>
        </w:tc>
      </w:tr>
      <w:tr>
        <w:trPr>
          <w:cantSplit/>
        </w:trPr>
        <w:tc>
          <w:tcPr>
            <w:tcW w:type="dxa" w:w="2041"/>
            <w:shd w:val="clear" w:color="auto" w:fill="F2F5FA"/>
            <w:vAlign w:val="center"/>
          </w:tcPr>
          <w:p>
            <w:pPr>
              <w:spacing w:after="0"/>
            </w:pPr>
            <w:r>
              <w:rPr>
                <w:rFonts w:ascii="游ゴシック" w:hAnsi="游ゴシック" w:eastAsia="游ゴシック"/>
                <w:b/>
                <w:sz w:val="18"/>
              </w:rPr>
              <w:t>中長期の推計</w:t>
            </w:r>
          </w:p>
        </w:tc>
        <w:tc>
          <w:tcPr>
            <w:tcW w:type="dxa" w:w="5329"/>
            <w:shd w:val="clear" w:color="auto" w:fill="F2F5FA"/>
            <w:vAlign w:val="center"/>
          </w:tcPr>
          <w:p>
            <w:pPr>
              <w:spacing w:after="0"/>
            </w:pPr>
            <w:r>
              <w:rPr>
                <w:rFonts w:ascii="游ゴシック" w:hAnsi="游ゴシック" w:eastAsia="游ゴシック"/>
                <w:b w:val="0"/>
                <w:sz w:val="18"/>
              </w:rPr>
              <w:t>令和17年度／令和22年度の見込量・給付費・保険料</w:t>
            </w:r>
          </w:p>
        </w:tc>
        <w:tc>
          <w:tcPr>
            <w:tcW w:type="dxa" w:w="2381"/>
            <w:shd w:val="clear" w:color="auto" w:fill="F2F5FA"/>
            <w:vAlign w:val="center"/>
          </w:tcPr>
          <w:p>
            <w:pPr>
              <w:spacing w:after="0"/>
            </w:pPr>
            <w:r>
              <w:rPr>
                <w:rFonts w:ascii="游ゴシック" w:hAnsi="游ゴシック" w:eastAsia="游ゴシック"/>
                <w:b w:val="0"/>
                <w:sz w:val="18"/>
              </w:rPr>
              <w:t>第6章第1節・第3節</w:t>
            </w:r>
          </w:p>
        </w:tc>
      </w:tr>
    </w:tbl>
    <w:p>
      <w:pPr>
        <w:keepNext/>
        <w:spacing w:before="180" w:after="60"/>
      </w:pPr>
      <w:r>
        <w:rPr>
          <w:rFonts w:ascii="游ゴシック" w:hAnsi="游ゴシック" w:eastAsia="游ゴシック"/>
          <w:b/>
          <w:sz w:val="22"/>
        </w:rPr>
        <w:t>2　ご決定をお待ちしているもの</w:t>
      </w:r>
    </w:p>
    <w:p>
      <w:pPr>
        <w:keepNext/>
        <w:spacing w:before="160" w:after="40"/>
      </w:pPr>
      <w:r>
        <w:rPr>
          <w:rFonts w:ascii="游ゴシック" w:hAnsi="游ゴシック" w:eastAsia="游ゴシック"/>
          <w:b/>
          <w:sz w:val="20"/>
        </w:rPr>
        <w:t>表4　確認事項の件数</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835"/>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1134"/>
            <w:shd w:val="clear" w:color="auto" w:fill="1F3864"/>
            <w:vAlign w:val="center"/>
          </w:tcPr>
          <w:p>
            <w:pPr>
              <w:keepNext/>
              <w:spacing w:after="0"/>
              <w:jc w:val="center"/>
            </w:pPr>
            <w:r>
              <w:rPr>
                <w:rFonts w:ascii="游ゴシック" w:hAnsi="游ゴシック" w:eastAsia="游ゴシック"/>
                <w:b/>
                <w:color w:val="FFFFFF"/>
                <w:sz w:val="18"/>
              </w:rPr>
              <w:t>件数</w:t>
            </w:r>
          </w:p>
        </w:tc>
        <w:tc>
          <w:tcPr>
            <w:tcW w:type="dxa" w:w="5783"/>
            <w:shd w:val="clear" w:color="auto" w:fill="1F3864"/>
            <w:vAlign w:val="center"/>
          </w:tcPr>
          <w:p>
            <w:pPr>
              <w:keepNext/>
              <w:spacing w:after="0"/>
              <w:jc w:val="center"/>
            </w:pPr>
            <w:r>
              <w:rPr>
                <w:rFonts w:ascii="游ゴシック" w:hAnsi="游ゴシック" w:eastAsia="游ゴシック"/>
                <w:b/>
                <w:color w:val="FFFFFF"/>
                <w:sz w:val="18"/>
              </w:rPr>
              <w:t>内容</w:t>
            </w:r>
          </w:p>
        </w:tc>
      </w:tr>
      <w:tr>
        <w:trPr>
          <w:cantSplit/>
        </w:trPr>
        <w:tc>
          <w:tcPr>
            <w:tcW w:type="dxa" w:w="2835"/>
            <w:vAlign w:val="center"/>
          </w:tcPr>
          <w:p>
            <w:pPr>
              <w:keepNext/>
              <w:spacing w:after="0"/>
            </w:pPr>
            <w:r>
              <w:rPr>
                <w:rFonts w:ascii="游ゴシック" w:hAnsi="游ゴシック" w:eastAsia="游ゴシック"/>
                <w:b/>
                <w:sz w:val="18"/>
              </w:rPr>
              <w:t>確認事項（全体）</w:t>
            </w:r>
          </w:p>
        </w:tc>
        <w:tc>
          <w:tcPr>
            <w:tcW w:type="dxa" w:w="1134"/>
            <w:vAlign w:val="center"/>
          </w:tcPr>
          <w:p>
            <w:pPr>
              <w:keepNext/>
              <w:spacing w:after="0"/>
              <w:jc w:val="center"/>
            </w:pPr>
            <w:r>
              <w:rPr>
                <w:rFonts w:ascii="游ゴシック" w:hAnsi="游ゴシック" w:eastAsia="游ゴシック"/>
                <w:b/>
                <w:sz w:val="18"/>
              </w:rPr>
              <w:t>184件</w:t>
            </w:r>
          </w:p>
        </w:tc>
        <w:tc>
          <w:tcPr>
            <w:tcW w:type="dxa" w:w="5783"/>
            <w:vAlign w:val="center"/>
          </w:tcPr>
          <w:p>
            <w:pPr>
              <w:keepNext/>
              <w:spacing w:after="0"/>
            </w:pPr>
            <w:r>
              <w:rPr>
                <w:rFonts w:ascii="游ゴシック" w:hAnsi="游ゴシック" w:eastAsia="游ゴシック"/>
                <w:b w:val="0"/>
                <w:sz w:val="18"/>
              </w:rPr>
              <w:t>業務工程管理表 03_確認事項一覧の番号です（欠番・重複はありません）</w:t>
            </w:r>
          </w:p>
        </w:tc>
      </w:tr>
      <w:tr>
        <w:trPr>
          <w:cantSplit/>
        </w:trPr>
        <w:tc>
          <w:tcPr>
            <w:tcW w:type="dxa" w:w="2835"/>
            <w:shd w:val="clear" w:color="auto" w:fill="F2F5FA"/>
            <w:vAlign w:val="center"/>
          </w:tcPr>
          <w:p>
            <w:pPr>
              <w:keepNext/>
              <w:spacing w:after="0"/>
            </w:pPr>
            <w:r>
              <w:rPr>
                <w:rFonts w:ascii="游ゴシック" w:hAnsi="游ゴシック" w:eastAsia="游ゴシック"/>
                <w:b/>
                <w:sz w:val="18"/>
              </w:rPr>
              <w:t>うち決着していないもの</w:t>
            </w:r>
          </w:p>
        </w:tc>
        <w:tc>
          <w:tcPr>
            <w:tcW w:type="dxa" w:w="1134"/>
            <w:shd w:val="clear" w:color="auto" w:fill="F2F5FA"/>
            <w:vAlign w:val="center"/>
          </w:tcPr>
          <w:p>
            <w:pPr>
              <w:keepNext/>
              <w:spacing w:after="0"/>
              <w:jc w:val="center"/>
            </w:pPr>
            <w:r>
              <w:rPr>
                <w:rFonts w:ascii="游ゴシック" w:hAnsi="游ゴシック" w:eastAsia="游ゴシック"/>
                <w:b/>
                <w:sz w:val="18"/>
              </w:rPr>
              <w:t>171件</w:t>
            </w:r>
          </w:p>
        </w:tc>
        <w:tc>
          <w:tcPr>
            <w:tcW w:type="dxa" w:w="5783"/>
            <w:shd w:val="clear" w:color="auto" w:fill="F2F5FA"/>
            <w:vAlign w:val="center"/>
          </w:tcPr>
          <w:p>
            <w:pPr>
              <w:keepNext/>
              <w:spacing w:after="0"/>
            </w:pPr>
            <w:r>
              <w:rPr>
                <w:rFonts w:ascii="游ゴシック" w:hAnsi="游ゴシック" w:eastAsia="游ゴシック"/>
                <w:b w:val="0"/>
                <w:sz w:val="18"/>
              </w:rPr>
              <w:t>―</w:t>
            </w:r>
          </w:p>
        </w:tc>
      </w:tr>
      <w:tr>
        <w:trPr>
          <w:cantSplit/>
        </w:trPr>
        <w:tc>
          <w:tcPr>
            <w:tcW w:type="dxa" w:w="2835"/>
            <w:vAlign w:val="center"/>
          </w:tcPr>
          <w:p>
            <w:pPr>
              <w:keepNext/>
              <w:spacing w:after="0"/>
            </w:pPr>
            <w:r>
              <w:rPr>
                <w:rFonts w:ascii="游ゴシック" w:hAnsi="游ゴシック" w:eastAsia="游ゴシック"/>
                <w:b/>
                <w:sz w:val="18"/>
              </w:rPr>
              <w:t>うち構成3町に関わるもの</w:t>
            </w:r>
          </w:p>
        </w:tc>
        <w:tc>
          <w:tcPr>
            <w:tcW w:type="dxa" w:w="1134"/>
            <w:vAlign w:val="center"/>
          </w:tcPr>
          <w:p>
            <w:pPr>
              <w:keepNext/>
              <w:spacing w:after="0"/>
              <w:jc w:val="center"/>
            </w:pPr>
            <w:r>
              <w:rPr>
                <w:rFonts w:ascii="游ゴシック" w:hAnsi="游ゴシック" w:eastAsia="游ゴシック"/>
                <w:b/>
                <w:sz w:val="18"/>
              </w:rPr>
              <w:t>41件</w:t>
            </w:r>
          </w:p>
        </w:tc>
        <w:tc>
          <w:tcPr>
            <w:tcW w:type="dxa" w:w="5783"/>
            <w:vAlign w:val="center"/>
          </w:tcPr>
          <w:p>
            <w:pPr>
              <w:keepNext/>
              <w:spacing w:after="0"/>
            </w:pPr>
            <w:r>
              <w:rPr>
                <w:rFonts w:ascii="游ゴシック" w:hAnsi="游ゴシック" w:eastAsia="游ゴシック"/>
                <w:b w:val="0"/>
                <w:sz w:val="18"/>
              </w:rPr>
              <w:t>確認先に町を含むものです</w:t>
            </w:r>
          </w:p>
        </w:tc>
      </w:tr>
      <w:tr>
        <w:trPr>
          <w:cantSplit/>
        </w:trPr>
        <w:tc>
          <w:tcPr>
            <w:tcW w:type="dxa" w:w="2835"/>
            <w:shd w:val="clear" w:color="auto" w:fill="F2F5FA"/>
            <w:vAlign w:val="center"/>
          </w:tcPr>
          <w:p>
            <w:pPr>
              <w:keepNext/>
              <w:spacing w:after="0"/>
            </w:pPr>
            <w:r>
              <w:rPr>
                <w:rFonts w:ascii="游ゴシック" w:hAnsi="游ゴシック" w:eastAsia="游ゴシック"/>
                <w:b/>
                <w:sz w:val="18"/>
              </w:rPr>
              <w:t xml:space="preserve">　3町共通（本意見交換会）</w:t>
            </w:r>
          </w:p>
        </w:tc>
        <w:tc>
          <w:tcPr>
            <w:tcW w:type="dxa" w:w="1134"/>
            <w:shd w:val="clear" w:color="auto" w:fill="F2F5FA"/>
            <w:vAlign w:val="center"/>
          </w:tcPr>
          <w:p>
            <w:pPr>
              <w:keepNext/>
              <w:spacing w:after="0"/>
              <w:jc w:val="center"/>
            </w:pPr>
            <w:r>
              <w:rPr>
                <w:rFonts w:ascii="游ゴシック" w:hAnsi="游ゴシック" w:eastAsia="游ゴシック"/>
                <w:b/>
                <w:sz w:val="18"/>
              </w:rPr>
              <w:t>30件</w:t>
            </w:r>
          </w:p>
        </w:tc>
        <w:tc>
          <w:tcPr>
            <w:tcW w:type="dxa" w:w="5783"/>
            <w:shd w:val="clear" w:color="auto" w:fill="F2F5FA"/>
            <w:vAlign w:val="center"/>
          </w:tcPr>
          <w:p>
            <w:pPr>
              <w:keepNext/>
              <w:spacing w:after="0"/>
            </w:pPr>
            <w:r>
              <w:rPr>
                <w:rFonts w:ascii="游ゴシック" w:hAnsi="游ゴシック" w:eastAsia="游ゴシック"/>
                <w:b w:val="0"/>
                <w:sz w:val="18"/>
              </w:rPr>
              <w:t>広域連合として決めていただく事項です（第7節）</w:t>
            </w:r>
          </w:p>
        </w:tc>
      </w:tr>
      <w:tr>
        <w:trPr>
          <w:cantSplit/>
        </w:trPr>
        <w:tc>
          <w:tcPr>
            <w:tcW w:type="dxa" w:w="2835"/>
            <w:vAlign w:val="center"/>
          </w:tcPr>
          <w:p>
            <w:pPr>
              <w:spacing w:after="0"/>
            </w:pPr>
            <w:r>
              <w:rPr>
                <w:rFonts w:ascii="游ゴシック" w:hAnsi="游ゴシック" w:eastAsia="游ゴシック"/>
                <w:b/>
                <w:sz w:val="18"/>
              </w:rPr>
              <w:t xml:space="preserve">　町ごと（個別協議）</w:t>
            </w:r>
          </w:p>
        </w:tc>
        <w:tc>
          <w:tcPr>
            <w:tcW w:type="dxa" w:w="1134"/>
            <w:vAlign w:val="center"/>
          </w:tcPr>
          <w:p>
            <w:pPr>
              <w:spacing w:after="0"/>
              <w:jc w:val="center"/>
            </w:pPr>
            <w:r>
              <w:rPr>
                <w:rFonts w:ascii="游ゴシック" w:hAnsi="游ゴシック" w:eastAsia="游ゴシック"/>
                <w:b/>
                <w:sz w:val="18"/>
              </w:rPr>
              <w:t>11件</w:t>
            </w:r>
          </w:p>
        </w:tc>
        <w:tc>
          <w:tcPr>
            <w:tcW w:type="dxa" w:w="5783"/>
            <w:vAlign w:val="center"/>
          </w:tcPr>
          <w:p>
            <w:pPr>
              <w:spacing w:after="0"/>
            </w:pPr>
            <w:r>
              <w:rPr>
                <w:rFonts w:ascii="游ゴシック" w:hAnsi="游ゴシック" w:eastAsia="游ゴシック"/>
                <w:b w:val="0"/>
                <w:sz w:val="18"/>
              </w:rPr>
              <w:t>東川町4件／美瑛町5件／東神楽町2件（第9節）</w:t>
            </w:r>
          </w:p>
        </w:tc>
      </w:tr>
    </w:tbl>
    <w:p>
      <w:pPr>
        <w:keepNext/>
        <w:spacing w:before="180" w:after="60"/>
      </w:pPr>
      <w:r>
        <w:rPr>
          <w:rFonts w:ascii="游ゴシック" w:hAnsi="游ゴシック" w:eastAsia="游ゴシック"/>
          <w:b/>
          <w:sz w:val="22"/>
        </w:rPr>
        <w:t>3　決定がない場合の進め方</w:t>
      </w:r>
    </w:p>
    <w:p>
      <w:pPr>
        <w:spacing w:after="80"/>
      </w:pPr>
      <w:r>
        <w:rPr>
          <w:rFonts w:ascii="游ゴシック" w:hAnsi="游ゴシック" w:eastAsia="游ゴシック"/>
          <w:b w:val="0"/>
          <w:sz w:val="20"/>
        </w:rPr>
        <w:t>算定の前提のうち、資料の追加のご提供や決定を待っているものを23件整理しています。出どころにより扱いが分かれます。</w:t>
      </w:r>
    </w:p>
    <w:p>
      <w:pPr>
        <w:keepNext/>
        <w:spacing w:before="160" w:after="40"/>
      </w:pPr>
      <w:r>
        <w:rPr>
          <w:rFonts w:ascii="游ゴシック" w:hAnsi="游ゴシック" w:eastAsia="游ゴシック"/>
          <w:b/>
          <w:sz w:val="20"/>
        </w:rPr>
        <w:t>表5　算定の前提の扱い</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3515"/>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1020"/>
            <w:shd w:val="clear" w:color="auto" w:fill="1F3864"/>
            <w:vAlign w:val="center"/>
          </w:tcPr>
          <w:p>
            <w:pPr>
              <w:keepNext/>
              <w:spacing w:after="0"/>
              <w:jc w:val="center"/>
            </w:pPr>
            <w:r>
              <w:rPr>
                <w:rFonts w:ascii="游ゴシック" w:hAnsi="游ゴシック" w:eastAsia="游ゴシック"/>
                <w:b/>
                <w:color w:val="FFFFFF"/>
                <w:sz w:val="18"/>
              </w:rPr>
              <w:t>件数</w:t>
            </w:r>
          </w:p>
        </w:tc>
        <w:tc>
          <w:tcPr>
            <w:tcW w:type="dxa" w:w="5216"/>
            <w:shd w:val="clear" w:color="auto" w:fill="1F3864"/>
            <w:vAlign w:val="center"/>
          </w:tcPr>
          <w:p>
            <w:pPr>
              <w:keepNext/>
              <w:spacing w:after="0"/>
              <w:jc w:val="center"/>
            </w:pPr>
            <w:r>
              <w:rPr>
                <w:rFonts w:ascii="游ゴシック" w:hAnsi="游ゴシック" w:eastAsia="游ゴシック"/>
                <w:b/>
                <w:color w:val="FFFFFF"/>
                <w:sz w:val="18"/>
              </w:rPr>
              <w:t>扱い</w:t>
            </w:r>
          </w:p>
        </w:tc>
      </w:tr>
      <w:tr>
        <w:trPr>
          <w:cantSplit/>
        </w:trPr>
        <w:tc>
          <w:tcPr>
            <w:tcW w:type="dxa" w:w="3515"/>
            <w:vAlign w:val="center"/>
          </w:tcPr>
          <w:p>
            <w:pPr>
              <w:keepNext/>
              <w:spacing w:after="0"/>
            </w:pPr>
            <w:r>
              <w:rPr>
                <w:rFonts w:ascii="游ゴシック" w:hAnsi="游ゴシック" w:eastAsia="游ゴシック"/>
                <w:b/>
                <w:sz w:val="18"/>
              </w:rPr>
              <w:t>受託者の側で確定したもの</w:t>
            </w:r>
          </w:p>
        </w:tc>
        <w:tc>
          <w:tcPr>
            <w:tcW w:type="dxa" w:w="1020"/>
            <w:vAlign w:val="center"/>
          </w:tcPr>
          <w:p>
            <w:pPr>
              <w:keepNext/>
              <w:spacing w:after="0"/>
              <w:jc w:val="center"/>
            </w:pPr>
            <w:r>
              <w:rPr>
                <w:rFonts w:ascii="游ゴシック" w:hAnsi="游ゴシック" w:eastAsia="游ゴシック"/>
                <w:b/>
                <w:sz w:val="18"/>
              </w:rPr>
              <w:t>4件</w:t>
            </w:r>
          </w:p>
        </w:tc>
        <w:tc>
          <w:tcPr>
            <w:tcW w:type="dxa" w:w="5216"/>
            <w:vAlign w:val="center"/>
          </w:tcPr>
          <w:p>
            <w:pPr>
              <w:keepNext/>
              <w:spacing w:after="0"/>
            </w:pPr>
            <w:r>
              <w:rPr>
                <w:rFonts w:ascii="游ゴシック" w:hAnsi="游ゴシック" w:eastAsia="游ゴシック"/>
                <w:b w:val="0"/>
                <w:sz w:val="18"/>
              </w:rPr>
              <w:t>資料の受領を待たずに確定しました（第3節の算定に反映しています）</w:t>
            </w:r>
          </w:p>
        </w:tc>
      </w:tr>
      <w:tr>
        <w:trPr>
          <w:cantSplit/>
        </w:trPr>
        <w:tc>
          <w:tcPr>
            <w:tcW w:type="dxa" w:w="3515"/>
            <w:shd w:val="clear" w:color="auto" w:fill="F2F5FA"/>
            <w:vAlign w:val="center"/>
          </w:tcPr>
          <w:p>
            <w:pPr>
              <w:keepNext/>
              <w:spacing w:after="0"/>
            </w:pPr>
            <w:r>
              <w:rPr>
                <w:rFonts w:ascii="游ゴシック" w:hAnsi="游ゴシック" w:eastAsia="游ゴシック"/>
                <w:b/>
                <w:sz w:val="18"/>
              </w:rPr>
              <w:t>受託者の側で確定できるもの</w:t>
            </w:r>
          </w:p>
        </w:tc>
        <w:tc>
          <w:tcPr>
            <w:tcW w:type="dxa" w:w="1020"/>
            <w:shd w:val="clear" w:color="auto" w:fill="F2F5FA"/>
            <w:vAlign w:val="center"/>
          </w:tcPr>
          <w:p>
            <w:pPr>
              <w:keepNext/>
              <w:spacing w:after="0"/>
              <w:jc w:val="center"/>
            </w:pPr>
            <w:r>
              <w:rPr>
                <w:rFonts w:ascii="游ゴシック" w:hAnsi="游ゴシック" w:eastAsia="游ゴシック"/>
                <w:b/>
                <w:sz w:val="18"/>
              </w:rPr>
              <w:t>0件</w:t>
            </w:r>
          </w:p>
        </w:tc>
        <w:tc>
          <w:tcPr>
            <w:tcW w:type="dxa" w:w="5216"/>
            <w:shd w:val="clear" w:color="auto" w:fill="F2F5FA"/>
            <w:vAlign w:val="center"/>
          </w:tcPr>
          <w:p>
            <w:pPr>
              <w:keepNext/>
              <w:spacing w:after="0"/>
            </w:pPr>
            <w:r>
              <w:rPr>
                <w:rFonts w:ascii="游ゴシック" w:hAnsi="游ゴシック" w:eastAsia="游ゴシック"/>
                <w:b w:val="0"/>
                <w:sz w:val="18"/>
              </w:rPr>
              <w:t>残っていません</w:t>
            </w:r>
          </w:p>
        </w:tc>
      </w:tr>
      <w:tr>
        <w:trPr>
          <w:cantSplit/>
        </w:trPr>
        <w:tc>
          <w:tcPr>
            <w:tcW w:type="dxa" w:w="3515"/>
            <w:vAlign w:val="center"/>
          </w:tcPr>
          <w:p>
            <w:pPr>
              <w:keepNext/>
              <w:spacing w:after="0"/>
            </w:pPr>
            <w:r>
              <w:rPr>
                <w:rFonts w:ascii="游ゴシック" w:hAnsi="游ゴシック" w:eastAsia="游ゴシック"/>
                <w:b/>
                <w:sz w:val="18"/>
              </w:rPr>
              <w:t>発注者・構成3町の資料をお願いしているもの</w:t>
            </w:r>
          </w:p>
        </w:tc>
        <w:tc>
          <w:tcPr>
            <w:tcW w:type="dxa" w:w="1020"/>
            <w:vAlign w:val="center"/>
          </w:tcPr>
          <w:p>
            <w:pPr>
              <w:keepNext/>
              <w:spacing w:after="0"/>
              <w:jc w:val="center"/>
            </w:pPr>
            <w:r>
              <w:rPr>
                <w:rFonts w:ascii="游ゴシック" w:hAnsi="游ゴシック" w:eastAsia="游ゴシック"/>
                <w:b/>
                <w:sz w:val="18"/>
              </w:rPr>
              <w:t>15件</w:t>
            </w:r>
          </w:p>
        </w:tc>
        <w:tc>
          <w:tcPr>
            <w:tcW w:type="dxa" w:w="5216"/>
            <w:vAlign w:val="center"/>
          </w:tcPr>
          <w:p>
            <w:pPr>
              <w:keepNext/>
              <w:spacing w:after="0"/>
            </w:pPr>
            <w:r>
              <w:rPr>
                <w:rFonts w:ascii="游ゴシック" w:hAnsi="游ゴシック" w:eastAsia="游ゴシック"/>
                <w:b w:val="0"/>
                <w:sz w:val="18"/>
              </w:rPr>
              <w:t>届かない場合は現に確認できている値のまま確定します。算定は止まりません</w:t>
            </w:r>
          </w:p>
        </w:tc>
      </w:tr>
      <w:tr>
        <w:trPr>
          <w:cantSplit/>
        </w:trPr>
        <w:tc>
          <w:tcPr>
            <w:tcW w:type="dxa" w:w="3515"/>
            <w:shd w:val="clear" w:color="auto" w:fill="F2F5FA"/>
            <w:vAlign w:val="center"/>
          </w:tcPr>
          <w:p>
            <w:pPr>
              <w:spacing w:after="0"/>
            </w:pPr>
            <w:r>
              <w:rPr>
                <w:rFonts w:ascii="游ゴシック" w:hAnsi="游ゴシック" w:eastAsia="游ゴシック"/>
                <w:b/>
                <w:sz w:val="18"/>
              </w:rPr>
              <w:t>国の告示・公布を待つもの</w:t>
            </w:r>
          </w:p>
        </w:tc>
        <w:tc>
          <w:tcPr>
            <w:tcW w:type="dxa" w:w="1020"/>
            <w:shd w:val="clear" w:color="auto" w:fill="F2F5FA"/>
            <w:vAlign w:val="center"/>
          </w:tcPr>
          <w:p>
            <w:pPr>
              <w:spacing w:after="0"/>
              <w:jc w:val="center"/>
            </w:pPr>
            <w:r>
              <w:rPr>
                <w:rFonts w:ascii="游ゴシック" w:hAnsi="游ゴシック" w:eastAsia="游ゴシック"/>
                <w:b/>
                <w:sz w:val="18"/>
              </w:rPr>
              <w:t>4件</w:t>
            </w:r>
          </w:p>
        </w:tc>
        <w:tc>
          <w:tcPr>
            <w:tcW w:type="dxa" w:w="5216"/>
            <w:shd w:val="clear" w:color="auto" w:fill="F2F5FA"/>
            <w:vAlign w:val="center"/>
          </w:tcPr>
          <w:p>
            <w:pPr>
              <w:spacing w:after="0"/>
            </w:pPr>
            <w:r>
              <w:rPr>
                <w:rFonts w:ascii="游ゴシック" w:hAnsi="游ゴシック" w:eastAsia="游ゴシック"/>
                <w:b w:val="0"/>
                <w:sz w:val="18"/>
              </w:rPr>
              <w:t>告示・公布が出た時点で必ず置き換えます。報酬改定率、第1号被保険者負担割合、所得段階の政令改正です</w:t>
            </w:r>
          </w:p>
        </w:tc>
      </w:tr>
    </w:tbl>
    <w:p>
      <w:pPr>
        <w:spacing w:after="80"/>
      </w:pPr>
      <w:r>
        <w:rPr>
          <w:rFonts w:ascii="游ゴシック" w:hAnsi="游ゴシック" w:eastAsia="游ゴシック"/>
          <w:b w:val="0"/>
          <w:sz w:val="20"/>
        </w:rPr>
        <w:t>したがって、</w:t>
      </w:r>
      <w:r>
        <w:rPr>
          <w:rFonts w:ascii="游ゴシック" w:hAnsi="游ゴシック" w:eastAsia="游ゴシック"/>
          <w:b/>
          <w:sz w:val="20"/>
        </w:rPr>
        <w:t>発注者及び構成3町から追加の資料のご提供を受けられない場合でも、国の告示が出れば計画は確定します。</w:t>
      </w:r>
      <w:r>
        <w:rPr>
          <w:rFonts w:ascii="游ゴシック" w:hAnsi="游ゴシック" w:eastAsia="游ゴシック"/>
          <w:b w:val="0"/>
          <w:sz w:val="20"/>
        </w:rPr>
        <w:t xml:space="preserve"> 一方で、国の告示によるものは催促のできないものであり、いずれも保険料を引き上げる向きに働きます（第4節）。</w:t>
      </w:r>
    </w:p>
    <w:p>
      <w:pPr>
        <w:spacing w:after="80"/>
      </w:pPr>
      <w:r>
        <w:rPr>
          <w:rFonts w:ascii="游ゴシック" w:hAnsi="游ゴシック" w:eastAsia="游ゴシック"/>
          <w:b w:val="0"/>
          <w:sz w:val="20"/>
        </w:rPr>
        <w:t>次の4件は、資料の受領を待たずに受託者の側で確定したものです。いずれも令和8年10月1日に確定し、第3節の算定に反映しています。</w:t>
      </w:r>
    </w:p>
    <w:p>
      <w:pPr>
        <w:keepNext/>
        <w:spacing w:before="160" w:after="40"/>
      </w:pPr>
      <w:r>
        <w:rPr>
          <w:rFonts w:ascii="游ゴシック" w:hAnsi="游ゴシック" w:eastAsia="游ゴシック"/>
          <w:b/>
          <w:sz w:val="20"/>
        </w:rPr>
        <w:t>表6　受託者の側で確定した算定の前提</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701"/>
            <w:shd w:val="clear" w:color="auto" w:fill="1F3864"/>
            <w:vAlign w:val="center"/>
          </w:tcPr>
          <w:p>
            <w:pPr>
              <w:keepNext/>
              <w:spacing w:after="0"/>
              <w:jc w:val="center"/>
            </w:pPr>
            <w:r>
              <w:rPr>
                <w:rFonts w:ascii="游ゴシック" w:hAnsi="游ゴシック" w:eastAsia="游ゴシック"/>
                <w:b/>
                <w:color w:val="FFFFFF"/>
                <w:sz w:val="18"/>
              </w:rPr>
              <w:t>事項</w:t>
            </w:r>
          </w:p>
        </w:tc>
        <w:tc>
          <w:tcPr>
            <w:tcW w:type="dxa" w:w="5669"/>
            <w:shd w:val="clear" w:color="auto" w:fill="1F3864"/>
            <w:vAlign w:val="center"/>
          </w:tcPr>
          <w:p>
            <w:pPr>
              <w:keepNext/>
              <w:spacing w:after="0"/>
              <w:jc w:val="center"/>
            </w:pPr>
            <w:r>
              <w:rPr>
                <w:rFonts w:ascii="游ゴシック" w:hAnsi="游ゴシック" w:eastAsia="游ゴシック"/>
                <w:b/>
                <w:color w:val="FFFFFF"/>
                <w:sz w:val="18"/>
              </w:rPr>
              <w:t>確定した内容</w:t>
            </w:r>
          </w:p>
        </w:tc>
        <w:tc>
          <w:tcPr>
            <w:tcW w:type="dxa" w:w="2381"/>
            <w:shd w:val="clear" w:color="auto" w:fill="1F3864"/>
            <w:vAlign w:val="center"/>
          </w:tcPr>
          <w:p>
            <w:pPr>
              <w:keepNext/>
              <w:spacing w:after="0"/>
              <w:jc w:val="center"/>
            </w:pPr>
            <w:r>
              <w:rPr>
                <w:rFonts w:ascii="游ゴシック" w:hAnsi="游ゴシック" w:eastAsia="游ゴシック"/>
                <w:b/>
                <w:color w:val="FFFFFF"/>
                <w:sz w:val="18"/>
              </w:rPr>
              <w:t>保険料への効き</w:t>
            </w:r>
          </w:p>
        </w:tc>
      </w:tr>
      <w:tr>
        <w:trPr>
          <w:cantSplit/>
        </w:trPr>
        <w:tc>
          <w:tcPr>
            <w:tcW w:type="dxa" w:w="1701"/>
            <w:vAlign w:val="center"/>
          </w:tcPr>
          <w:p>
            <w:pPr>
              <w:keepNext/>
              <w:spacing w:after="0"/>
            </w:pPr>
            <w:r>
              <w:rPr>
                <w:rFonts w:ascii="游ゴシック" w:hAnsi="游ゴシック" w:eastAsia="游ゴシック"/>
                <w:b/>
                <w:sz w:val="18"/>
              </w:rPr>
              <w:t>要介護度別の単価</w:t>
            </w:r>
          </w:p>
        </w:tc>
        <w:tc>
          <w:tcPr>
            <w:tcW w:type="dxa" w:w="5669"/>
            <w:vAlign w:val="center"/>
          </w:tcPr>
          <w:p>
            <w:pPr>
              <w:keepNext/>
              <w:spacing w:after="0"/>
            </w:pPr>
            <w:r>
              <w:rPr>
                <w:rFonts w:ascii="游ゴシック" w:hAnsi="游ゴシック" w:eastAsia="游ゴシック"/>
                <w:b w:val="0"/>
                <w:sz w:val="18"/>
              </w:rPr>
              <w:t>要介護度間の比を給付費データ（保険者単位）から採り、水準は総括表に合わせて比例調整している。基準年度では総括表の給付費を円単位で再現する</w:t>
            </w:r>
          </w:p>
        </w:tc>
        <w:tc>
          <w:tcPr>
            <w:tcW w:type="dxa" w:w="2381"/>
            <w:vAlign w:val="center"/>
          </w:tcPr>
          <w:p>
            <w:pPr>
              <w:keepNext/>
              <w:spacing w:after="0"/>
            </w:pPr>
            <w:r>
              <w:rPr>
                <w:rFonts w:ascii="游ゴシック" w:hAnsi="游ゴシック" w:eastAsia="游ゴシック"/>
                <w:b w:val="0"/>
                <w:sz w:val="18"/>
              </w:rPr>
              <w:t>採用により総給付費（3か年）＋3,213,698円・月額＋2.16円。保険料基準額は6,400円で変わらない</w:t>
            </w:r>
          </w:p>
        </w:tc>
      </w:tr>
      <w:tr>
        <w:trPr>
          <w:cantSplit/>
        </w:trPr>
        <w:tc>
          <w:tcPr>
            <w:tcW w:type="dxa" w:w="1701"/>
            <w:shd w:val="clear" w:color="auto" w:fill="F2F5FA"/>
            <w:vAlign w:val="center"/>
          </w:tcPr>
          <w:p>
            <w:pPr>
              <w:keepNext/>
              <w:spacing w:after="0"/>
            </w:pPr>
            <w:r>
              <w:rPr>
                <w:rFonts w:ascii="游ゴシック" w:hAnsi="游ゴシック" w:eastAsia="游ゴシック"/>
                <w:b/>
                <w:sz w:val="18"/>
              </w:rPr>
              <w:t>1人1月あたり利用回（日）数</w:t>
            </w:r>
          </w:p>
        </w:tc>
        <w:tc>
          <w:tcPr>
            <w:tcW w:type="dxa" w:w="5669"/>
            <w:shd w:val="clear" w:color="auto" w:fill="F2F5FA"/>
            <w:vAlign w:val="center"/>
          </w:tcPr>
          <w:p>
            <w:pPr>
              <w:keepNext/>
              <w:spacing w:after="0"/>
            </w:pPr>
            <w:r>
              <w:rPr>
                <w:rFonts w:ascii="游ゴシック" w:hAnsi="游ゴシック" w:eastAsia="游ゴシック"/>
                <w:b w:val="0"/>
                <w:sz w:val="18"/>
              </w:rPr>
              <w:t>従前は要支援・要介護の群でまとめた1人1月あたりで置いていた</w:t>
            </w:r>
          </w:p>
        </w:tc>
        <w:tc>
          <w:tcPr>
            <w:tcW w:type="dxa" w:w="2381"/>
            <w:shd w:val="clear" w:color="auto" w:fill="F2F5FA"/>
            <w:vAlign w:val="center"/>
          </w:tcPr>
          <w:p>
            <w:pPr>
              <w:keepNext/>
              <w:spacing w:after="0"/>
            </w:pPr>
            <w:r>
              <w:rPr>
                <w:rFonts w:ascii="游ゴシック" w:hAnsi="游ゴシック" w:eastAsia="游ゴシック"/>
                <w:b w:val="0"/>
                <w:sz w:val="18"/>
              </w:rPr>
              <w:t>給付費には入らないため月額への効きはない。延べの回（日）数が最大＋0.09％（訪問介護）動く</w:t>
            </w:r>
          </w:p>
        </w:tc>
      </w:tr>
      <w:tr>
        <w:trPr>
          <w:cantSplit/>
        </w:trPr>
        <w:tc>
          <w:tcPr>
            <w:tcW w:type="dxa" w:w="1701"/>
            <w:vAlign w:val="center"/>
          </w:tcPr>
          <w:p>
            <w:pPr>
              <w:keepNext/>
              <w:spacing w:after="0"/>
            </w:pPr>
            <w:r>
              <w:rPr>
                <w:rFonts w:ascii="游ゴシック" w:hAnsi="游ゴシック" w:eastAsia="游ゴシック"/>
                <w:b/>
                <w:sz w:val="18"/>
              </w:rPr>
              <w:t>要介護度の構成</w:t>
            </w:r>
          </w:p>
        </w:tc>
        <w:tc>
          <w:tcPr>
            <w:tcW w:type="dxa" w:w="5669"/>
            <w:vAlign w:val="center"/>
          </w:tcPr>
          <w:p>
            <w:pPr>
              <w:keepNext/>
              <w:spacing w:after="0"/>
            </w:pPr>
            <w:r>
              <w:rPr>
                <w:rFonts w:ascii="游ゴシック" w:hAnsi="游ゴシック" w:eastAsia="游ゴシック"/>
                <w:b w:val="0"/>
                <w:sz w:val="18"/>
              </w:rPr>
              <w:t>年齢階級ごとの要介護度の構成を令和7年度末（年報 様式1の5）の実績で固定し、将来推計 第1段階の年齢階級別認定者数に乗じる。年齢構成の変化による重度化は反映され、要介護度別の和は第1段階の認定者数と完全に一致する</w:t>
            </w:r>
          </w:p>
        </w:tc>
        <w:tc>
          <w:tcPr>
            <w:tcW w:type="dxa" w:w="2381"/>
            <w:vAlign w:val="center"/>
          </w:tcPr>
          <w:p>
            <w:pPr>
              <w:keepNext/>
              <w:spacing w:after="0"/>
            </w:pPr>
            <w:r>
              <w:rPr>
                <w:rFonts w:ascii="游ゴシック" w:hAnsi="游ゴシック" w:eastAsia="游ゴシック"/>
                <w:b w:val="0"/>
                <w:sz w:val="18"/>
              </w:rPr>
              <w:t>一律の伸びとの差は月額＋10円</w:t>
            </w:r>
          </w:p>
        </w:tc>
      </w:tr>
      <w:tr>
        <w:trPr>
          <w:cantSplit/>
        </w:trPr>
        <w:tc>
          <w:tcPr>
            <w:tcW w:type="dxa" w:w="1701"/>
            <w:shd w:val="clear" w:color="auto" w:fill="F2F5FA"/>
            <w:vAlign w:val="center"/>
          </w:tcPr>
          <w:p>
            <w:pPr>
              <w:spacing w:after="0"/>
            </w:pPr>
            <w:r>
              <w:rPr>
                <w:rFonts w:ascii="游ゴシック" w:hAnsi="游ゴシック" w:eastAsia="游ゴシック"/>
                <w:b/>
                <w:sz w:val="18"/>
              </w:rPr>
              <w:t>季節補正</w:t>
            </w:r>
          </w:p>
        </w:tc>
        <w:tc>
          <w:tcPr>
            <w:tcW w:type="dxa" w:w="5669"/>
            <w:shd w:val="clear" w:color="auto" w:fill="F2F5FA"/>
            <w:vAlign w:val="center"/>
          </w:tcPr>
          <w:p>
            <w:pPr>
              <w:spacing w:after="0"/>
            </w:pPr>
            <w:r>
              <w:rPr>
                <w:rFonts w:ascii="游ゴシック" w:hAnsi="游ゴシック" w:eastAsia="游ゴシック"/>
                <w:b w:val="0"/>
                <w:sz w:val="18"/>
              </w:rPr>
              <w:t>季節補正を行わない。基準年度が12か月の完結年度であるため季節指数の和は12となり、年度換算係数は12÷12＝1.0000で恒等的に消える。季節性を測定できるようになっても採用値は動かないため、資料の受領を待たない</w:t>
            </w:r>
          </w:p>
        </w:tc>
        <w:tc>
          <w:tcPr>
            <w:tcW w:type="dxa" w:w="2381"/>
            <w:shd w:val="clear" w:color="auto" w:fill="F2F5FA"/>
            <w:vAlign w:val="center"/>
          </w:tcPr>
          <w:p>
            <w:pPr>
              <w:spacing w:after="0"/>
            </w:pPr>
            <w:r>
              <w:rPr>
                <w:rFonts w:ascii="游ゴシック" w:hAnsi="游ゴシック" w:eastAsia="游ゴシック"/>
                <w:b w:val="0"/>
                <w:sz w:val="18"/>
              </w:rPr>
              <w:t>効きは0円</w:t>
            </w:r>
          </w:p>
        </w:tc>
      </w:tr>
    </w:tbl>
    <w:p>
      <w:pPr>
        <w:keepNext/>
        <w:pageBreakBefore/>
        <w:spacing w:before="0" w:after="120"/>
      </w:pPr>
      <w:r>
        <w:rPr>
          <w:rFonts w:ascii="游ゴシック" w:hAnsi="游ゴシック" w:eastAsia="游ゴシック"/>
          <w:b/>
          <w:color w:val="1F3864"/>
          <w:sz w:val="26"/>
        </w:rPr>
        <w:t>第3節　サービス見込量・給付費・保険料の試算</w:t>
      </w:r>
    </w:p>
    <w:p>
      <w:pPr>
        <w:spacing w:after="80"/>
      </w:pPr>
      <w:r>
        <w:rPr>
          <w:rFonts w:ascii="游ゴシック" w:hAnsi="游ゴシック" w:eastAsia="游ゴシック"/>
          <w:b w:val="0"/>
          <w:sz w:val="21"/>
        </w:rPr>
        <w:t>サービス見込量の算定（令和8年9月26日）の結果です。基準年度は令和7年度、単位は保険者（広域連合）です。介護保険法第3条及び地方自治法第284条により、サービス見込量・給付費・保険料・施策は保険者を単位として算定するもので、町別には算定しません。実績は町別に掲げています。</w:t>
      </w:r>
    </w:p>
    <w:p>
      <w:pPr>
        <w:keepNext/>
        <w:spacing w:before="180" w:after="60"/>
      </w:pPr>
      <w:r>
        <w:rPr>
          <w:rFonts w:ascii="游ゴシック" w:hAnsi="游ゴシック" w:eastAsia="游ゴシック"/>
          <w:b/>
          <w:sz w:val="22"/>
        </w:rPr>
        <w:t>1　第1号被保険者数と認定者数</w:t>
      </w:r>
    </w:p>
    <w:p>
      <w:pPr>
        <w:keepNext/>
        <w:spacing w:before="160" w:after="40"/>
      </w:pPr>
      <w:r>
        <w:rPr>
          <w:rFonts w:ascii="游ゴシック" w:hAnsi="游ゴシック" w:eastAsia="游ゴシック"/>
          <w:b/>
          <w:sz w:val="20"/>
        </w:rPr>
        <w:t>表7　第1号被保険者数と認定者数</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2835"/>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1701"/>
            <w:shd w:val="clear" w:color="auto" w:fill="1F3864"/>
            <w:vAlign w:val="center"/>
          </w:tcPr>
          <w:p>
            <w:pPr>
              <w:keepNext/>
              <w:spacing w:after="0"/>
              <w:jc w:val="center"/>
            </w:pPr>
            <w:r>
              <w:rPr>
                <w:rFonts w:ascii="游ゴシック" w:hAnsi="游ゴシック" w:eastAsia="游ゴシック"/>
                <w:b/>
                <w:color w:val="FFFFFF"/>
                <w:sz w:val="18"/>
              </w:rPr>
              <w:t>令和9年度</w:t>
            </w:r>
          </w:p>
        </w:tc>
        <w:tc>
          <w:tcPr>
            <w:tcW w:type="dxa" w:w="1701"/>
            <w:shd w:val="clear" w:color="auto" w:fill="1F3864"/>
            <w:vAlign w:val="center"/>
          </w:tcPr>
          <w:p>
            <w:pPr>
              <w:keepNext/>
              <w:spacing w:after="0"/>
              <w:jc w:val="center"/>
            </w:pPr>
            <w:r>
              <w:rPr>
                <w:rFonts w:ascii="游ゴシック" w:hAnsi="游ゴシック" w:eastAsia="游ゴシック"/>
                <w:b/>
                <w:color w:val="FFFFFF"/>
                <w:sz w:val="18"/>
              </w:rPr>
              <w:t>令和10年度</w:t>
            </w:r>
          </w:p>
        </w:tc>
        <w:tc>
          <w:tcPr>
            <w:tcW w:type="dxa" w:w="1701"/>
            <w:shd w:val="clear" w:color="auto" w:fill="1F3864"/>
            <w:vAlign w:val="center"/>
          </w:tcPr>
          <w:p>
            <w:pPr>
              <w:keepNext/>
              <w:spacing w:after="0"/>
              <w:jc w:val="center"/>
            </w:pPr>
            <w:r>
              <w:rPr>
                <w:rFonts w:ascii="游ゴシック" w:hAnsi="游ゴシック" w:eastAsia="游ゴシック"/>
                <w:b/>
                <w:color w:val="FFFFFF"/>
                <w:sz w:val="18"/>
              </w:rPr>
              <w:t>令和11年度</w:t>
            </w:r>
          </w:p>
        </w:tc>
        <w:tc>
          <w:tcPr>
            <w:tcW w:type="dxa" w:w="1814"/>
            <w:shd w:val="clear" w:color="auto" w:fill="1F3864"/>
            <w:vAlign w:val="center"/>
          </w:tcPr>
          <w:p>
            <w:pPr>
              <w:keepNext/>
              <w:spacing w:after="0"/>
              <w:jc w:val="center"/>
            </w:pPr>
            <w:r>
              <w:rPr>
                <w:rFonts w:ascii="游ゴシック" w:hAnsi="游ゴシック" w:eastAsia="游ゴシック"/>
                <w:b/>
                <w:color w:val="FFFFFF"/>
                <w:sz w:val="18"/>
              </w:rPr>
              <w:t>令和7年度（実績）</w:t>
            </w:r>
          </w:p>
        </w:tc>
      </w:tr>
      <w:tr>
        <w:trPr>
          <w:cantSplit/>
        </w:trPr>
        <w:tc>
          <w:tcPr>
            <w:tcW w:type="dxa" w:w="2835"/>
            <w:vAlign w:val="center"/>
          </w:tcPr>
          <w:p>
            <w:pPr>
              <w:keepNext/>
              <w:spacing w:after="0"/>
            </w:pPr>
            <w:r>
              <w:rPr>
                <w:rFonts w:ascii="游ゴシック" w:hAnsi="游ゴシック" w:eastAsia="游ゴシック"/>
                <w:b/>
                <w:sz w:val="18"/>
              </w:rPr>
              <w:t>第1号被保険者数（人）</w:t>
            </w:r>
          </w:p>
        </w:tc>
        <w:tc>
          <w:tcPr>
            <w:tcW w:type="dxa" w:w="1701"/>
            <w:vAlign w:val="center"/>
          </w:tcPr>
          <w:p>
            <w:pPr>
              <w:keepNext/>
              <w:spacing w:after="0"/>
              <w:jc w:val="center"/>
            </w:pPr>
            <w:r>
              <w:rPr>
                <w:rFonts w:ascii="游ゴシック" w:hAnsi="游ゴシック" w:eastAsia="游ゴシック"/>
                <w:b w:val="0"/>
                <w:sz w:val="18"/>
              </w:rPr>
              <w:t>9,147.0</w:t>
            </w:r>
          </w:p>
        </w:tc>
        <w:tc>
          <w:tcPr>
            <w:tcW w:type="dxa" w:w="1701"/>
            <w:vAlign w:val="center"/>
          </w:tcPr>
          <w:p>
            <w:pPr>
              <w:keepNext/>
              <w:spacing w:after="0"/>
              <w:jc w:val="center"/>
            </w:pPr>
            <w:r>
              <w:rPr>
                <w:rFonts w:ascii="游ゴシック" w:hAnsi="游ゴシック" w:eastAsia="游ゴシック"/>
                <w:b w:val="0"/>
                <w:sz w:val="18"/>
              </w:rPr>
              <w:t>9,179.0</w:t>
            </w:r>
          </w:p>
        </w:tc>
        <w:tc>
          <w:tcPr>
            <w:tcW w:type="dxa" w:w="1701"/>
            <w:vAlign w:val="center"/>
          </w:tcPr>
          <w:p>
            <w:pPr>
              <w:keepNext/>
              <w:spacing w:after="0"/>
              <w:jc w:val="center"/>
            </w:pPr>
            <w:r>
              <w:rPr>
                <w:rFonts w:ascii="游ゴシック" w:hAnsi="游ゴシック" w:eastAsia="游ゴシック"/>
                <w:b w:val="0"/>
                <w:sz w:val="18"/>
              </w:rPr>
              <w:t>9,213.4</w:t>
            </w:r>
          </w:p>
        </w:tc>
        <w:tc>
          <w:tcPr>
            <w:tcW w:type="dxa" w:w="1814"/>
            <w:vAlign w:val="center"/>
          </w:tcPr>
          <w:p>
            <w:pPr>
              <w:keepNext/>
              <w:spacing w:after="0"/>
              <w:jc w:val="center"/>
            </w:pPr>
            <w:r>
              <w:rPr>
                <w:rFonts w:ascii="游ゴシック" w:hAnsi="游ゴシック" w:eastAsia="游ゴシック"/>
                <w:b w:val="0"/>
                <w:sz w:val="18"/>
              </w:rPr>
              <w:t>9,090.0</w:t>
            </w:r>
          </w:p>
        </w:tc>
      </w:tr>
      <w:tr>
        <w:trPr>
          <w:cantSplit/>
        </w:trPr>
        <w:tc>
          <w:tcPr>
            <w:tcW w:type="dxa" w:w="2835"/>
            <w:shd w:val="clear" w:color="auto" w:fill="F2F5FA"/>
            <w:vAlign w:val="center"/>
          </w:tcPr>
          <w:p>
            <w:pPr>
              <w:spacing w:after="0"/>
            </w:pPr>
            <w:r>
              <w:rPr>
                <w:rFonts w:ascii="游ゴシック" w:hAnsi="游ゴシック" w:eastAsia="游ゴシック"/>
                <w:b/>
                <w:sz w:val="18"/>
              </w:rPr>
              <w:t>認定者数（人）</w:t>
            </w:r>
          </w:p>
        </w:tc>
        <w:tc>
          <w:tcPr>
            <w:tcW w:type="dxa" w:w="1701"/>
            <w:shd w:val="clear" w:color="auto" w:fill="F2F5FA"/>
            <w:vAlign w:val="center"/>
          </w:tcPr>
          <w:p>
            <w:pPr>
              <w:spacing w:after="0"/>
              <w:jc w:val="center"/>
            </w:pPr>
            <w:r>
              <w:rPr>
                <w:rFonts w:ascii="游ゴシック" w:hAnsi="游ゴシック" w:eastAsia="游ゴシック"/>
                <w:b w:val="0"/>
                <w:sz w:val="18"/>
              </w:rPr>
              <w:t>2,025.1</w:t>
            </w:r>
          </w:p>
        </w:tc>
        <w:tc>
          <w:tcPr>
            <w:tcW w:type="dxa" w:w="1701"/>
            <w:shd w:val="clear" w:color="auto" w:fill="F2F5FA"/>
            <w:vAlign w:val="center"/>
          </w:tcPr>
          <w:p>
            <w:pPr>
              <w:spacing w:after="0"/>
              <w:jc w:val="center"/>
            </w:pPr>
            <w:r>
              <w:rPr>
                <w:rFonts w:ascii="游ゴシック" w:hAnsi="游ゴシック" w:eastAsia="游ゴシック"/>
                <w:b w:val="0"/>
                <w:sz w:val="18"/>
              </w:rPr>
              <w:t>2,046.1</w:t>
            </w:r>
          </w:p>
        </w:tc>
        <w:tc>
          <w:tcPr>
            <w:tcW w:type="dxa" w:w="1701"/>
            <w:shd w:val="clear" w:color="auto" w:fill="F2F5FA"/>
            <w:vAlign w:val="center"/>
          </w:tcPr>
          <w:p>
            <w:pPr>
              <w:spacing w:after="0"/>
              <w:jc w:val="center"/>
            </w:pPr>
            <w:r>
              <w:rPr>
                <w:rFonts w:ascii="游ゴシック" w:hAnsi="游ゴシック" w:eastAsia="游ゴシック"/>
                <w:b w:val="0"/>
                <w:sz w:val="18"/>
              </w:rPr>
              <w:t>2,067.4</w:t>
            </w:r>
          </w:p>
        </w:tc>
        <w:tc>
          <w:tcPr>
            <w:tcW w:type="dxa" w:w="1814"/>
            <w:shd w:val="clear" w:color="auto" w:fill="F2F5FA"/>
            <w:vAlign w:val="center"/>
          </w:tcPr>
          <w:p>
            <w:pPr>
              <w:spacing w:after="0"/>
              <w:jc w:val="center"/>
            </w:pPr>
            <w:r>
              <w:rPr>
                <w:rFonts w:ascii="游ゴシック" w:hAnsi="游ゴシック" w:eastAsia="游ゴシック"/>
                <w:b w:val="0"/>
                <w:sz w:val="18"/>
              </w:rPr>
              <w:t>1,984.0</w:t>
            </w:r>
          </w:p>
        </w:tc>
      </w:tr>
    </w:tbl>
    <w:p>
      <w:pPr>
        <w:spacing w:after="80"/>
      </w:pPr>
      <w:r>
        <w:rPr>
          <w:rFonts w:ascii="游ゴシック" w:hAnsi="游ゴシック" w:eastAsia="游ゴシック"/>
          <w:b w:val="0"/>
          <w:sz w:val="17"/>
        </w:rPr>
        <w:t>資料：住民基本台帳及び地方創生総合戦略（案C）、厚生労働省「介護保険事業状況報告」年報（令和7年度）</w:t>
      </w:r>
    </w:p>
    <w:p>
      <w:pPr>
        <w:keepNext/>
        <w:spacing w:before="180" w:after="60"/>
      </w:pPr>
      <w:r>
        <w:rPr>
          <w:rFonts w:ascii="游ゴシック" w:hAnsi="游ゴシック" w:eastAsia="游ゴシック"/>
          <w:b/>
          <w:sz w:val="22"/>
        </w:rPr>
        <w:t>2　給付費</w:t>
      </w:r>
    </w:p>
    <w:p>
      <w:pPr>
        <w:keepNext/>
        <w:spacing w:before="160" w:after="40"/>
      </w:pPr>
      <w:r>
        <w:rPr>
          <w:rFonts w:ascii="游ゴシック" w:hAnsi="游ゴシック" w:eastAsia="游ゴシック"/>
          <w:b/>
          <w:sz w:val="20"/>
        </w:rPr>
        <w:t>表8　介護給付費・介護予防給付費の見込み</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2494"/>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1928"/>
            <w:shd w:val="clear" w:color="auto" w:fill="1F3864"/>
            <w:vAlign w:val="center"/>
          </w:tcPr>
          <w:p>
            <w:pPr>
              <w:keepNext/>
              <w:spacing w:after="0"/>
              <w:jc w:val="center"/>
            </w:pPr>
            <w:r>
              <w:rPr>
                <w:rFonts w:ascii="游ゴシック" w:hAnsi="游ゴシック" w:eastAsia="游ゴシック"/>
                <w:b/>
                <w:color w:val="FFFFFF"/>
                <w:sz w:val="18"/>
              </w:rPr>
              <w:t>令和9年度</w:t>
            </w:r>
          </w:p>
        </w:tc>
        <w:tc>
          <w:tcPr>
            <w:tcW w:type="dxa" w:w="1928"/>
            <w:shd w:val="clear" w:color="auto" w:fill="1F3864"/>
            <w:vAlign w:val="center"/>
          </w:tcPr>
          <w:p>
            <w:pPr>
              <w:keepNext/>
              <w:spacing w:after="0"/>
              <w:jc w:val="center"/>
            </w:pPr>
            <w:r>
              <w:rPr>
                <w:rFonts w:ascii="游ゴシック" w:hAnsi="游ゴシック" w:eastAsia="游ゴシック"/>
                <w:b/>
                <w:color w:val="FFFFFF"/>
                <w:sz w:val="18"/>
              </w:rPr>
              <w:t>令和10年度</w:t>
            </w:r>
          </w:p>
        </w:tc>
        <w:tc>
          <w:tcPr>
            <w:tcW w:type="dxa" w:w="1928"/>
            <w:shd w:val="clear" w:color="auto" w:fill="1F3864"/>
            <w:vAlign w:val="center"/>
          </w:tcPr>
          <w:p>
            <w:pPr>
              <w:keepNext/>
              <w:spacing w:after="0"/>
              <w:jc w:val="center"/>
            </w:pPr>
            <w:r>
              <w:rPr>
                <w:rFonts w:ascii="游ゴシック" w:hAnsi="游ゴシック" w:eastAsia="游ゴシック"/>
                <w:b/>
                <w:color w:val="FFFFFF"/>
                <w:sz w:val="18"/>
              </w:rPr>
              <w:t>令和11年度</w:t>
            </w:r>
          </w:p>
        </w:tc>
        <w:tc>
          <w:tcPr>
            <w:tcW w:type="dxa" w:w="1474"/>
            <w:shd w:val="clear" w:color="auto" w:fill="1F3864"/>
            <w:vAlign w:val="center"/>
          </w:tcPr>
          <w:p>
            <w:pPr>
              <w:keepNext/>
              <w:spacing w:after="0"/>
              <w:jc w:val="center"/>
            </w:pPr>
            <w:r>
              <w:rPr>
                <w:rFonts w:ascii="游ゴシック" w:hAnsi="游ゴシック" w:eastAsia="游ゴシック"/>
                <w:b/>
                <w:color w:val="FFFFFF"/>
                <w:sz w:val="18"/>
              </w:rPr>
              <w:t>3か年計</w:t>
            </w:r>
          </w:p>
        </w:tc>
      </w:tr>
      <w:tr>
        <w:trPr>
          <w:cantSplit/>
        </w:trPr>
        <w:tc>
          <w:tcPr>
            <w:tcW w:type="dxa" w:w="2494"/>
            <w:vAlign w:val="center"/>
          </w:tcPr>
          <w:p>
            <w:pPr>
              <w:spacing w:after="0"/>
            </w:pPr>
            <w:r>
              <w:rPr>
                <w:rFonts w:ascii="游ゴシック" w:hAnsi="游ゴシック" w:eastAsia="游ゴシック"/>
                <w:b/>
                <w:sz w:val="18"/>
              </w:rPr>
              <w:t>総給付費（円）</w:t>
            </w:r>
          </w:p>
        </w:tc>
        <w:tc>
          <w:tcPr>
            <w:tcW w:type="dxa" w:w="1928"/>
            <w:vAlign w:val="center"/>
          </w:tcPr>
          <w:p>
            <w:pPr>
              <w:spacing w:after="0"/>
              <w:jc w:val="center"/>
            </w:pPr>
            <w:r>
              <w:rPr>
                <w:rFonts w:ascii="游ゴシック" w:hAnsi="游ゴシック" w:eastAsia="游ゴシック"/>
                <w:b w:val="0"/>
                <w:sz w:val="18"/>
              </w:rPr>
              <w:t>2,978,975,041</w:t>
            </w:r>
          </w:p>
        </w:tc>
        <w:tc>
          <w:tcPr>
            <w:tcW w:type="dxa" w:w="1928"/>
            <w:vAlign w:val="center"/>
          </w:tcPr>
          <w:p>
            <w:pPr>
              <w:spacing w:after="0"/>
              <w:jc w:val="center"/>
            </w:pPr>
            <w:r>
              <w:rPr>
                <w:rFonts w:ascii="游ゴシック" w:hAnsi="游ゴシック" w:eastAsia="游ゴシック"/>
                <w:b w:val="0"/>
                <w:sz w:val="18"/>
              </w:rPr>
              <w:t>3,011,540,164</w:t>
            </w:r>
          </w:p>
        </w:tc>
        <w:tc>
          <w:tcPr>
            <w:tcW w:type="dxa" w:w="1928"/>
            <w:vAlign w:val="center"/>
          </w:tcPr>
          <w:p>
            <w:pPr>
              <w:spacing w:after="0"/>
              <w:jc w:val="center"/>
            </w:pPr>
            <w:r>
              <w:rPr>
                <w:rFonts w:ascii="游ゴシック" w:hAnsi="游ゴシック" w:eastAsia="游ゴシック"/>
                <w:b w:val="0"/>
                <w:sz w:val="18"/>
              </w:rPr>
              <w:t>3,044,598,937</w:t>
            </w:r>
          </w:p>
        </w:tc>
        <w:tc>
          <w:tcPr>
            <w:tcW w:type="dxa" w:w="1474"/>
            <w:vAlign w:val="center"/>
          </w:tcPr>
          <w:p>
            <w:pPr>
              <w:spacing w:after="0"/>
              <w:jc w:val="center"/>
            </w:pPr>
            <w:r>
              <w:rPr>
                <w:rFonts w:ascii="游ゴシック" w:hAnsi="游ゴシック" w:eastAsia="游ゴシック"/>
                <w:b w:val="0"/>
                <w:sz w:val="18"/>
              </w:rPr>
              <w:t>9,035,114,142</w:t>
            </w:r>
          </w:p>
        </w:tc>
      </w:tr>
    </w:tbl>
    <w:p>
      <w:pPr>
        <w:spacing w:after="80"/>
      </w:pPr>
      <w:r>
        <w:rPr>
          <w:rFonts w:ascii="游ゴシック" w:hAnsi="游ゴシック" w:eastAsia="游ゴシック"/>
          <w:b w:val="0"/>
          <w:sz w:val="17"/>
        </w:rPr>
        <w:t>資料：サービス見込量の算定</w:t>
      </w:r>
    </w:p>
    <w:p>
      <w:pPr>
        <w:ind w:left="227"/>
      </w:pPr>
      <w:r>
        <w:rPr>
          <w:rFonts w:ascii="游ゴシック" w:hAnsi="游ゴシック" w:eastAsia="游ゴシック"/>
          <w:b w:val="0"/>
          <w:sz w:val="18"/>
        </w:rPr>
        <w:t>※ 基準年度（令和7年度）の給付費は、地域包括ケア「見える化」システムの総括表と円単位で一致します。</w:t>
      </w:r>
    </w:p>
    <w:p>
      <w:pPr>
        <w:keepNext/>
        <w:spacing w:before="180" w:after="60"/>
      </w:pPr>
      <w:r>
        <w:rPr>
          <w:rFonts w:ascii="游ゴシック" w:hAnsi="游ゴシック" w:eastAsia="游ゴシック"/>
          <w:b/>
          <w:sz w:val="22"/>
        </w:rPr>
        <w:t>3　保険料</w:t>
      </w:r>
    </w:p>
    <w:p>
      <w:pPr>
        <w:keepNext/>
        <w:spacing w:before="160" w:after="40"/>
      </w:pPr>
      <w:r>
        <w:rPr>
          <w:rFonts w:ascii="游ゴシック" w:hAnsi="游ゴシック" w:eastAsia="游ゴシック"/>
          <w:b/>
          <w:sz w:val="20"/>
        </w:rPr>
        <w:t>表9　第10期保険料算定表</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3402"/>
            <w:shd w:val="clear" w:color="auto" w:fill="1F3864"/>
            <w:vAlign w:val="center"/>
          </w:tcPr>
          <w:p>
            <w:pPr>
              <w:keepNext/>
              <w:spacing w:after="0"/>
              <w:jc w:val="center"/>
            </w:pPr>
            <w:r>
              <w:rPr>
                <w:rFonts w:ascii="游ゴシック" w:hAnsi="游ゴシック" w:eastAsia="游ゴシック"/>
                <w:b/>
                <w:color w:val="FFFFFF"/>
                <w:sz w:val="18"/>
              </w:rPr>
              <w:t>項目</w:t>
            </w:r>
          </w:p>
        </w:tc>
        <w:tc>
          <w:tcPr>
            <w:tcW w:type="dxa" w:w="3061"/>
            <w:shd w:val="clear" w:color="auto" w:fill="1F3864"/>
            <w:vAlign w:val="center"/>
          </w:tcPr>
          <w:p>
            <w:pPr>
              <w:keepNext/>
              <w:spacing w:after="0"/>
              <w:jc w:val="center"/>
            </w:pPr>
            <w:r>
              <w:rPr>
                <w:rFonts w:ascii="游ゴシック" w:hAnsi="游ゴシック" w:eastAsia="游ゴシック"/>
                <w:b/>
                <w:color w:val="FFFFFF"/>
                <w:sz w:val="18"/>
              </w:rPr>
              <w:t>記号・算式</w:t>
            </w:r>
          </w:p>
        </w:tc>
        <w:tc>
          <w:tcPr>
            <w:tcW w:type="dxa" w:w="3288"/>
            <w:shd w:val="clear" w:color="auto" w:fill="1F3864"/>
            <w:vAlign w:val="center"/>
          </w:tcPr>
          <w:p>
            <w:pPr>
              <w:keepNext/>
              <w:spacing w:after="0"/>
              <w:jc w:val="center"/>
            </w:pPr>
            <w:r>
              <w:rPr>
                <w:rFonts w:ascii="游ゴシック" w:hAnsi="游ゴシック" w:eastAsia="游ゴシック"/>
                <w:b/>
                <w:color w:val="FFFFFF"/>
                <w:sz w:val="18"/>
              </w:rPr>
              <w:t>第10期計（円）</w:t>
            </w:r>
          </w:p>
        </w:tc>
      </w:tr>
      <w:tr>
        <w:trPr>
          <w:cantSplit/>
        </w:trPr>
        <w:tc>
          <w:tcPr>
            <w:tcW w:type="dxa" w:w="3402"/>
            <w:vAlign w:val="center"/>
          </w:tcPr>
          <w:p>
            <w:pPr>
              <w:keepNext/>
              <w:spacing w:after="0"/>
            </w:pPr>
            <w:r>
              <w:rPr>
                <w:rFonts w:ascii="游ゴシック" w:hAnsi="游ゴシック" w:eastAsia="游ゴシック"/>
                <w:b/>
                <w:sz w:val="18"/>
              </w:rPr>
              <w:t>標準給付費見込額</w:t>
            </w:r>
          </w:p>
        </w:tc>
        <w:tc>
          <w:tcPr>
            <w:tcW w:type="dxa" w:w="3061"/>
            <w:vAlign w:val="center"/>
          </w:tcPr>
          <w:p>
            <w:pPr>
              <w:keepNext/>
              <w:spacing w:after="0"/>
            </w:pPr>
            <w:r>
              <w:rPr>
                <w:rFonts w:ascii="游ゴシック" w:hAnsi="游ゴシック" w:eastAsia="游ゴシック"/>
                <w:b w:val="0"/>
                <w:sz w:val="18"/>
              </w:rPr>
              <w:t>A</w:t>
            </w:r>
          </w:p>
        </w:tc>
        <w:tc>
          <w:tcPr>
            <w:tcW w:type="dxa" w:w="3288"/>
            <w:vAlign w:val="center"/>
          </w:tcPr>
          <w:p>
            <w:pPr>
              <w:keepNext/>
              <w:spacing w:after="0"/>
            </w:pPr>
            <w:r>
              <w:rPr>
                <w:rFonts w:ascii="游ゴシック" w:hAnsi="游ゴシック" w:eastAsia="游ゴシック"/>
                <w:b/>
                <w:sz w:val="18"/>
              </w:rPr>
              <w:t>9,569,019,924</w:t>
            </w:r>
          </w:p>
        </w:tc>
      </w:tr>
      <w:tr>
        <w:trPr>
          <w:cantSplit/>
        </w:trPr>
        <w:tc>
          <w:tcPr>
            <w:tcW w:type="dxa" w:w="3402"/>
            <w:shd w:val="clear" w:color="auto" w:fill="F2F5FA"/>
            <w:vAlign w:val="center"/>
          </w:tcPr>
          <w:p>
            <w:pPr>
              <w:keepNext/>
              <w:spacing w:after="0"/>
            </w:pPr>
            <w:r>
              <w:rPr>
                <w:rFonts w:ascii="游ゴシック" w:hAnsi="游ゴシック" w:eastAsia="游ゴシック"/>
                <w:b/>
                <w:sz w:val="18"/>
              </w:rPr>
              <w:t>地域支援事業費</w:t>
            </w:r>
          </w:p>
        </w:tc>
        <w:tc>
          <w:tcPr>
            <w:tcW w:type="dxa" w:w="3061"/>
            <w:shd w:val="clear" w:color="auto" w:fill="F2F5FA"/>
            <w:vAlign w:val="center"/>
          </w:tcPr>
          <w:p>
            <w:pPr>
              <w:keepNext/>
              <w:spacing w:after="0"/>
            </w:pPr>
            <w:r>
              <w:rPr>
                <w:rFonts w:ascii="游ゴシック" w:hAnsi="游ゴシック" w:eastAsia="游ゴシック"/>
                <w:b w:val="0"/>
                <w:sz w:val="18"/>
              </w:rPr>
              <w:t>B</w:t>
            </w:r>
          </w:p>
        </w:tc>
        <w:tc>
          <w:tcPr>
            <w:tcW w:type="dxa" w:w="3288"/>
            <w:shd w:val="clear" w:color="auto" w:fill="F2F5FA"/>
            <w:vAlign w:val="center"/>
          </w:tcPr>
          <w:p>
            <w:pPr>
              <w:keepNext/>
              <w:spacing w:after="0"/>
            </w:pPr>
            <w:r>
              <w:rPr>
                <w:rFonts w:ascii="游ゴシック" w:hAnsi="游ゴシック" w:eastAsia="游ゴシック"/>
                <w:b/>
                <w:sz w:val="18"/>
              </w:rPr>
              <w:t>531,483,777</w:t>
            </w:r>
          </w:p>
        </w:tc>
      </w:tr>
      <w:tr>
        <w:trPr>
          <w:cantSplit/>
        </w:trPr>
        <w:tc>
          <w:tcPr>
            <w:tcW w:type="dxa" w:w="3402"/>
            <w:vAlign w:val="center"/>
          </w:tcPr>
          <w:p>
            <w:pPr>
              <w:keepNext/>
              <w:spacing w:after="0"/>
            </w:pPr>
            <w:r>
              <w:rPr>
                <w:rFonts w:ascii="游ゴシック" w:hAnsi="游ゴシック" w:eastAsia="游ゴシック"/>
                <w:b/>
                <w:sz w:val="18"/>
              </w:rPr>
              <w:t>第1号被保険者負担分相当額</w:t>
            </w:r>
          </w:p>
        </w:tc>
        <w:tc>
          <w:tcPr>
            <w:tcW w:type="dxa" w:w="3061"/>
            <w:vAlign w:val="center"/>
          </w:tcPr>
          <w:p>
            <w:pPr>
              <w:keepNext/>
              <w:spacing w:after="0"/>
            </w:pPr>
            <w:r>
              <w:rPr>
                <w:rFonts w:ascii="游ゴシック" w:hAnsi="游ゴシック" w:eastAsia="游ゴシック"/>
                <w:b w:val="0"/>
                <w:sz w:val="18"/>
              </w:rPr>
              <w:t>C＝①×23％</w:t>
            </w:r>
          </w:p>
        </w:tc>
        <w:tc>
          <w:tcPr>
            <w:tcW w:type="dxa" w:w="3288"/>
            <w:vAlign w:val="center"/>
          </w:tcPr>
          <w:p>
            <w:pPr>
              <w:keepNext/>
              <w:spacing w:after="0"/>
            </w:pPr>
            <w:r>
              <w:rPr>
                <w:rFonts w:ascii="游ゴシック" w:hAnsi="游ゴシック" w:eastAsia="游ゴシック"/>
                <w:b/>
                <w:sz w:val="18"/>
              </w:rPr>
              <w:t>2,323,115,851</w:t>
            </w:r>
          </w:p>
        </w:tc>
      </w:tr>
      <w:tr>
        <w:trPr>
          <w:cantSplit/>
        </w:trPr>
        <w:tc>
          <w:tcPr>
            <w:tcW w:type="dxa" w:w="3402"/>
            <w:shd w:val="clear" w:color="auto" w:fill="F2F5FA"/>
            <w:vAlign w:val="center"/>
          </w:tcPr>
          <w:p>
            <w:pPr>
              <w:keepNext/>
              <w:spacing w:after="0"/>
            </w:pPr>
            <w:r>
              <w:rPr>
                <w:rFonts w:ascii="游ゴシック" w:hAnsi="游ゴシック" w:eastAsia="游ゴシック"/>
                <w:b/>
                <w:sz w:val="18"/>
              </w:rPr>
              <w:t>調整交付金相当額</w:t>
            </w:r>
          </w:p>
        </w:tc>
        <w:tc>
          <w:tcPr>
            <w:tcW w:type="dxa" w:w="3061"/>
            <w:shd w:val="clear" w:color="auto" w:fill="F2F5FA"/>
            <w:vAlign w:val="center"/>
          </w:tcPr>
          <w:p>
            <w:pPr>
              <w:keepNext/>
              <w:spacing w:after="0"/>
            </w:pPr>
            <w:r>
              <w:rPr>
                <w:rFonts w:ascii="游ゴシック" w:hAnsi="游ゴシック" w:eastAsia="游ゴシック"/>
                <w:b w:val="0"/>
                <w:sz w:val="18"/>
              </w:rPr>
              <w:t>D＝②×5％</w:t>
            </w:r>
          </w:p>
        </w:tc>
        <w:tc>
          <w:tcPr>
            <w:tcW w:type="dxa" w:w="3288"/>
            <w:shd w:val="clear" w:color="auto" w:fill="F2F5FA"/>
            <w:vAlign w:val="center"/>
          </w:tcPr>
          <w:p>
            <w:pPr>
              <w:keepNext/>
              <w:spacing w:after="0"/>
            </w:pPr>
            <w:r>
              <w:rPr>
                <w:rFonts w:ascii="游ゴシック" w:hAnsi="游ゴシック" w:eastAsia="游ゴシック"/>
                <w:b/>
                <w:sz w:val="18"/>
              </w:rPr>
              <w:t>494,520,394</w:t>
            </w:r>
          </w:p>
        </w:tc>
      </w:tr>
      <w:tr>
        <w:trPr>
          <w:cantSplit/>
        </w:trPr>
        <w:tc>
          <w:tcPr>
            <w:tcW w:type="dxa" w:w="3402"/>
            <w:vAlign w:val="center"/>
          </w:tcPr>
          <w:p>
            <w:pPr>
              <w:keepNext/>
              <w:spacing w:after="0"/>
            </w:pPr>
            <w:r>
              <w:rPr>
                <w:rFonts w:ascii="游ゴシック" w:hAnsi="游ゴシック" w:eastAsia="游ゴシック"/>
                <w:b/>
                <w:sz w:val="18"/>
              </w:rPr>
              <w:t>調整交付金見込額</w:t>
            </w:r>
          </w:p>
        </w:tc>
        <w:tc>
          <w:tcPr>
            <w:tcW w:type="dxa" w:w="3061"/>
            <w:vAlign w:val="center"/>
          </w:tcPr>
          <w:p>
            <w:pPr>
              <w:keepNext/>
              <w:spacing w:after="0"/>
            </w:pPr>
            <w:r>
              <w:rPr>
                <w:rFonts w:ascii="游ゴシック" w:hAnsi="游ゴシック" w:eastAsia="游ゴシック"/>
                <w:b w:val="0"/>
                <w:sz w:val="18"/>
              </w:rPr>
              <w:t>E＝②×7.3755％</w:t>
            </w:r>
          </w:p>
        </w:tc>
        <w:tc>
          <w:tcPr>
            <w:tcW w:type="dxa" w:w="3288"/>
            <w:vAlign w:val="center"/>
          </w:tcPr>
          <w:p>
            <w:pPr>
              <w:keepNext/>
              <w:spacing w:after="0"/>
            </w:pPr>
            <w:r>
              <w:rPr>
                <w:rFonts w:ascii="游ゴシック" w:hAnsi="游ゴシック" w:eastAsia="游ゴシック"/>
                <w:b/>
                <w:sz w:val="18"/>
              </w:rPr>
              <w:t>729,464,444</w:t>
            </w:r>
          </w:p>
        </w:tc>
      </w:tr>
      <w:tr>
        <w:trPr>
          <w:cantSplit/>
        </w:trPr>
        <w:tc>
          <w:tcPr>
            <w:tcW w:type="dxa" w:w="3402"/>
            <w:shd w:val="clear" w:color="auto" w:fill="F2F5FA"/>
            <w:vAlign w:val="center"/>
          </w:tcPr>
          <w:p>
            <w:pPr>
              <w:keepNext/>
              <w:spacing w:after="0"/>
            </w:pPr>
            <w:r>
              <w:rPr>
                <w:rFonts w:ascii="游ゴシック" w:hAnsi="游ゴシック" w:eastAsia="游ゴシック"/>
                <w:b/>
                <w:sz w:val="18"/>
              </w:rPr>
              <w:t>保険料収納必要額</w:t>
            </w:r>
          </w:p>
        </w:tc>
        <w:tc>
          <w:tcPr>
            <w:tcW w:type="dxa" w:w="3061"/>
            <w:shd w:val="clear" w:color="auto" w:fill="F2F5FA"/>
            <w:vAlign w:val="center"/>
          </w:tcPr>
          <w:p>
            <w:pPr>
              <w:keepNext/>
              <w:spacing w:after="0"/>
            </w:pPr>
            <w:r>
              <w:rPr>
                <w:rFonts w:ascii="游ゴシック" w:hAnsi="游ゴシック" w:eastAsia="游ゴシック"/>
                <w:b w:val="0"/>
                <w:sz w:val="18"/>
              </w:rPr>
              <w:t>J＝C＋D－E＋F＋G±H－I</w:t>
            </w:r>
          </w:p>
        </w:tc>
        <w:tc>
          <w:tcPr>
            <w:tcW w:type="dxa" w:w="3288"/>
            <w:shd w:val="clear" w:color="auto" w:fill="F2F5FA"/>
            <w:vAlign w:val="center"/>
          </w:tcPr>
          <w:p>
            <w:pPr>
              <w:keepNext/>
              <w:spacing w:after="0"/>
            </w:pPr>
            <w:r>
              <w:rPr>
                <w:rFonts w:ascii="游ゴシック" w:hAnsi="游ゴシック" w:eastAsia="游ゴシック"/>
                <w:b/>
                <w:sz w:val="18"/>
              </w:rPr>
              <w:t>2,088,171,801</w:t>
            </w:r>
          </w:p>
        </w:tc>
      </w:tr>
      <w:tr>
        <w:trPr>
          <w:cantSplit/>
        </w:trPr>
        <w:tc>
          <w:tcPr>
            <w:tcW w:type="dxa" w:w="3402"/>
            <w:vAlign w:val="center"/>
          </w:tcPr>
          <w:p>
            <w:pPr>
              <w:keepNext/>
              <w:spacing w:after="0"/>
            </w:pPr>
            <w:r>
              <w:rPr>
                <w:rFonts w:ascii="游ゴシック" w:hAnsi="游ゴシック" w:eastAsia="游ゴシック"/>
                <w:b/>
                <w:sz w:val="18"/>
              </w:rPr>
              <w:t>財政安定化基金拠出金・償還金等</w:t>
            </w:r>
          </w:p>
        </w:tc>
        <w:tc>
          <w:tcPr>
            <w:tcW w:type="dxa" w:w="3061"/>
            <w:vAlign w:val="center"/>
          </w:tcPr>
          <w:p>
            <w:pPr>
              <w:keepNext/>
              <w:spacing w:after="0"/>
            </w:pPr>
            <w:r>
              <w:rPr>
                <w:rFonts w:ascii="游ゴシック" w:hAnsi="游ゴシック" w:eastAsia="游ゴシック"/>
                <w:b w:val="0"/>
                <w:sz w:val="18"/>
              </w:rPr>
              <w:t>F・G・H</w:t>
            </w:r>
          </w:p>
        </w:tc>
        <w:tc>
          <w:tcPr>
            <w:tcW w:type="dxa" w:w="3288"/>
            <w:vAlign w:val="center"/>
          </w:tcPr>
          <w:p>
            <w:pPr>
              <w:keepNext/>
              <w:spacing w:after="0"/>
            </w:pPr>
            <w:r>
              <w:rPr>
                <w:rFonts w:ascii="游ゴシック" w:hAnsi="游ゴシック" w:eastAsia="游ゴシック"/>
                <w:b/>
                <w:sz w:val="18"/>
              </w:rPr>
              <w:t>0</w:t>
            </w:r>
          </w:p>
        </w:tc>
      </w:tr>
      <w:tr>
        <w:trPr>
          <w:cantSplit/>
        </w:trPr>
        <w:tc>
          <w:tcPr>
            <w:tcW w:type="dxa" w:w="3402"/>
            <w:shd w:val="clear" w:color="auto" w:fill="F2F5FA"/>
            <w:vAlign w:val="center"/>
          </w:tcPr>
          <w:p>
            <w:pPr>
              <w:keepNext/>
              <w:spacing w:after="0"/>
            </w:pPr>
            <w:r>
              <w:rPr>
                <w:rFonts w:ascii="游ゴシック" w:hAnsi="游ゴシック" w:eastAsia="游ゴシック"/>
                <w:b/>
                <w:sz w:val="18"/>
              </w:rPr>
              <w:t>財政調整基金取崩額</w:t>
            </w:r>
          </w:p>
        </w:tc>
        <w:tc>
          <w:tcPr>
            <w:tcW w:type="dxa" w:w="3061"/>
            <w:shd w:val="clear" w:color="auto" w:fill="F2F5FA"/>
            <w:vAlign w:val="center"/>
          </w:tcPr>
          <w:p>
            <w:pPr>
              <w:keepNext/>
              <w:spacing w:after="0"/>
            </w:pPr>
            <w:r>
              <w:rPr>
                <w:rFonts w:ascii="游ゴシック" w:hAnsi="游ゴシック" w:eastAsia="游ゴシック"/>
                <w:b w:val="0"/>
                <w:sz w:val="18"/>
              </w:rPr>
              <w:t>I</w:t>
            </w:r>
          </w:p>
        </w:tc>
        <w:tc>
          <w:tcPr>
            <w:tcW w:type="dxa" w:w="3288"/>
            <w:shd w:val="clear" w:color="auto" w:fill="F2F5FA"/>
            <w:vAlign w:val="center"/>
          </w:tcPr>
          <w:p>
            <w:pPr>
              <w:keepNext/>
              <w:spacing w:after="0"/>
            </w:pPr>
            <w:r>
              <w:rPr>
                <w:rFonts w:ascii="游ゴシック" w:hAnsi="游ゴシック" w:eastAsia="游ゴシック"/>
                <w:b/>
                <w:sz w:val="18"/>
              </w:rPr>
              <w:t>0［要協議］</w:t>
            </w:r>
          </w:p>
        </w:tc>
      </w:tr>
      <w:tr>
        <w:trPr>
          <w:cantSplit/>
        </w:trPr>
        <w:tc>
          <w:tcPr>
            <w:tcW w:type="dxa" w:w="3402"/>
            <w:vAlign w:val="center"/>
          </w:tcPr>
          <w:p>
            <w:pPr>
              <w:keepNext/>
              <w:spacing w:after="0"/>
            </w:pPr>
            <w:r>
              <w:rPr>
                <w:rFonts w:ascii="游ゴシック" w:hAnsi="游ゴシック" w:eastAsia="游ゴシック"/>
                <w:b/>
                <w:sz w:val="18"/>
              </w:rPr>
              <w:t>予定保険料収納率</w:t>
            </w:r>
          </w:p>
        </w:tc>
        <w:tc>
          <w:tcPr>
            <w:tcW w:type="dxa" w:w="3061"/>
            <w:vAlign w:val="center"/>
          </w:tcPr>
          <w:p>
            <w:pPr>
              <w:keepNext/>
              <w:spacing w:after="0"/>
            </w:pPr>
            <w:r>
              <w:rPr>
                <w:rFonts w:ascii="游ゴシック" w:hAnsi="游ゴシック" w:eastAsia="游ゴシック"/>
                <w:b w:val="0"/>
                <w:sz w:val="18"/>
              </w:rPr>
              <w:t>収納率</w:t>
            </w:r>
          </w:p>
        </w:tc>
        <w:tc>
          <w:tcPr>
            <w:tcW w:type="dxa" w:w="3288"/>
            <w:vAlign w:val="center"/>
          </w:tcPr>
          <w:p>
            <w:pPr>
              <w:keepNext/>
              <w:spacing w:after="0"/>
            </w:pPr>
            <w:r>
              <w:rPr>
                <w:rFonts w:ascii="游ゴシック" w:hAnsi="游ゴシック" w:eastAsia="游ゴシック"/>
                <w:b/>
                <w:sz w:val="18"/>
              </w:rPr>
              <w:t>99.0％</w:t>
            </w:r>
          </w:p>
        </w:tc>
      </w:tr>
      <w:tr>
        <w:trPr>
          <w:cantSplit/>
        </w:trPr>
        <w:tc>
          <w:tcPr>
            <w:tcW w:type="dxa" w:w="3402"/>
            <w:shd w:val="clear" w:color="auto" w:fill="F2F5FA"/>
            <w:vAlign w:val="center"/>
          </w:tcPr>
          <w:p>
            <w:pPr>
              <w:keepNext/>
              <w:spacing w:after="0"/>
            </w:pPr>
            <w:r>
              <w:rPr>
                <w:rFonts w:ascii="游ゴシック" w:hAnsi="游ゴシック" w:eastAsia="游ゴシック"/>
                <w:b/>
                <w:sz w:val="18"/>
              </w:rPr>
              <w:t>補正後被保険者数</w:t>
            </w:r>
          </w:p>
        </w:tc>
        <w:tc>
          <w:tcPr>
            <w:tcW w:type="dxa" w:w="3061"/>
            <w:shd w:val="clear" w:color="auto" w:fill="F2F5FA"/>
            <w:vAlign w:val="center"/>
          </w:tcPr>
          <w:p>
            <w:pPr>
              <w:keepNext/>
              <w:spacing w:after="0"/>
            </w:pPr>
            <w:r>
              <w:rPr>
                <w:rFonts w:ascii="游ゴシック" w:hAnsi="游ゴシック" w:eastAsia="游ゴシック"/>
                <w:b w:val="0"/>
                <w:sz w:val="18"/>
              </w:rPr>
              <w:t>所得段階等補正</w:t>
            </w:r>
          </w:p>
        </w:tc>
        <w:tc>
          <w:tcPr>
            <w:tcW w:type="dxa" w:w="3288"/>
            <w:shd w:val="clear" w:color="auto" w:fill="F2F5FA"/>
            <w:vAlign w:val="center"/>
          </w:tcPr>
          <w:p>
            <w:pPr>
              <w:keepNext/>
              <w:spacing w:after="0"/>
            </w:pPr>
            <w:r>
              <w:rPr>
                <w:rFonts w:ascii="游ゴシック" w:hAnsi="游ゴシック" w:eastAsia="游ゴシック"/>
                <w:b/>
                <w:sz w:val="18"/>
              </w:rPr>
              <w:t>27,301.2人</w:t>
            </w:r>
          </w:p>
        </w:tc>
      </w:tr>
      <w:tr>
        <w:trPr>
          <w:cantSplit/>
        </w:trPr>
        <w:tc>
          <w:tcPr>
            <w:tcW w:type="dxa" w:w="3402"/>
            <w:vAlign w:val="center"/>
          </w:tcPr>
          <w:p>
            <w:pPr>
              <w:keepNext/>
              <w:spacing w:after="0"/>
            </w:pPr>
            <w:r>
              <w:rPr>
                <w:rFonts w:ascii="游ゴシック" w:hAnsi="游ゴシック" w:eastAsia="游ゴシック"/>
                <w:b/>
                <w:sz w:val="18"/>
              </w:rPr>
              <w:t>算定上の月額基準額</w:t>
            </w:r>
          </w:p>
        </w:tc>
        <w:tc>
          <w:tcPr>
            <w:tcW w:type="dxa" w:w="3061"/>
            <w:vAlign w:val="center"/>
          </w:tcPr>
          <w:p>
            <w:pPr>
              <w:keepNext/>
              <w:spacing w:after="0"/>
            </w:pPr>
            <w:r>
              <w:rPr>
                <w:rFonts w:ascii="游ゴシック" w:hAnsi="游ゴシック" w:eastAsia="游ゴシック"/>
                <w:b w:val="0"/>
                <w:sz w:val="18"/>
              </w:rPr>
              <w:t>J÷収納率÷補正人数÷12</w:t>
            </w:r>
          </w:p>
        </w:tc>
        <w:tc>
          <w:tcPr>
            <w:tcW w:type="dxa" w:w="3288"/>
            <w:vAlign w:val="center"/>
          </w:tcPr>
          <w:p>
            <w:pPr>
              <w:keepNext/>
              <w:spacing w:after="0"/>
            </w:pPr>
            <w:r>
              <w:rPr>
                <w:rFonts w:ascii="游ゴシック" w:hAnsi="游ゴシック" w:eastAsia="游ゴシック"/>
                <w:b/>
                <w:sz w:val="18"/>
              </w:rPr>
              <w:t>6,438円</w:t>
            </w:r>
          </w:p>
        </w:tc>
      </w:tr>
      <w:tr>
        <w:trPr>
          <w:cantSplit/>
        </w:trPr>
        <w:tc>
          <w:tcPr>
            <w:tcW w:type="dxa" w:w="3402"/>
            <w:shd w:val="clear" w:color="auto" w:fill="F2F5FA"/>
            <w:vAlign w:val="center"/>
          </w:tcPr>
          <w:p>
            <w:pPr>
              <w:spacing w:after="0"/>
            </w:pPr>
            <w:r>
              <w:rPr>
                <w:rFonts w:ascii="游ゴシック" w:hAnsi="游ゴシック" w:eastAsia="游ゴシック"/>
                <w:b/>
                <w:sz w:val="18"/>
              </w:rPr>
              <w:t>採用する月額基準額</w:t>
            </w:r>
          </w:p>
        </w:tc>
        <w:tc>
          <w:tcPr>
            <w:tcW w:type="dxa" w:w="3061"/>
            <w:shd w:val="clear" w:color="auto" w:fill="F2F5FA"/>
            <w:vAlign w:val="center"/>
          </w:tcPr>
          <w:p>
            <w:pPr>
              <w:spacing w:after="0"/>
            </w:pPr>
            <w:r>
              <w:rPr>
                <w:rFonts w:ascii="游ゴシック" w:hAnsi="游ゴシック" w:eastAsia="游ゴシック"/>
                <w:b w:val="0"/>
                <w:sz w:val="18"/>
              </w:rPr>
              <w:t>条例・計画案</w:t>
            </w:r>
          </w:p>
        </w:tc>
        <w:tc>
          <w:tcPr>
            <w:tcW w:type="dxa" w:w="3288"/>
            <w:shd w:val="clear" w:color="auto" w:fill="F2F5FA"/>
            <w:vAlign w:val="center"/>
          </w:tcPr>
          <w:p>
            <w:pPr>
              <w:spacing w:after="0"/>
            </w:pPr>
            <w:r>
              <w:rPr>
                <w:rFonts w:ascii="游ゴシック" w:hAnsi="游ゴシック" w:eastAsia="游ゴシック"/>
                <w:b/>
                <w:sz w:val="18"/>
              </w:rPr>
              <w:t>［要協議］</w:t>
            </w:r>
          </w:p>
        </w:tc>
      </w:tr>
    </w:tbl>
    <w:p>
      <w:pPr>
        <w:spacing w:after="80"/>
      </w:pPr>
      <w:r>
        <w:rPr>
          <w:rFonts w:ascii="游ゴシック" w:hAnsi="游ゴシック" w:eastAsia="游ゴシック"/>
          <w:b w:val="0"/>
          <w:sz w:val="17"/>
        </w:rPr>
        <w:t>資料：サービス見込量の算定、将来推計 第3段階</w:t>
      </w:r>
    </w:p>
    <w:p>
      <w:pPr>
        <w:spacing w:after="80"/>
      </w:pPr>
      <w:r>
        <w:rPr>
          <w:rFonts w:ascii="游ゴシック" w:hAnsi="游ゴシック" w:eastAsia="游ゴシック"/>
          <w:b w:val="0"/>
          <w:sz w:val="20"/>
        </w:rPr>
        <w:t>算定上の月額基準額6,438円は、百円未満を四捨五入すると</w:t>
      </w:r>
      <w:r>
        <w:rPr>
          <w:rFonts w:ascii="游ゴシック" w:hAnsi="游ゴシック" w:eastAsia="游ゴシック"/>
          <w:b/>
          <w:sz w:val="20"/>
        </w:rPr>
        <w:t>6,400円</w:t>
      </w:r>
      <w:r>
        <w:rPr>
          <w:rFonts w:ascii="游ゴシック" w:hAnsi="游ゴシック" w:eastAsia="游ゴシック"/>
          <w:b w:val="0"/>
          <w:sz w:val="20"/>
        </w:rPr>
        <w:t>となり、第9期の基準額6,400円と同額になります。第9期の算定上の月額基準額は6,428円でした。</w:t>
      </w:r>
    </w:p>
    <w:p>
      <w:pPr>
        <w:ind w:left="227"/>
      </w:pPr>
      <w:r>
        <w:rPr>
          <w:rFonts w:ascii="游ゴシック" w:hAnsi="游ゴシック" w:eastAsia="游ゴシック"/>
          <w:b w:val="0"/>
          <w:sz w:val="18"/>
        </w:rPr>
        <w:t>※ 暫定の算定です。第10期の第1号被保険者負担割合、介護報酬改定率、令和7年度末の基金残高、所得段階の政令改正及びサービス見込量の採用値が確定するまでは、条例で定める基準額の算定には用いられません。財政安定化基金拠出金・償還金等（F・G・H）は当広域連合ではいずれも0です。</w:t>
      </w:r>
    </w:p>
    <w:p>
      <w:pPr>
        <w:keepNext/>
        <w:pageBreakBefore w:val="0"/>
        <w:spacing w:before="280" w:after="120"/>
      </w:pPr>
      <w:r>
        <w:rPr>
          <w:rFonts w:ascii="游ゴシック" w:hAnsi="游ゴシック" w:eastAsia="游ゴシック"/>
          <w:b/>
          <w:color w:val="1F3864"/>
          <w:sz w:val="26"/>
        </w:rPr>
        <w:t>第4節　保険料の月額を動かす前提</w:t>
      </w:r>
    </w:p>
    <w:p>
      <w:pPr>
        <w:spacing w:after="80"/>
      </w:pPr>
      <w:r>
        <w:rPr>
          <w:rFonts w:ascii="游ゴシック" w:hAnsi="游ゴシック" w:eastAsia="游ゴシック"/>
          <w:b w:val="0"/>
          <w:sz w:val="20"/>
        </w:rPr>
        <w:t>算定上の月額基準額を動かす前提を、国の告示・公布によるものと広域連合のご判断によるものに分けて掲げます。</w:t>
      </w:r>
      <w:r>
        <w:rPr>
          <w:rFonts w:ascii="游ゴシック" w:hAnsi="游ゴシック" w:eastAsia="游ゴシック"/>
          <w:b/>
          <w:sz w:val="20"/>
        </w:rPr>
        <w:t>いずれも当方の算定には織り込んでいません。</w:t>
      </w:r>
    </w:p>
    <w:p>
      <w:pPr>
        <w:keepNext/>
        <w:spacing w:before="160" w:after="40"/>
      </w:pPr>
      <w:r>
        <w:rPr>
          <w:rFonts w:ascii="游ゴシック" w:hAnsi="游ゴシック" w:eastAsia="游ゴシック"/>
          <w:b/>
          <w:sz w:val="20"/>
        </w:rPr>
        <w:t>表10　月額基準額を動かす前提　8件</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587"/>
            <w:shd w:val="clear" w:color="auto" w:fill="1F3864"/>
            <w:vAlign w:val="center"/>
          </w:tcPr>
          <w:p>
            <w:pPr>
              <w:keepNext/>
              <w:spacing w:after="0"/>
              <w:jc w:val="center"/>
            </w:pPr>
            <w:r>
              <w:rPr>
                <w:rFonts w:ascii="游ゴシック" w:hAnsi="游ゴシック" w:eastAsia="游ゴシック"/>
                <w:b/>
                <w:color w:val="FFFFFF"/>
                <w:sz w:val="18"/>
              </w:rPr>
              <w:t>出どころ</w:t>
            </w:r>
          </w:p>
        </w:tc>
        <w:tc>
          <w:tcPr>
            <w:tcW w:type="dxa" w:w="1928"/>
            <w:shd w:val="clear" w:color="auto" w:fill="1F3864"/>
            <w:vAlign w:val="center"/>
          </w:tcPr>
          <w:p>
            <w:pPr>
              <w:keepNext/>
              <w:spacing w:after="0"/>
              <w:jc w:val="center"/>
            </w:pPr>
            <w:r>
              <w:rPr>
                <w:rFonts w:ascii="游ゴシック" w:hAnsi="游ゴシック" w:eastAsia="游ゴシック"/>
                <w:b/>
                <w:color w:val="FFFFFF"/>
                <w:sz w:val="18"/>
              </w:rPr>
              <w:t>事項</w:t>
            </w:r>
          </w:p>
        </w:tc>
        <w:tc>
          <w:tcPr>
            <w:tcW w:type="dxa" w:w="3515"/>
            <w:shd w:val="clear" w:color="auto" w:fill="1F3864"/>
            <w:vAlign w:val="center"/>
          </w:tcPr>
          <w:p>
            <w:pPr>
              <w:keepNext/>
              <w:spacing w:after="0"/>
              <w:jc w:val="center"/>
            </w:pPr>
            <w:r>
              <w:rPr>
                <w:rFonts w:ascii="游ゴシック" w:hAnsi="游ゴシック" w:eastAsia="游ゴシック"/>
                <w:b/>
                <w:color w:val="FFFFFF"/>
                <w:sz w:val="18"/>
              </w:rPr>
              <w:t>当方の置き方</w:t>
            </w:r>
          </w:p>
        </w:tc>
        <w:tc>
          <w:tcPr>
            <w:tcW w:type="dxa" w:w="2721"/>
            <w:shd w:val="clear" w:color="auto" w:fill="1F3864"/>
            <w:vAlign w:val="center"/>
          </w:tcPr>
          <w:p>
            <w:pPr>
              <w:keepNext/>
              <w:spacing w:after="0"/>
              <w:jc w:val="center"/>
            </w:pPr>
            <w:r>
              <w:rPr>
                <w:rFonts w:ascii="游ゴシック" w:hAnsi="游ゴシック" w:eastAsia="游ゴシック"/>
                <w:b/>
                <w:color w:val="FFFFFF"/>
                <w:sz w:val="18"/>
              </w:rPr>
              <w:t>月額への効き</w:t>
            </w:r>
          </w:p>
        </w:tc>
      </w:tr>
      <w:tr>
        <w:trPr>
          <w:cantSplit/>
        </w:trPr>
        <w:tc>
          <w:tcPr>
            <w:tcW w:type="dxa" w:w="1587"/>
            <w:vAlign w:val="center"/>
          </w:tcPr>
          <w:p>
            <w:pPr>
              <w:keepNext/>
              <w:spacing w:after="0"/>
            </w:pPr>
            <w:r>
              <w:rPr>
                <w:rFonts w:ascii="游ゴシック" w:hAnsi="游ゴシック" w:eastAsia="游ゴシック"/>
                <w:b w:val="0"/>
                <w:sz w:val="18"/>
              </w:rPr>
              <w:t>国の告示・公布</w:t>
            </w:r>
          </w:p>
        </w:tc>
        <w:tc>
          <w:tcPr>
            <w:tcW w:type="dxa" w:w="1928"/>
            <w:vAlign w:val="center"/>
          </w:tcPr>
          <w:p>
            <w:pPr>
              <w:keepNext/>
              <w:spacing w:after="0"/>
            </w:pPr>
            <w:r>
              <w:rPr>
                <w:rFonts w:ascii="游ゴシック" w:hAnsi="游ゴシック" w:eastAsia="游ゴシック"/>
                <w:b w:val="0"/>
                <w:sz w:val="18"/>
              </w:rPr>
              <w:t>1人あたり給付費（単価）</w:t>
            </w:r>
          </w:p>
        </w:tc>
        <w:tc>
          <w:tcPr>
            <w:tcW w:type="dxa" w:w="3515"/>
            <w:vAlign w:val="center"/>
          </w:tcPr>
          <w:p>
            <w:pPr>
              <w:keepNext/>
              <w:spacing w:after="0"/>
            </w:pPr>
            <w:r>
              <w:rPr>
                <w:rFonts w:ascii="游ゴシック" w:hAnsi="游ゴシック" w:eastAsia="游ゴシック"/>
                <w:b w:val="0"/>
                <w:sz w:val="18"/>
              </w:rPr>
              <w:t>令和7年度の実績単価で固定した。改定率を乗じた場合の感度をサービス見込量の算定に示した</w:t>
            </w:r>
          </w:p>
        </w:tc>
        <w:tc>
          <w:tcPr>
            <w:tcW w:type="dxa" w:w="2721"/>
            <w:vAlign w:val="center"/>
          </w:tcPr>
          <w:p>
            <w:pPr>
              <w:keepNext/>
              <w:spacing w:after="0"/>
            </w:pPr>
            <w:r>
              <w:rPr>
                <w:rFonts w:ascii="游ゴシック" w:hAnsi="游ゴシック" w:eastAsia="游ゴシック"/>
                <w:b/>
                <w:sz w:val="18"/>
              </w:rPr>
              <w:t>改定率1％あたり月額＋61円。単価の年率1.32％から1.75％の伸びを見込まないことは月額＋245円〜＋327円に当たり、令和8年度の水準（残差＋1.63％）に置くと月額＋99円（確認事項No.104）</w:t>
            </w:r>
          </w:p>
        </w:tc>
      </w:tr>
      <w:tr>
        <w:trPr>
          <w:cantSplit/>
        </w:trPr>
        <w:tc>
          <w:tcPr>
            <w:tcW w:type="dxa" w:w="1587"/>
            <w:shd w:val="clear" w:color="auto" w:fill="F2F5FA"/>
            <w:vAlign w:val="center"/>
          </w:tcPr>
          <w:p>
            <w:pPr>
              <w:keepNext/>
              <w:spacing w:after="0"/>
            </w:pPr>
            <w:r>
              <w:rPr>
                <w:rFonts w:ascii="游ゴシック" w:hAnsi="游ゴシック" w:eastAsia="游ゴシック"/>
                <w:b w:val="0"/>
                <w:sz w:val="18"/>
              </w:rPr>
              <w:t>国の告示・公布</w:t>
            </w:r>
          </w:p>
        </w:tc>
        <w:tc>
          <w:tcPr>
            <w:tcW w:type="dxa" w:w="1928"/>
            <w:shd w:val="clear" w:color="auto" w:fill="F2F5FA"/>
            <w:vAlign w:val="center"/>
          </w:tcPr>
          <w:p>
            <w:pPr>
              <w:keepNext/>
              <w:spacing w:after="0"/>
            </w:pPr>
            <w:r>
              <w:rPr>
                <w:rFonts w:ascii="游ゴシック" w:hAnsi="游ゴシック" w:eastAsia="游ゴシック"/>
                <w:b w:val="0"/>
                <w:sz w:val="18"/>
              </w:rPr>
              <w:t>第1号被保険者負担割合</w:t>
            </w:r>
          </w:p>
        </w:tc>
        <w:tc>
          <w:tcPr>
            <w:tcW w:type="dxa" w:w="3515"/>
            <w:shd w:val="clear" w:color="auto" w:fill="F2F5FA"/>
            <w:vAlign w:val="center"/>
          </w:tcPr>
          <w:p>
            <w:pPr>
              <w:keepNext/>
              <w:spacing w:after="0"/>
            </w:pPr>
            <w:r>
              <w:rPr>
                <w:rFonts w:ascii="游ゴシック" w:hAnsi="游ゴシック" w:eastAsia="游ゴシック"/>
                <w:b w:val="0"/>
                <w:sz w:val="18"/>
              </w:rPr>
              <w:t>第9期と同じ23％で置いた</w:t>
            </w:r>
          </w:p>
        </w:tc>
        <w:tc>
          <w:tcPr>
            <w:tcW w:type="dxa" w:w="2721"/>
            <w:shd w:val="clear" w:color="auto" w:fill="F2F5FA"/>
            <w:vAlign w:val="center"/>
          </w:tcPr>
          <w:p>
            <w:pPr>
              <w:keepNext/>
              <w:spacing w:after="0"/>
            </w:pPr>
            <w:r>
              <w:rPr>
                <w:rFonts w:ascii="游ゴシック" w:hAnsi="游ゴシック" w:eastAsia="游ゴシック"/>
                <w:b/>
                <w:sz w:val="18"/>
              </w:rPr>
              <w:t>1ポイントの違いで月額が約290円動く</w:t>
            </w:r>
          </w:p>
        </w:tc>
      </w:tr>
      <w:tr>
        <w:trPr>
          <w:cantSplit/>
        </w:trPr>
        <w:tc>
          <w:tcPr>
            <w:tcW w:type="dxa" w:w="1587"/>
            <w:vAlign w:val="center"/>
          </w:tcPr>
          <w:p>
            <w:pPr>
              <w:keepNext/>
              <w:spacing w:after="0"/>
            </w:pPr>
            <w:r>
              <w:rPr>
                <w:rFonts w:ascii="游ゴシック" w:hAnsi="游ゴシック" w:eastAsia="游ゴシック"/>
                <w:b w:val="0"/>
                <w:sz w:val="18"/>
              </w:rPr>
              <w:t>広域連合のご判断・資料</w:t>
            </w:r>
          </w:p>
        </w:tc>
        <w:tc>
          <w:tcPr>
            <w:tcW w:type="dxa" w:w="1928"/>
            <w:vAlign w:val="center"/>
          </w:tcPr>
          <w:p>
            <w:pPr>
              <w:keepNext/>
              <w:spacing w:after="0"/>
            </w:pPr>
            <w:r>
              <w:rPr>
                <w:rFonts w:ascii="游ゴシック" w:hAnsi="游ゴシック" w:eastAsia="游ゴシック"/>
                <w:b w:val="0"/>
                <w:sz w:val="18"/>
              </w:rPr>
              <w:t>総合事業費</w:t>
            </w:r>
          </w:p>
        </w:tc>
        <w:tc>
          <w:tcPr>
            <w:tcW w:type="dxa" w:w="3515"/>
            <w:vAlign w:val="center"/>
          </w:tcPr>
          <w:p>
            <w:pPr>
              <w:keepNext/>
              <w:spacing w:after="0"/>
            </w:pPr>
            <w:r>
              <w:rPr>
                <w:rFonts w:ascii="游ゴシック" w:hAnsi="游ゴシック" w:eastAsia="游ゴシック"/>
                <w:b w:val="0"/>
                <w:sz w:val="18"/>
              </w:rPr>
              <w:t>令和6年度の計画作成支援ツールの値（3町計107,129,318円）を3年据え置いた</w:t>
            </w:r>
          </w:p>
        </w:tc>
        <w:tc>
          <w:tcPr>
            <w:tcW w:type="dxa" w:w="2721"/>
            <w:vAlign w:val="center"/>
          </w:tcPr>
          <w:p>
            <w:pPr>
              <w:keepNext/>
              <w:spacing w:after="0"/>
            </w:pPr>
            <w:r>
              <w:rPr>
                <w:rFonts w:ascii="游ゴシック" w:hAnsi="游ゴシック" w:eastAsia="游ゴシック"/>
                <w:b/>
                <w:sz w:val="18"/>
              </w:rPr>
              <w:t>調整交付金の算定基礎に入る。差5,854,697円で月額約▲7円</w:t>
            </w:r>
          </w:p>
        </w:tc>
      </w:tr>
      <w:tr>
        <w:trPr>
          <w:cantSplit/>
        </w:trPr>
        <w:tc>
          <w:tcPr>
            <w:tcW w:type="dxa" w:w="1587"/>
            <w:shd w:val="clear" w:color="auto" w:fill="F2F5FA"/>
            <w:vAlign w:val="center"/>
          </w:tcPr>
          <w:p>
            <w:pPr>
              <w:keepNext/>
              <w:spacing w:after="0"/>
            </w:pPr>
            <w:r>
              <w:rPr>
                <w:rFonts w:ascii="游ゴシック" w:hAnsi="游ゴシック" w:eastAsia="游ゴシック"/>
                <w:b w:val="0"/>
                <w:sz w:val="18"/>
              </w:rPr>
              <w:t>広域連合のご判断・資料</w:t>
            </w:r>
          </w:p>
        </w:tc>
        <w:tc>
          <w:tcPr>
            <w:tcW w:type="dxa" w:w="1928"/>
            <w:shd w:val="clear" w:color="auto" w:fill="F2F5FA"/>
            <w:vAlign w:val="center"/>
          </w:tcPr>
          <w:p>
            <w:pPr>
              <w:keepNext/>
              <w:spacing w:after="0"/>
            </w:pPr>
            <w:r>
              <w:rPr>
                <w:rFonts w:ascii="游ゴシック" w:hAnsi="游ゴシック" w:eastAsia="游ゴシック"/>
                <w:b w:val="0"/>
                <w:sz w:val="18"/>
              </w:rPr>
              <w:t>対計画比の偏りの補正</w:t>
            </w:r>
          </w:p>
        </w:tc>
        <w:tc>
          <w:tcPr>
            <w:tcW w:type="dxa" w:w="3515"/>
            <w:shd w:val="clear" w:color="auto" w:fill="F2F5FA"/>
            <w:vAlign w:val="center"/>
          </w:tcPr>
          <w:p>
            <w:pPr>
              <w:keepNext/>
              <w:spacing w:after="0"/>
            </w:pPr>
            <w:r>
              <w:rPr>
                <w:rFonts w:ascii="游ゴシック" w:hAnsi="游ゴシック" w:eastAsia="游ゴシック"/>
                <w:b w:val="0"/>
                <w:sz w:val="18"/>
              </w:rPr>
              <w:t>補正を行わない（一律の伸び）。見込量はサービス別の伸びの差を織り込んでいない</w:t>
            </w:r>
          </w:p>
        </w:tc>
        <w:tc>
          <w:tcPr>
            <w:tcW w:type="dxa" w:w="2721"/>
            <w:shd w:val="clear" w:color="auto" w:fill="F2F5FA"/>
            <w:vAlign w:val="center"/>
          </w:tcPr>
          <w:p>
            <w:pPr>
              <w:keepNext/>
              <w:spacing w:after="0"/>
            </w:pPr>
            <w:r>
              <w:rPr>
                <w:rFonts w:ascii="游ゴシック" w:hAnsi="游ゴシック" w:eastAsia="游ゴシック"/>
                <w:b/>
                <w:sz w:val="18"/>
              </w:rPr>
              <w:t>補正のみで月額▲58円、施設・居住系を減らさない条件を加えると＋48円</w:t>
            </w:r>
          </w:p>
        </w:tc>
      </w:tr>
      <w:tr>
        <w:trPr>
          <w:cantSplit/>
        </w:trPr>
        <w:tc>
          <w:tcPr>
            <w:tcW w:type="dxa" w:w="1587"/>
            <w:vAlign w:val="center"/>
          </w:tcPr>
          <w:p>
            <w:pPr>
              <w:keepNext/>
              <w:spacing w:after="0"/>
            </w:pPr>
            <w:r>
              <w:rPr>
                <w:rFonts w:ascii="游ゴシック" w:hAnsi="游ゴシック" w:eastAsia="游ゴシック"/>
                <w:b w:val="0"/>
                <w:sz w:val="18"/>
              </w:rPr>
              <w:t>広域連合のご判断・資料</w:t>
            </w:r>
          </w:p>
        </w:tc>
        <w:tc>
          <w:tcPr>
            <w:tcW w:type="dxa" w:w="1928"/>
            <w:vAlign w:val="center"/>
          </w:tcPr>
          <w:p>
            <w:pPr>
              <w:keepNext/>
              <w:spacing w:after="0"/>
            </w:pPr>
            <w:r>
              <w:rPr>
                <w:rFonts w:ascii="游ゴシック" w:hAnsi="游ゴシック" w:eastAsia="游ゴシック"/>
                <w:b w:val="0"/>
                <w:sz w:val="18"/>
              </w:rPr>
              <w:t>施策の反映</w:t>
            </w:r>
          </w:p>
        </w:tc>
        <w:tc>
          <w:tcPr>
            <w:tcW w:type="dxa" w:w="3515"/>
            <w:vAlign w:val="center"/>
          </w:tcPr>
          <w:p>
            <w:pPr>
              <w:keepNext/>
              <w:spacing w:after="0"/>
            </w:pPr>
            <w:r>
              <w:rPr>
                <w:rFonts w:ascii="游ゴシック" w:hAnsi="游ゴシック" w:eastAsia="游ゴシック"/>
                <w:b w:val="0"/>
                <w:sz w:val="18"/>
              </w:rPr>
              <w:t>施策による見込量の増減を織り込まない（自然体）</w:t>
            </w:r>
          </w:p>
        </w:tc>
        <w:tc>
          <w:tcPr>
            <w:tcW w:type="dxa" w:w="2721"/>
            <w:vAlign w:val="center"/>
          </w:tcPr>
          <w:p>
            <w:pPr>
              <w:keepNext/>
              <w:spacing w:after="0"/>
            </w:pPr>
            <w:r>
              <w:rPr>
                <w:rFonts w:ascii="游ゴシック" w:hAnsi="游ゴシック" w:eastAsia="游ゴシック"/>
                <w:b/>
                <w:sz w:val="18"/>
              </w:rPr>
              <w:t>数値を置ける施策は定期巡回の整備のみで月額＋2〜＋13円</w:t>
            </w:r>
          </w:p>
        </w:tc>
      </w:tr>
      <w:tr>
        <w:trPr>
          <w:cantSplit/>
        </w:trPr>
        <w:tc>
          <w:tcPr>
            <w:tcW w:type="dxa" w:w="1587"/>
            <w:shd w:val="clear" w:color="auto" w:fill="F2F5FA"/>
            <w:vAlign w:val="center"/>
          </w:tcPr>
          <w:p>
            <w:pPr>
              <w:keepNext/>
              <w:spacing w:after="0"/>
            </w:pPr>
            <w:r>
              <w:rPr>
                <w:rFonts w:ascii="游ゴシック" w:hAnsi="游ゴシック" w:eastAsia="游ゴシック"/>
                <w:b w:val="0"/>
                <w:sz w:val="18"/>
              </w:rPr>
              <w:t>広域連合のご判断・資料</w:t>
            </w:r>
          </w:p>
        </w:tc>
        <w:tc>
          <w:tcPr>
            <w:tcW w:type="dxa" w:w="1928"/>
            <w:shd w:val="clear" w:color="auto" w:fill="F2F5FA"/>
            <w:vAlign w:val="center"/>
          </w:tcPr>
          <w:p>
            <w:pPr>
              <w:keepNext/>
              <w:spacing w:after="0"/>
            </w:pPr>
            <w:r>
              <w:rPr>
                <w:rFonts w:ascii="游ゴシック" w:hAnsi="游ゴシック" w:eastAsia="游ゴシック"/>
                <w:b w:val="0"/>
                <w:sz w:val="18"/>
              </w:rPr>
              <w:t>給付適正化による抑制</w:t>
            </w:r>
          </w:p>
        </w:tc>
        <w:tc>
          <w:tcPr>
            <w:tcW w:type="dxa" w:w="3515"/>
            <w:shd w:val="clear" w:color="auto" w:fill="F2F5FA"/>
            <w:vAlign w:val="center"/>
          </w:tcPr>
          <w:p>
            <w:pPr>
              <w:keepNext/>
              <w:spacing w:after="0"/>
            </w:pPr>
            <w:r>
              <w:rPr>
                <w:rFonts w:ascii="游ゴシック" w:hAnsi="游ゴシック" w:eastAsia="游ゴシック"/>
                <w:b w:val="0"/>
                <w:sz w:val="18"/>
              </w:rPr>
              <w:t>抑制を織り込まない（安全側）</w:t>
            </w:r>
          </w:p>
        </w:tc>
        <w:tc>
          <w:tcPr>
            <w:tcW w:type="dxa" w:w="2721"/>
            <w:shd w:val="clear" w:color="auto" w:fill="F2F5FA"/>
            <w:vAlign w:val="center"/>
          </w:tcPr>
          <w:p>
            <w:pPr>
              <w:keepNext/>
              <w:spacing w:after="0"/>
            </w:pPr>
            <w:r>
              <w:rPr>
                <w:rFonts w:ascii="游ゴシック" w:hAnsi="游ゴシック" w:eastAsia="游ゴシック"/>
                <w:b/>
                <w:sz w:val="18"/>
              </w:rPr>
              <w:t>対象4サービスは総給付費の7.70％。10％抑制でも月額▲47円</w:t>
            </w:r>
          </w:p>
        </w:tc>
      </w:tr>
      <w:tr>
        <w:trPr>
          <w:cantSplit/>
        </w:trPr>
        <w:tc>
          <w:tcPr>
            <w:tcW w:type="dxa" w:w="1587"/>
            <w:vAlign w:val="center"/>
          </w:tcPr>
          <w:p>
            <w:pPr>
              <w:keepNext/>
              <w:spacing w:after="0"/>
            </w:pPr>
            <w:r>
              <w:rPr>
                <w:rFonts w:ascii="游ゴシック" w:hAnsi="游ゴシック" w:eastAsia="游ゴシック"/>
                <w:b w:val="0"/>
                <w:sz w:val="18"/>
              </w:rPr>
              <w:t>広域連合のご判断・資料</w:t>
            </w:r>
          </w:p>
        </w:tc>
        <w:tc>
          <w:tcPr>
            <w:tcW w:type="dxa" w:w="1928"/>
            <w:vAlign w:val="center"/>
          </w:tcPr>
          <w:p>
            <w:pPr>
              <w:keepNext/>
              <w:spacing w:after="0"/>
            </w:pPr>
            <w:r>
              <w:rPr>
                <w:rFonts w:ascii="游ゴシック" w:hAnsi="游ゴシック" w:eastAsia="游ゴシック"/>
                <w:b w:val="0"/>
                <w:sz w:val="18"/>
              </w:rPr>
              <w:t>予定保険料収納率</w:t>
            </w:r>
          </w:p>
        </w:tc>
        <w:tc>
          <w:tcPr>
            <w:tcW w:type="dxa" w:w="3515"/>
            <w:vAlign w:val="center"/>
          </w:tcPr>
          <w:p>
            <w:pPr>
              <w:keepNext/>
              <w:spacing w:after="0"/>
            </w:pPr>
            <w:r>
              <w:rPr>
                <w:rFonts w:ascii="游ゴシック" w:hAnsi="游ゴシック" w:eastAsia="游ゴシック"/>
                <w:b w:val="0"/>
                <w:sz w:val="18"/>
              </w:rPr>
              <w:t>第9期と同じ99.0％で置いた</w:t>
            </w:r>
          </w:p>
        </w:tc>
        <w:tc>
          <w:tcPr>
            <w:tcW w:type="dxa" w:w="2721"/>
            <w:vAlign w:val="center"/>
          </w:tcPr>
          <w:p>
            <w:pPr>
              <w:keepNext/>
              <w:spacing w:after="0"/>
            </w:pPr>
            <w:r>
              <w:rPr>
                <w:rFonts w:ascii="游ゴシック" w:hAnsi="游ゴシック" w:eastAsia="游ゴシック"/>
                <w:b/>
                <w:sz w:val="18"/>
              </w:rPr>
              <w:t>0.1ポイントで月額約6円</w:t>
            </w:r>
          </w:p>
        </w:tc>
      </w:tr>
      <w:tr>
        <w:trPr>
          <w:cantSplit/>
        </w:trPr>
        <w:tc>
          <w:tcPr>
            <w:tcW w:type="dxa" w:w="1587"/>
            <w:shd w:val="clear" w:color="auto" w:fill="F2F5FA"/>
            <w:vAlign w:val="center"/>
          </w:tcPr>
          <w:p>
            <w:pPr>
              <w:spacing w:after="0"/>
            </w:pPr>
            <w:r>
              <w:rPr>
                <w:rFonts w:ascii="游ゴシック" w:hAnsi="游ゴシック" w:eastAsia="游ゴシック"/>
                <w:b w:val="0"/>
                <w:sz w:val="18"/>
              </w:rPr>
              <w:t>広域連合のご判断・資料</w:t>
            </w:r>
          </w:p>
        </w:tc>
        <w:tc>
          <w:tcPr>
            <w:tcW w:type="dxa" w:w="1928"/>
            <w:shd w:val="clear" w:color="auto" w:fill="F2F5FA"/>
            <w:vAlign w:val="center"/>
          </w:tcPr>
          <w:p>
            <w:pPr>
              <w:spacing w:after="0"/>
            </w:pPr>
            <w:r>
              <w:rPr>
                <w:rFonts w:ascii="游ゴシック" w:hAnsi="游ゴシック" w:eastAsia="游ゴシック"/>
                <w:b w:val="0"/>
                <w:sz w:val="18"/>
              </w:rPr>
              <w:t>基金の取崩し</w:t>
            </w:r>
          </w:p>
        </w:tc>
        <w:tc>
          <w:tcPr>
            <w:tcW w:type="dxa" w:w="3515"/>
            <w:shd w:val="clear" w:color="auto" w:fill="F2F5FA"/>
            <w:vAlign w:val="center"/>
          </w:tcPr>
          <w:p>
            <w:pPr>
              <w:spacing w:after="0"/>
            </w:pPr>
            <w:r>
              <w:rPr>
                <w:rFonts w:ascii="游ゴシック" w:hAnsi="游ゴシック" w:eastAsia="游ゴシック"/>
                <w:b w:val="0"/>
                <w:sz w:val="18"/>
              </w:rPr>
              <w:t>取崩しを行わない（I＝0）</w:t>
            </w:r>
          </w:p>
        </w:tc>
        <w:tc>
          <w:tcPr>
            <w:tcW w:type="dxa" w:w="2721"/>
            <w:shd w:val="clear" w:color="auto" w:fill="F2F5FA"/>
            <w:vAlign w:val="center"/>
          </w:tcPr>
          <w:p>
            <w:pPr>
              <w:spacing w:after="0"/>
            </w:pPr>
            <w:r>
              <w:rPr>
                <w:rFonts w:ascii="游ゴシック" w:hAnsi="游ゴシック" w:eastAsia="游ゴシック"/>
                <w:b/>
                <w:sz w:val="18"/>
              </w:rPr>
              <w:t>1億円の取崩しで月額約▲310円</w:t>
            </w:r>
          </w:p>
        </w:tc>
      </w:tr>
    </w:tbl>
    <w:p>
      <w:pPr>
        <w:spacing w:after="80"/>
      </w:pPr>
      <w:r>
        <w:rPr>
          <w:rFonts w:ascii="游ゴシック" w:hAnsi="游ゴシック" w:eastAsia="游ゴシック"/>
          <w:b w:val="0"/>
          <w:sz w:val="17"/>
        </w:rPr>
        <w:t>資料：サービス見込量の算定、対計画比の偏りの補正試算</w:t>
      </w:r>
    </w:p>
    <w:p>
      <w:pPr>
        <w:spacing w:after="80"/>
      </w:pPr>
      <w:r>
        <w:rPr>
          <w:rFonts w:ascii="游ゴシック" w:hAnsi="游ゴシック" w:eastAsia="游ゴシック"/>
          <w:b w:val="0"/>
          <w:sz w:val="20"/>
        </w:rPr>
        <w:t>介護報酬改定率は1％当たり月額＋61円です。令和9年度は改定の年に当たり、加えて令和9年度改定を待たず令和8年度にも改定が行われることとされています。基準年度である令和7年度の単価には令和8年度改定が反映されていないため、</w:t>
      </w:r>
      <w:r>
        <w:rPr>
          <w:rFonts w:ascii="游ゴシック" w:hAnsi="游ゴシック" w:eastAsia="游ゴシック"/>
          <w:b/>
          <w:sz w:val="20"/>
        </w:rPr>
        <w:t>単価を令和7年度で固定することは2回分の改定を織り込んでいません。</w:t>
      </w:r>
    </w:p>
    <w:p>
      <w:pPr>
        <w:spacing w:after="80"/>
      </w:pPr>
      <w:r>
        <w:rPr>
          <w:rFonts w:ascii="游ゴシック" w:hAnsi="游ゴシック" w:eastAsia="游ゴシック"/>
          <w:b/>
          <w:sz w:val="20"/>
        </w:rPr>
        <w:t>上向きに働くものの多くは国の告示・公布によるもので、資料のご提供とは関わりなく生じます。下向きに働くものはいずれも織り込んでいません。</w:t>
      </w:r>
      <w:r>
        <w:rPr>
          <w:rFonts w:ascii="游ゴシック" w:hAnsi="游ゴシック" w:eastAsia="游ゴシック"/>
          <w:b w:val="0"/>
          <w:sz w:val="20"/>
        </w:rPr>
        <w:t xml:space="preserve"> したがって現在の算定は、保険料が低く出る側に偏っています。</w:t>
      </w:r>
    </w:p>
    <w:p>
      <w:pPr>
        <w:ind w:left="227"/>
      </w:pPr>
      <w:r>
        <w:rPr>
          <w:rFonts w:ascii="游ゴシック" w:hAnsi="游ゴシック" w:eastAsia="游ゴシック"/>
          <w:b w:val="0"/>
          <w:sz w:val="18"/>
        </w:rPr>
        <w:t>※ 各欄は、当方の算定から当該の前提のみを動かした場合の値です。複数を同時に動かした場合の値ではありません。改定率を乗じることと単価の趨勢を延ばすことを重ねると二重になります。</w:t>
      </w:r>
    </w:p>
    <w:p>
      <w:pPr>
        <w:keepNext/>
        <w:spacing w:before="180" w:after="60"/>
      </w:pPr>
      <w:r>
        <w:rPr>
          <w:rFonts w:ascii="游ゴシック" w:hAnsi="游ゴシック" w:eastAsia="游ゴシック"/>
          <w:b/>
          <w:sz w:val="22"/>
        </w:rPr>
        <w:t>調整交付金の一定の取組による減額</w:t>
      </w:r>
    </w:p>
    <w:p>
      <w:pPr>
        <w:spacing w:after="80"/>
      </w:pPr>
      <w:r>
        <w:rPr>
          <w:rFonts w:ascii="游ゴシック" w:hAnsi="游ゴシック" w:eastAsia="游ゴシック"/>
          <w:b w:val="0"/>
          <w:sz w:val="20"/>
        </w:rPr>
        <w:t>令和8年9月18日の社会保障審議会介護保険部会において、調整交付金の年齢区分の精緻化により交付額が増加する保険者について、介護給付適正化の主要3事業のいずれかを実施していない場合に</w:t>
      </w:r>
      <w:r>
        <w:rPr>
          <w:rFonts w:ascii="游ゴシック" w:hAnsi="游ゴシック" w:eastAsia="游ゴシック"/>
          <w:b/>
          <w:sz w:val="20"/>
        </w:rPr>
        <w:t>増加した額の5％を減額する</w:t>
      </w:r>
      <w:r>
        <w:rPr>
          <w:rFonts w:ascii="游ゴシック" w:hAnsi="游ゴシック" w:eastAsia="游ゴシック"/>
          <w:b w:val="0"/>
          <w:sz w:val="20"/>
        </w:rPr>
        <w:t>こととされました。</w:t>
      </w:r>
      <w:r>
        <w:rPr>
          <w:rFonts w:ascii="游ゴシック" w:hAnsi="游ゴシック" w:eastAsia="游ゴシック"/>
          <w:b/>
          <w:sz w:val="20"/>
        </w:rPr>
        <w:t>当広域連合はケアプラン等の点検を実施していないため該当します。</w:t>
      </w:r>
      <w:r>
        <w:rPr>
          <w:rFonts w:ascii="游ゴシック" w:hAnsi="游ゴシック" w:eastAsia="游ゴシック"/>
          <w:b w:val="0"/>
          <w:sz w:val="20"/>
        </w:rPr>
        <w:t xml:space="preserve"> 減額の額は年齢区分の精緻化による増加額によって決まるため、当広域連合に係る交付割合が示されるまでは算定できません。大きさを見るために調整交付金見込額が5％減少した場合の値を示すと</w:t>
      </w:r>
      <w:r>
        <w:rPr>
          <w:rFonts w:ascii="游ゴシック" w:hAnsi="游ゴシック" w:eastAsia="游ゴシック"/>
          <w:b/>
          <w:sz w:val="20"/>
        </w:rPr>
        <w:t>月額＋112円</w:t>
      </w:r>
      <w:r>
        <w:rPr>
          <w:rFonts w:ascii="游ゴシック" w:hAnsi="游ゴシック" w:eastAsia="游ゴシック"/>
          <w:b w:val="0"/>
          <w:sz w:val="20"/>
        </w:rPr>
        <w:t>となります。</w:t>
      </w:r>
    </w:p>
    <w:p>
      <w:pPr>
        <w:ind w:left="227"/>
      </w:pPr>
      <w:r>
        <w:rPr>
          <w:rFonts w:ascii="游ゴシック" w:hAnsi="游ゴシック" w:eastAsia="游ゴシック"/>
          <w:b w:val="0"/>
          <w:sz w:val="18"/>
        </w:rPr>
        <w:t>※ 月額＋112円は、調整交付金見込額（E　729,464,444円）が5％減少した場合の値であり、減額の見込額ではありません。年齢区分の精緻化により交付額が増加しない場合は減額は生じません。年齢区分は令和9年4月の介護保険事業状況報告から3区分を7区分に改め、令和10年度の財政調整交付金から適用されます［要確認］。</w:t>
      </w:r>
    </w:p>
    <w:p>
      <w:pPr>
        <w:keepNext/>
        <w:pageBreakBefore w:val="0"/>
        <w:spacing w:before="280" w:after="120"/>
      </w:pPr>
      <w:r>
        <w:rPr>
          <w:rFonts w:ascii="游ゴシック" w:hAnsi="游ゴシック" w:eastAsia="游ゴシック"/>
          <w:b/>
          <w:color w:val="1F3864"/>
          <w:sz w:val="26"/>
        </w:rPr>
        <w:t>第5節　令和8年9月の制度の動向と構成3町に関わる対応</w:t>
      </w:r>
    </w:p>
    <w:p>
      <w:pPr>
        <w:spacing w:after="80"/>
      </w:pPr>
      <w:r>
        <w:rPr>
          <w:rFonts w:ascii="游ゴシック" w:hAnsi="游ゴシック" w:eastAsia="游ゴシック"/>
          <w:b w:val="0"/>
          <w:sz w:val="20"/>
        </w:rPr>
        <w:t>第136回社会保障審議会介護保険部会（令和8年9月18日）において示された事項のうち、構成3町に関わるものです。いずれも計画素案へ反映しています（新たな章・節は起こしていません）。</w:t>
      </w:r>
    </w:p>
    <w:p>
      <w:pPr>
        <w:keepNext/>
        <w:spacing w:before="160" w:after="40"/>
      </w:pPr>
      <w:r>
        <w:rPr>
          <w:rFonts w:ascii="游ゴシック" w:hAnsi="游ゴシック" w:eastAsia="游ゴシック"/>
          <w:b/>
          <w:sz w:val="20"/>
        </w:rPr>
        <w:t>表11　令和8年9月18日の介護保険部会で示された事項　9件</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814"/>
            <w:shd w:val="clear" w:color="auto" w:fill="1F3864"/>
            <w:vAlign w:val="center"/>
          </w:tcPr>
          <w:p>
            <w:pPr>
              <w:spacing w:after="0"/>
              <w:jc w:val="center"/>
            </w:pPr>
            <w:r>
              <w:rPr>
                <w:rFonts w:ascii="游ゴシック" w:hAnsi="游ゴシック" w:eastAsia="游ゴシック"/>
                <w:b/>
                <w:color w:val="FFFFFF"/>
                <w:sz w:val="16"/>
              </w:rPr>
              <w:t>事項</w:t>
            </w:r>
          </w:p>
        </w:tc>
        <w:tc>
          <w:tcPr>
            <w:tcW w:type="dxa" w:w="2835"/>
            <w:shd w:val="clear" w:color="auto" w:fill="1F3864"/>
            <w:vAlign w:val="center"/>
          </w:tcPr>
          <w:p>
            <w:pPr>
              <w:spacing w:after="0"/>
              <w:jc w:val="center"/>
            </w:pPr>
            <w:r>
              <w:rPr>
                <w:rFonts w:ascii="游ゴシック" w:hAnsi="游ゴシック" w:eastAsia="游ゴシック"/>
                <w:b/>
                <w:color w:val="FFFFFF"/>
                <w:sz w:val="16"/>
              </w:rPr>
              <w:t>国が示した内容</w:t>
            </w:r>
          </w:p>
        </w:tc>
        <w:tc>
          <w:tcPr>
            <w:tcW w:type="dxa" w:w="3288"/>
            <w:shd w:val="clear" w:color="auto" w:fill="1F3864"/>
            <w:vAlign w:val="center"/>
          </w:tcPr>
          <w:p>
            <w:pPr>
              <w:spacing w:after="0"/>
              <w:jc w:val="center"/>
            </w:pPr>
            <w:r>
              <w:rPr>
                <w:rFonts w:ascii="游ゴシック" w:hAnsi="游ゴシック" w:eastAsia="游ゴシック"/>
                <w:b/>
                <w:color w:val="FFFFFF"/>
                <w:sz w:val="16"/>
              </w:rPr>
              <w:t>構成3町に関わること</w:t>
            </w:r>
          </w:p>
        </w:tc>
        <w:tc>
          <w:tcPr>
            <w:tcW w:type="dxa" w:w="1814"/>
            <w:shd w:val="clear" w:color="auto" w:fill="1F3864"/>
            <w:vAlign w:val="center"/>
          </w:tcPr>
          <w:p>
            <w:pPr>
              <w:spacing w:after="0"/>
              <w:jc w:val="center"/>
            </w:pPr>
            <w:r>
              <w:rPr>
                <w:rFonts w:ascii="游ゴシック" w:hAnsi="游ゴシック" w:eastAsia="游ゴシック"/>
                <w:b/>
                <w:color w:val="FFFFFF"/>
                <w:sz w:val="16"/>
              </w:rPr>
              <w:t>計画本文</w:t>
            </w:r>
          </w:p>
        </w:tc>
      </w:tr>
      <w:tr>
        <w:trPr>
          <w:cantSplit/>
        </w:trPr>
        <w:tc>
          <w:tcPr>
            <w:tcW w:type="dxa" w:w="1814"/>
            <w:vAlign w:val="center"/>
          </w:tcPr>
          <w:p>
            <w:pPr>
              <w:spacing w:after="0"/>
            </w:pPr>
            <w:r>
              <w:rPr>
                <w:rFonts w:ascii="游ゴシック" w:hAnsi="游ゴシック" w:eastAsia="游ゴシック"/>
                <w:b/>
                <w:sz w:val="16"/>
              </w:rPr>
              <w:t>介護情報基盤の構築と活用</w:t>
            </w:r>
          </w:p>
        </w:tc>
        <w:tc>
          <w:tcPr>
            <w:tcW w:type="dxa" w:w="2835"/>
            <w:vAlign w:val="center"/>
          </w:tcPr>
          <w:p>
            <w:pPr>
              <w:spacing w:after="0"/>
            </w:pPr>
            <w:r>
              <w:rPr>
                <w:rFonts w:ascii="游ゴシック" w:hAnsi="游ゴシック" w:eastAsia="游ゴシック"/>
                <w:b w:val="0"/>
                <w:sz w:val="16"/>
              </w:rPr>
              <w:t>令和10年4月1日までにデータ移行を含めて完了し活用を開始する（標準化対応の適合基準日は令和9年1月1日）</w:t>
            </w:r>
          </w:p>
        </w:tc>
        <w:tc>
          <w:tcPr>
            <w:tcW w:type="dxa" w:w="3288"/>
            <w:vAlign w:val="center"/>
          </w:tcPr>
          <w:p>
            <w:pPr>
              <w:spacing w:after="0"/>
            </w:pPr>
            <w:r>
              <w:rPr>
                <w:rFonts w:ascii="游ゴシック" w:hAnsi="游ゴシック" w:eastAsia="游ゴシック"/>
                <w:b w:val="0"/>
                <w:sz w:val="16"/>
              </w:rPr>
              <w:t>介護保険事務システムの標準化対応・改修・データ移行。地域で独自に手段を整えるのではなく、国の基盤で共有できる範囲を確かめてから地域の手順を定めます</w:t>
            </w:r>
          </w:p>
        </w:tc>
        <w:tc>
          <w:tcPr>
            <w:tcW w:type="dxa" w:w="1814"/>
            <w:vAlign w:val="center"/>
          </w:tcPr>
          <w:p>
            <w:pPr>
              <w:spacing w:after="0"/>
            </w:pPr>
            <w:r>
              <w:rPr>
                <w:rFonts w:ascii="游ゴシック" w:hAnsi="游ゴシック" w:eastAsia="游ゴシック"/>
                <w:b w:val="0"/>
                <w:sz w:val="16"/>
              </w:rPr>
              <w:t>第1章第9節5・第5章 基本目標1</w:t>
            </w:r>
          </w:p>
        </w:tc>
      </w:tr>
      <w:tr>
        <w:trPr>
          <w:cantSplit/>
        </w:trPr>
        <w:tc>
          <w:tcPr>
            <w:tcW w:type="dxa" w:w="1814"/>
            <w:shd w:val="clear" w:color="auto" w:fill="F2F5FA"/>
            <w:vAlign w:val="center"/>
          </w:tcPr>
          <w:p>
            <w:pPr>
              <w:spacing w:after="0"/>
            </w:pPr>
            <w:r>
              <w:rPr>
                <w:rFonts w:ascii="游ゴシック" w:hAnsi="游ゴシック" w:eastAsia="游ゴシック"/>
                <w:b/>
                <w:sz w:val="16"/>
              </w:rPr>
              <w:t>ケアプランデータ連携機能の統合</w:t>
            </w:r>
          </w:p>
        </w:tc>
        <w:tc>
          <w:tcPr>
            <w:tcW w:type="dxa" w:w="2835"/>
            <w:shd w:val="clear" w:color="auto" w:fill="F2F5FA"/>
            <w:vAlign w:val="center"/>
          </w:tcPr>
          <w:p>
            <w:pPr>
              <w:spacing w:after="0"/>
            </w:pPr>
            <w:r>
              <w:rPr>
                <w:rFonts w:ascii="游ゴシック" w:hAnsi="游ゴシック" w:eastAsia="游ゴシック"/>
                <w:b w:val="0"/>
                <w:sz w:val="16"/>
              </w:rPr>
              <w:t>令和9年1月に統合し、令和9年4月以降は連携用の接続により行う。全国の導入率は令和8年7月末で53.1％</w:t>
            </w:r>
          </w:p>
        </w:tc>
        <w:tc>
          <w:tcPr>
            <w:tcW w:type="dxa" w:w="3288"/>
            <w:shd w:val="clear" w:color="auto" w:fill="F2F5FA"/>
            <w:vAlign w:val="center"/>
          </w:tcPr>
          <w:p>
            <w:pPr>
              <w:spacing w:after="0"/>
            </w:pPr>
            <w:r>
              <w:rPr>
                <w:rFonts w:ascii="游ゴシック" w:hAnsi="游ゴシック" w:eastAsia="游ゴシック"/>
                <w:b w:val="0"/>
                <w:sz w:val="16"/>
              </w:rPr>
              <w:t>区域内の居宅介護支援事業所及びサービス事業所への周知と新しい仕組みでの登録</w:t>
            </w:r>
          </w:p>
        </w:tc>
        <w:tc>
          <w:tcPr>
            <w:tcW w:type="dxa" w:w="1814"/>
            <w:shd w:val="clear" w:color="auto" w:fill="F2F5FA"/>
            <w:vAlign w:val="center"/>
          </w:tcPr>
          <w:p>
            <w:pPr>
              <w:spacing w:after="0"/>
            </w:pPr>
            <w:r>
              <w:rPr>
                <w:rFonts w:ascii="游ゴシック" w:hAnsi="游ゴシック" w:eastAsia="游ゴシック"/>
                <w:b w:val="0"/>
                <w:sz w:val="16"/>
              </w:rPr>
              <w:t>第5章 基本目標4</w:t>
            </w:r>
          </w:p>
        </w:tc>
      </w:tr>
      <w:tr>
        <w:trPr>
          <w:cantSplit/>
        </w:trPr>
        <w:tc>
          <w:tcPr>
            <w:tcW w:type="dxa" w:w="1814"/>
            <w:vAlign w:val="center"/>
          </w:tcPr>
          <w:p>
            <w:pPr>
              <w:spacing w:after="0"/>
            </w:pPr>
            <w:r>
              <w:rPr>
                <w:rFonts w:ascii="游ゴシック" w:hAnsi="游ゴシック" w:eastAsia="游ゴシック"/>
                <w:b/>
                <w:sz w:val="16"/>
              </w:rPr>
              <w:t>介護サービス事業者経営情報データベース</w:t>
            </w:r>
          </w:p>
        </w:tc>
        <w:tc>
          <w:tcPr>
            <w:tcW w:type="dxa" w:w="2835"/>
            <w:vAlign w:val="center"/>
          </w:tcPr>
          <w:p>
            <w:pPr>
              <w:spacing w:after="0"/>
            </w:pPr>
            <w:r>
              <w:rPr>
                <w:rFonts w:ascii="游ゴシック" w:hAnsi="游ゴシック" w:eastAsia="游ゴシック"/>
                <w:b w:val="0"/>
                <w:sz w:val="16"/>
              </w:rPr>
              <w:t>令和8年10月から12月までに報告し、令和9年4月以降に分析結果を部会へ報告する</w:t>
            </w:r>
          </w:p>
        </w:tc>
        <w:tc>
          <w:tcPr>
            <w:tcW w:type="dxa" w:w="3288"/>
            <w:vAlign w:val="center"/>
          </w:tcPr>
          <w:p>
            <w:pPr>
              <w:spacing w:after="0"/>
            </w:pPr>
            <w:r>
              <w:rPr>
                <w:rFonts w:ascii="游ゴシック" w:hAnsi="游ゴシック" w:eastAsia="游ゴシック"/>
                <w:b w:val="0"/>
                <w:sz w:val="16"/>
              </w:rPr>
              <w:t>公表される分析結果を事業者の経営支援にどこまで用いるか</w:t>
            </w:r>
          </w:p>
        </w:tc>
        <w:tc>
          <w:tcPr>
            <w:tcW w:type="dxa" w:w="1814"/>
            <w:vAlign w:val="center"/>
          </w:tcPr>
          <w:p>
            <w:pPr>
              <w:spacing w:after="0"/>
            </w:pPr>
            <w:r>
              <w:rPr>
                <w:rFonts w:ascii="游ゴシック" w:hAnsi="游ゴシック" w:eastAsia="游ゴシック"/>
                <w:b w:val="0"/>
                <w:sz w:val="16"/>
              </w:rPr>
              <w:t>第1章第9節5・第5章 基本目標4</w:t>
            </w:r>
          </w:p>
        </w:tc>
      </w:tr>
      <w:tr>
        <w:trPr>
          <w:cantSplit/>
        </w:trPr>
        <w:tc>
          <w:tcPr>
            <w:tcW w:type="dxa" w:w="1814"/>
            <w:shd w:val="clear" w:color="auto" w:fill="F2F5FA"/>
            <w:vAlign w:val="center"/>
          </w:tcPr>
          <w:p>
            <w:pPr>
              <w:spacing w:after="0"/>
            </w:pPr>
            <w:r>
              <w:rPr>
                <w:rFonts w:ascii="游ゴシック" w:hAnsi="游ゴシック" w:eastAsia="游ゴシック"/>
                <w:b/>
                <w:sz w:val="16"/>
              </w:rPr>
              <w:t>介護事業者の連携・協働化</w:t>
            </w:r>
          </w:p>
        </w:tc>
        <w:tc>
          <w:tcPr>
            <w:tcW w:type="dxa" w:w="2835"/>
            <w:shd w:val="clear" w:color="auto" w:fill="F2F5FA"/>
            <w:vAlign w:val="center"/>
          </w:tcPr>
          <w:p>
            <w:pPr>
              <w:spacing w:after="0"/>
            </w:pPr>
            <w:r>
              <w:rPr>
                <w:rFonts w:ascii="游ゴシック" w:hAnsi="游ゴシック" w:eastAsia="游ゴシック"/>
                <w:b w:val="0"/>
                <w:sz w:val="16"/>
              </w:rPr>
              <w:t>都道府県との協定による連携。令和9年度概算要求に経費の支援と補助率の上乗せ。市町村の役割はなお検討中</w:t>
            </w:r>
          </w:p>
        </w:tc>
        <w:tc>
          <w:tcPr>
            <w:tcW w:type="dxa" w:w="3288"/>
            <w:shd w:val="clear" w:color="auto" w:fill="F2F5FA"/>
            <w:vAlign w:val="center"/>
          </w:tcPr>
          <w:p>
            <w:pPr>
              <w:spacing w:after="0"/>
            </w:pPr>
            <w:r>
              <w:rPr>
                <w:rFonts w:ascii="游ゴシック" w:hAnsi="游ゴシック" w:eastAsia="游ゴシック"/>
                <w:b w:val="0"/>
                <w:sz w:val="16"/>
              </w:rPr>
              <w:t>北海道との協定に広域連合及び3町がどのように関わるか</w:t>
            </w:r>
          </w:p>
        </w:tc>
        <w:tc>
          <w:tcPr>
            <w:tcW w:type="dxa" w:w="1814"/>
            <w:shd w:val="clear" w:color="auto" w:fill="F2F5FA"/>
            <w:vAlign w:val="center"/>
          </w:tcPr>
          <w:p>
            <w:pPr>
              <w:spacing w:after="0"/>
            </w:pPr>
            <w:r>
              <w:rPr>
                <w:rFonts w:ascii="游ゴシック" w:hAnsi="游ゴシック" w:eastAsia="游ゴシック"/>
                <w:b w:val="0"/>
                <w:sz w:val="16"/>
              </w:rPr>
              <w:t>第5章 基本目標3・基本目標4</w:t>
            </w:r>
          </w:p>
        </w:tc>
      </w:tr>
      <w:tr>
        <w:trPr>
          <w:cantSplit/>
        </w:trPr>
        <w:tc>
          <w:tcPr>
            <w:tcW w:type="dxa" w:w="1814"/>
            <w:vAlign w:val="center"/>
          </w:tcPr>
          <w:p>
            <w:pPr>
              <w:spacing w:after="0"/>
            </w:pPr>
            <w:r>
              <w:rPr>
                <w:rFonts w:ascii="游ゴシック" w:hAnsi="游ゴシック" w:eastAsia="游ゴシック"/>
                <w:b/>
                <w:sz w:val="16"/>
              </w:rPr>
              <w:t>介護給付適正化と調整交付金の減額</w:t>
            </w:r>
          </w:p>
        </w:tc>
        <w:tc>
          <w:tcPr>
            <w:tcW w:type="dxa" w:w="2835"/>
            <w:vAlign w:val="center"/>
          </w:tcPr>
          <w:p>
            <w:pPr>
              <w:spacing w:after="0"/>
            </w:pPr>
            <w:r>
              <w:rPr>
                <w:rFonts w:ascii="游ゴシック" w:hAnsi="游ゴシック" w:eastAsia="游ゴシック"/>
                <w:b w:val="0"/>
                <w:sz w:val="16"/>
              </w:rPr>
              <w:t>年齢区分の精緻化により交付額が増加する保険者について、主要3事業のいずれかを実施していない場合に増加額の5％を減額する</w:t>
            </w:r>
          </w:p>
        </w:tc>
        <w:tc>
          <w:tcPr>
            <w:tcW w:type="dxa" w:w="3288"/>
            <w:vAlign w:val="center"/>
          </w:tcPr>
          <w:p>
            <w:pPr>
              <w:spacing w:after="0"/>
            </w:pPr>
            <w:r>
              <w:rPr>
                <w:rFonts w:ascii="游ゴシック" w:hAnsi="游ゴシック" w:eastAsia="游ゴシック"/>
                <w:b/>
                <w:sz w:val="16"/>
              </w:rPr>
              <w:t>当広域連合はケアプラン等の点検を実施していないため該当します。</w:t>
            </w:r>
            <w:r>
              <w:rPr>
                <w:rFonts w:ascii="游ゴシック" w:hAnsi="游ゴシック" w:eastAsia="游ゴシック"/>
                <w:b w:val="0"/>
                <w:sz w:val="16"/>
              </w:rPr>
              <w:t>主要3事業の実施が要ります（B2）</w:t>
            </w:r>
          </w:p>
        </w:tc>
        <w:tc>
          <w:tcPr>
            <w:tcW w:type="dxa" w:w="1814"/>
            <w:vAlign w:val="center"/>
          </w:tcPr>
          <w:p>
            <w:pPr>
              <w:spacing w:after="0"/>
            </w:pPr>
            <w:r>
              <w:rPr>
                <w:rFonts w:ascii="游ゴシック" w:hAnsi="游ゴシック" w:eastAsia="游ゴシック"/>
                <w:b w:val="0"/>
                <w:sz w:val="16"/>
              </w:rPr>
              <w:t>第5章 基本目標5・第6章第6節2・4</w:t>
            </w:r>
          </w:p>
        </w:tc>
      </w:tr>
      <w:tr>
        <w:trPr>
          <w:cantSplit/>
        </w:trPr>
        <w:tc>
          <w:tcPr>
            <w:tcW w:type="dxa" w:w="1814"/>
            <w:shd w:val="clear" w:color="auto" w:fill="F2F5FA"/>
            <w:vAlign w:val="center"/>
          </w:tcPr>
          <w:p>
            <w:pPr>
              <w:spacing w:after="0"/>
            </w:pPr>
            <w:r>
              <w:rPr>
                <w:rFonts w:ascii="游ゴシック" w:hAnsi="游ゴシック" w:eastAsia="游ゴシック"/>
                <w:b/>
                <w:sz w:val="16"/>
              </w:rPr>
              <w:t>第1号保険料の在り方</w:t>
            </w:r>
          </w:p>
        </w:tc>
        <w:tc>
          <w:tcPr>
            <w:tcW w:type="dxa" w:w="2835"/>
            <w:shd w:val="clear" w:color="auto" w:fill="F2F5FA"/>
            <w:vAlign w:val="center"/>
          </w:tcPr>
          <w:p>
            <w:pPr>
              <w:spacing w:after="0"/>
            </w:pPr>
            <w:r>
              <w:rPr>
                <w:rFonts w:ascii="游ゴシック" w:hAnsi="游ゴシック" w:eastAsia="游ゴシック"/>
                <w:b w:val="0"/>
                <w:sz w:val="16"/>
              </w:rPr>
              <w:t>高所得者の標準乗率の見直しと、課税化に伴う上昇の緩和。論点が示された段階であり内容は定まっていない</w:t>
            </w:r>
          </w:p>
        </w:tc>
        <w:tc>
          <w:tcPr>
            <w:tcW w:type="dxa" w:w="3288"/>
            <w:shd w:val="clear" w:color="auto" w:fill="F2F5FA"/>
            <w:vAlign w:val="center"/>
          </w:tcPr>
          <w:p>
            <w:pPr>
              <w:spacing w:after="0"/>
            </w:pPr>
            <w:r>
              <w:rPr>
                <w:rFonts w:ascii="游ゴシック" w:hAnsi="游ゴシック" w:eastAsia="游ゴシック"/>
                <w:b w:val="0"/>
                <w:sz w:val="16"/>
              </w:rPr>
              <w:t>所得段階と乗率は政令により定まります。第9期の条例による16段階を据え置いて算定しています</w:t>
            </w:r>
          </w:p>
        </w:tc>
        <w:tc>
          <w:tcPr>
            <w:tcW w:type="dxa" w:w="1814"/>
            <w:shd w:val="clear" w:color="auto" w:fill="F2F5FA"/>
            <w:vAlign w:val="center"/>
          </w:tcPr>
          <w:p>
            <w:pPr>
              <w:spacing w:after="0"/>
            </w:pPr>
            <w:r>
              <w:rPr>
                <w:rFonts w:ascii="游ゴシック" w:hAnsi="游ゴシック" w:eastAsia="游ゴシック"/>
                <w:b w:val="0"/>
                <w:sz w:val="16"/>
              </w:rPr>
              <w:t>第1章第9節5・第6章第6節5</w:t>
            </w:r>
          </w:p>
        </w:tc>
      </w:tr>
      <w:tr>
        <w:trPr>
          <w:cantSplit/>
        </w:trPr>
        <w:tc>
          <w:tcPr>
            <w:tcW w:type="dxa" w:w="1814"/>
            <w:vAlign w:val="center"/>
          </w:tcPr>
          <w:p>
            <w:pPr>
              <w:spacing w:after="0"/>
            </w:pPr>
            <w:r>
              <w:rPr>
                <w:rFonts w:ascii="游ゴシック" w:hAnsi="游ゴシック" w:eastAsia="游ゴシック"/>
                <w:b/>
                <w:sz w:val="16"/>
              </w:rPr>
              <w:t>補足給付の見直し</w:t>
            </w:r>
          </w:p>
        </w:tc>
        <w:tc>
          <w:tcPr>
            <w:tcW w:type="dxa" w:w="2835"/>
            <w:vAlign w:val="center"/>
          </w:tcPr>
          <w:p>
            <w:pPr>
              <w:spacing w:after="0"/>
            </w:pPr>
            <w:r>
              <w:rPr>
                <w:rFonts w:ascii="游ゴシック" w:hAnsi="游ゴシック" w:eastAsia="游ゴシック"/>
                <w:b w:val="0"/>
                <w:sz w:val="16"/>
              </w:rPr>
              <w:t>令和8年8月の実施分に加え、令和9年度から第3段階①②を各2分割する</w:t>
            </w:r>
          </w:p>
        </w:tc>
        <w:tc>
          <w:tcPr>
            <w:tcW w:type="dxa" w:w="3288"/>
            <w:vAlign w:val="center"/>
          </w:tcPr>
          <w:p>
            <w:pPr>
              <w:spacing w:after="0"/>
            </w:pPr>
            <w:r>
              <w:rPr>
                <w:rFonts w:ascii="游ゴシック" w:hAnsi="游ゴシック" w:eastAsia="游ゴシック"/>
                <w:b w:val="0"/>
                <w:sz w:val="16"/>
              </w:rPr>
              <w:t>負担限度額の認定事務と要綱の改正</w:t>
            </w:r>
          </w:p>
        </w:tc>
        <w:tc>
          <w:tcPr>
            <w:tcW w:type="dxa" w:w="1814"/>
            <w:vAlign w:val="center"/>
          </w:tcPr>
          <w:p>
            <w:pPr>
              <w:spacing w:after="0"/>
            </w:pPr>
            <w:r>
              <w:rPr>
                <w:rFonts w:ascii="游ゴシック" w:hAnsi="游ゴシック" w:eastAsia="游ゴシック"/>
                <w:b w:val="0"/>
                <w:sz w:val="16"/>
              </w:rPr>
              <w:t>第1章第9節4・第6章第7節</w:t>
            </w:r>
          </w:p>
        </w:tc>
      </w:tr>
      <w:tr>
        <w:trPr>
          <w:cantSplit/>
        </w:trPr>
        <w:tc>
          <w:tcPr>
            <w:tcW w:type="dxa" w:w="1814"/>
            <w:shd w:val="clear" w:color="auto" w:fill="F2F5FA"/>
            <w:vAlign w:val="center"/>
          </w:tcPr>
          <w:p>
            <w:pPr>
              <w:spacing w:after="0"/>
            </w:pPr>
            <w:r>
              <w:rPr>
                <w:rFonts w:ascii="游ゴシック" w:hAnsi="游ゴシック" w:eastAsia="游ゴシック"/>
                <w:b/>
                <w:sz w:val="16"/>
              </w:rPr>
              <w:t>第1号保険料段階の基準額</w:t>
            </w:r>
          </w:p>
        </w:tc>
        <w:tc>
          <w:tcPr>
            <w:tcW w:type="dxa" w:w="2835"/>
            <w:shd w:val="clear" w:color="auto" w:fill="F2F5FA"/>
            <w:vAlign w:val="center"/>
          </w:tcPr>
          <w:p>
            <w:pPr>
              <w:spacing w:after="0"/>
            </w:pPr>
            <w:r>
              <w:rPr>
                <w:rFonts w:ascii="游ゴシック" w:hAnsi="游ゴシック" w:eastAsia="游ゴシック"/>
                <w:b w:val="0"/>
                <w:sz w:val="16"/>
              </w:rPr>
              <w:t>老齢基礎年金（満額）の上昇により80.9万円から82.65万円へ。今後は基本的に毎年見直す</w:t>
            </w:r>
          </w:p>
        </w:tc>
        <w:tc>
          <w:tcPr>
            <w:tcW w:type="dxa" w:w="3288"/>
            <w:shd w:val="clear" w:color="auto" w:fill="F2F5FA"/>
            <w:vAlign w:val="center"/>
          </w:tcPr>
          <w:p>
            <w:pPr>
              <w:spacing w:after="0"/>
            </w:pPr>
            <w:r>
              <w:rPr>
                <w:rFonts w:ascii="游ゴシック" w:hAnsi="游ゴシック" w:eastAsia="游ゴシック"/>
                <w:b w:val="0"/>
                <w:sz w:val="16"/>
              </w:rPr>
              <w:t>条例改正の手続を要します</w:t>
            </w:r>
          </w:p>
        </w:tc>
        <w:tc>
          <w:tcPr>
            <w:tcW w:type="dxa" w:w="1814"/>
            <w:shd w:val="clear" w:color="auto" w:fill="F2F5FA"/>
            <w:vAlign w:val="center"/>
          </w:tcPr>
          <w:p>
            <w:pPr>
              <w:spacing w:after="0"/>
            </w:pPr>
            <w:r>
              <w:rPr>
                <w:rFonts w:ascii="游ゴシック" w:hAnsi="游ゴシック" w:eastAsia="游ゴシック"/>
                <w:b w:val="0"/>
                <w:sz w:val="16"/>
              </w:rPr>
              <w:t>第1章第9節4・第6章第7節</w:t>
            </w:r>
          </w:p>
        </w:tc>
      </w:tr>
      <w:tr>
        <w:trPr>
          <w:cantSplit/>
        </w:trPr>
        <w:tc>
          <w:tcPr>
            <w:tcW w:type="dxa" w:w="1814"/>
            <w:vAlign w:val="center"/>
          </w:tcPr>
          <w:p>
            <w:pPr>
              <w:spacing w:after="0"/>
            </w:pPr>
            <w:r>
              <w:rPr>
                <w:rFonts w:ascii="游ゴシック" w:hAnsi="游ゴシック" w:eastAsia="游ゴシック"/>
                <w:b/>
                <w:sz w:val="16"/>
              </w:rPr>
              <w:t>一定以上所得基準</w:t>
            </w:r>
          </w:p>
        </w:tc>
        <w:tc>
          <w:tcPr>
            <w:tcW w:type="dxa" w:w="2835"/>
            <w:vAlign w:val="center"/>
          </w:tcPr>
          <w:p>
            <w:pPr>
              <w:spacing w:after="0"/>
            </w:pPr>
            <w:r>
              <w:rPr>
                <w:rFonts w:ascii="游ゴシック" w:hAnsi="游ゴシック" w:eastAsia="游ゴシック"/>
                <w:b w:val="0"/>
                <w:sz w:val="16"/>
              </w:rPr>
              <w:t>第10期計画期間の開始（令和9年度）の前までに結論を得る。見直しの内容も施行の時期も示されていない</w:t>
            </w:r>
          </w:p>
        </w:tc>
        <w:tc>
          <w:tcPr>
            <w:tcW w:type="dxa" w:w="3288"/>
            <w:vAlign w:val="center"/>
          </w:tcPr>
          <w:p>
            <w:pPr>
              <w:spacing w:after="0"/>
            </w:pPr>
            <w:r>
              <w:rPr>
                <w:rFonts w:ascii="游ゴシック" w:hAnsi="游ゴシック" w:eastAsia="游ゴシック"/>
                <w:b w:val="0"/>
                <w:sz w:val="16"/>
              </w:rPr>
              <w:t>結論が示された時点で給付費及び保険料収納必要額を再算定します</w:t>
            </w:r>
          </w:p>
        </w:tc>
        <w:tc>
          <w:tcPr>
            <w:tcW w:type="dxa" w:w="1814"/>
            <w:vAlign w:val="center"/>
          </w:tcPr>
          <w:p>
            <w:pPr>
              <w:spacing w:after="0"/>
            </w:pPr>
            <w:r>
              <w:rPr>
                <w:rFonts w:ascii="游ゴシック" w:hAnsi="游ゴシック" w:eastAsia="游ゴシック"/>
                <w:b w:val="0"/>
                <w:sz w:val="16"/>
              </w:rPr>
              <w:t>第1章第9節4・第6章第7節</w:t>
            </w:r>
          </w:p>
        </w:tc>
      </w:tr>
    </w:tbl>
    <w:p>
      <w:pPr>
        <w:spacing w:after="80"/>
      </w:pPr>
      <w:r>
        <w:rPr>
          <w:rFonts w:ascii="游ゴシック" w:hAnsi="游ゴシック" w:eastAsia="游ゴシック"/>
          <w:b w:val="0"/>
          <w:sz w:val="17"/>
        </w:rPr>
        <w:t>資料：第136回社会保障審議会介護保険部会 資料1から資料6まで及び参考資料（令和8年9月18日）</w:t>
      </w:r>
    </w:p>
    <w:p>
      <w:pPr>
        <w:spacing w:after="80"/>
      </w:pPr>
      <w:r>
        <w:rPr>
          <w:rFonts w:ascii="游ゴシック" w:hAnsi="游ゴシック" w:eastAsia="游ゴシック"/>
          <w:b w:val="0"/>
          <w:sz w:val="20"/>
        </w:rPr>
        <w:t>このうち</w:t>
      </w:r>
      <w:r>
        <w:rPr>
          <w:rFonts w:ascii="游ゴシック" w:hAnsi="游ゴシック" w:eastAsia="游ゴシック"/>
          <w:b/>
          <w:sz w:val="20"/>
        </w:rPr>
        <w:t>介護情報基盤への対応は、構成3町の介護保険事務システムの標準化対応とデータ移行を伴うため、年度ごとの工程をご確認いただきたい事項です（確認事項No.175。第7節2 B1）。</w:t>
      </w:r>
      <w:r>
        <w:rPr>
          <w:rFonts w:ascii="游ゴシック" w:hAnsi="游ゴシック" w:eastAsia="游ゴシック"/>
          <w:b w:val="0"/>
          <w:sz w:val="20"/>
        </w:rPr>
        <w:t>医療と介護の連携は、地域で独自に手段を整えるのではなく、国の基盤で共有できる範囲を確かめてから地域の手順を定める順序とします。</w:t>
      </w:r>
    </w:p>
    <w:p>
      <w:pPr>
        <w:keepNext/>
        <w:spacing w:before="160" w:after="40"/>
      </w:pPr>
      <w:r>
        <w:rPr>
          <w:rFonts w:ascii="游ゴシック" w:hAnsi="游ゴシック" w:eastAsia="游ゴシック"/>
          <w:b/>
          <w:sz w:val="20"/>
        </w:rPr>
        <w:t>表12　引き続き検討することとされた事項　7件</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9752"/>
      </w:tblGrid>
      <w:tr>
        <w:trPr>
          <w:tblHeader/>
        </w:trPr>
        <w:tc>
          <w:tcPr>
            <w:tcW w:type="dxa" w:w="9751"/>
            <w:shd w:val="clear" w:color="auto" w:fill="1F3864"/>
            <w:vAlign w:val="center"/>
          </w:tcPr>
          <w:p>
            <w:pPr>
              <w:keepNext/>
              <w:spacing w:after="0"/>
              <w:jc w:val="center"/>
            </w:pPr>
            <w:r>
              <w:rPr>
                <w:rFonts w:ascii="游ゴシック" w:hAnsi="游ゴシック" w:eastAsia="游ゴシック"/>
                <w:b/>
                <w:color w:val="FFFFFF"/>
                <w:sz w:val="18"/>
              </w:rPr>
              <w:t>事項</w:t>
            </w:r>
          </w:p>
        </w:tc>
      </w:tr>
      <w:tr>
        <w:trPr>
          <w:cantSplit/>
        </w:trPr>
        <w:tc>
          <w:tcPr>
            <w:tcW w:type="dxa" w:w="9751"/>
            <w:vAlign w:val="center"/>
          </w:tcPr>
          <w:p>
            <w:pPr>
              <w:keepNext/>
              <w:spacing w:after="0"/>
            </w:pPr>
            <w:r>
              <w:rPr>
                <w:rFonts w:ascii="游ゴシック" w:hAnsi="游ゴシック" w:eastAsia="游ゴシック"/>
                <w:b w:val="0"/>
                <w:sz w:val="18"/>
              </w:rPr>
              <w:t>多床室の室料負担</w:t>
            </w:r>
          </w:p>
        </w:tc>
      </w:tr>
      <w:tr>
        <w:trPr>
          <w:cantSplit/>
        </w:trPr>
        <w:tc>
          <w:tcPr>
            <w:tcW w:type="dxa" w:w="9751"/>
            <w:shd w:val="clear" w:color="auto" w:fill="F2F5FA"/>
            <w:vAlign w:val="center"/>
          </w:tcPr>
          <w:p>
            <w:pPr>
              <w:keepNext/>
              <w:spacing w:after="0"/>
            </w:pPr>
            <w:r>
              <w:rPr>
                <w:rFonts w:ascii="游ゴシック" w:hAnsi="游ゴシック" w:eastAsia="游ゴシック"/>
                <w:b w:val="0"/>
                <w:sz w:val="18"/>
              </w:rPr>
              <w:t>軽度者への生活援助サービス等の地域支援事業への移行</w:t>
            </w:r>
          </w:p>
        </w:tc>
      </w:tr>
      <w:tr>
        <w:trPr>
          <w:cantSplit/>
        </w:trPr>
        <w:tc>
          <w:tcPr>
            <w:tcW w:type="dxa" w:w="9751"/>
            <w:vAlign w:val="center"/>
          </w:tcPr>
          <w:p>
            <w:pPr>
              <w:keepNext/>
              <w:spacing w:after="0"/>
            </w:pPr>
            <w:r>
              <w:rPr>
                <w:rFonts w:ascii="游ゴシック" w:hAnsi="游ゴシック" w:eastAsia="游ゴシック"/>
                <w:b w:val="0"/>
                <w:sz w:val="18"/>
              </w:rPr>
              <w:t>金融所得・金融資産の勘案</w:t>
            </w:r>
          </w:p>
        </w:tc>
      </w:tr>
      <w:tr>
        <w:trPr>
          <w:cantSplit/>
        </w:trPr>
        <w:tc>
          <w:tcPr>
            <w:tcW w:type="dxa" w:w="9751"/>
            <w:shd w:val="clear" w:color="auto" w:fill="F2F5FA"/>
            <w:vAlign w:val="center"/>
          </w:tcPr>
          <w:p>
            <w:pPr>
              <w:keepNext/>
              <w:spacing w:after="0"/>
            </w:pPr>
            <w:r>
              <w:rPr>
                <w:rFonts w:ascii="游ゴシック" w:hAnsi="游ゴシック" w:eastAsia="游ゴシック"/>
                <w:b w:val="0"/>
                <w:sz w:val="18"/>
              </w:rPr>
              <w:t>高額介護サービス費の負担限度額</w:t>
            </w:r>
          </w:p>
        </w:tc>
      </w:tr>
      <w:tr>
        <w:trPr>
          <w:cantSplit/>
        </w:trPr>
        <w:tc>
          <w:tcPr>
            <w:tcW w:type="dxa" w:w="9751"/>
            <w:vAlign w:val="center"/>
          </w:tcPr>
          <w:p>
            <w:pPr>
              <w:keepNext/>
              <w:spacing w:after="0"/>
            </w:pPr>
            <w:r>
              <w:rPr>
                <w:rFonts w:ascii="游ゴシック" w:hAnsi="游ゴシック" w:eastAsia="游ゴシック"/>
                <w:b w:val="0"/>
                <w:sz w:val="18"/>
              </w:rPr>
              <w:t>登録施設介護支援等の利用者負担</w:t>
            </w:r>
          </w:p>
        </w:tc>
      </w:tr>
      <w:tr>
        <w:trPr>
          <w:cantSplit/>
        </w:trPr>
        <w:tc>
          <w:tcPr>
            <w:tcW w:type="dxa" w:w="9751"/>
            <w:shd w:val="clear" w:color="auto" w:fill="F2F5FA"/>
            <w:vAlign w:val="center"/>
          </w:tcPr>
          <w:p>
            <w:pPr>
              <w:keepNext/>
              <w:spacing w:after="0"/>
            </w:pPr>
            <w:r>
              <w:rPr>
                <w:rFonts w:ascii="游ゴシック" w:hAnsi="游ゴシック" w:eastAsia="游ゴシック"/>
                <w:b w:val="0"/>
                <w:sz w:val="18"/>
              </w:rPr>
              <w:t>「現役並み所得」の判断基準</w:t>
            </w:r>
          </w:p>
        </w:tc>
      </w:tr>
      <w:tr>
        <w:trPr>
          <w:cantSplit/>
        </w:trPr>
        <w:tc>
          <w:tcPr>
            <w:tcW w:type="dxa" w:w="9751"/>
            <w:vAlign w:val="center"/>
          </w:tcPr>
          <w:p>
            <w:pPr>
              <w:spacing w:after="0"/>
            </w:pPr>
            <w:r>
              <w:rPr>
                <w:rFonts w:ascii="游ゴシック" w:hAnsi="游ゴシック" w:eastAsia="游ゴシック"/>
                <w:b w:val="0"/>
                <w:sz w:val="18"/>
              </w:rPr>
              <w:t>被保険者範囲・受給者範囲</w:t>
            </w:r>
          </w:p>
        </w:tc>
      </w:tr>
    </w:tbl>
    <w:p>
      <w:pPr>
        <w:ind w:left="227"/>
      </w:pPr>
      <w:r>
        <w:rPr>
          <w:rFonts w:ascii="游ゴシック" w:hAnsi="游ゴシック" w:eastAsia="游ゴシック"/>
          <w:b w:val="0"/>
          <w:sz w:val="18"/>
        </w:rPr>
        <w:t>※ いずれも結論が示されていないため本計画に織り込んでいません。結論が示された時点で、影響が及ぶ箇所を再算定し又は記述を改めます。多床室の室料負担及び軽度者への生活援助サービス等の移行は給付費に、金融所得・金融資産の勘案及び「現役並み所得」の判断基準は所得段階に及び得るものです。</w:t>
      </w:r>
    </w:p>
    <w:p>
      <w:pPr>
        <w:keepNext/>
        <w:pageBreakBefore/>
        <w:spacing w:before="0" w:after="120"/>
      </w:pPr>
      <w:r>
        <w:rPr>
          <w:rFonts w:ascii="游ゴシック" w:hAnsi="游ゴシック" w:eastAsia="游ゴシック"/>
          <w:b/>
          <w:color w:val="1F3864"/>
          <w:sz w:val="26"/>
        </w:rPr>
        <w:t>第6節　地域の課題</w:t>
      </w:r>
    </w:p>
    <w:p>
      <w:pPr>
        <w:spacing w:after="80"/>
      </w:pPr>
      <w:r>
        <w:rPr>
          <w:rFonts w:ascii="游ゴシック" w:hAnsi="游ゴシック" w:eastAsia="游ゴシック"/>
          <w:b w:val="0"/>
          <w:sz w:val="21"/>
        </w:rPr>
        <w:t>第10期計画に載せる地域の課題です。根拠となる数値と計画本文の反映先を対にして掲げています。「町の別」が「町で分かれる」「○○町」のものは、町ごとの個別協議でも扱います。</w:t>
      </w:r>
    </w:p>
    <w:p>
      <w:pPr>
        <w:keepNext/>
        <w:spacing w:before="160" w:after="40"/>
      </w:pPr>
      <w:r>
        <w:rPr>
          <w:rFonts w:ascii="游ゴシック" w:hAnsi="游ゴシック" w:eastAsia="游ゴシック"/>
          <w:b/>
          <w:sz w:val="20"/>
        </w:rPr>
        <w:t>表13　地域の課題　15件</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567"/>
            <w:shd w:val="clear" w:color="auto" w:fill="1F3864"/>
            <w:vAlign w:val="center"/>
          </w:tcPr>
          <w:p>
            <w:pPr>
              <w:spacing w:after="0"/>
              <w:jc w:val="center"/>
            </w:pPr>
            <w:r>
              <w:rPr>
                <w:rFonts w:ascii="游ゴシック" w:hAnsi="游ゴシック" w:eastAsia="游ゴシック"/>
                <w:b/>
                <w:color w:val="FFFFFF"/>
                <w:sz w:val="18"/>
              </w:rPr>
              <w:t>No.</w:t>
            </w:r>
          </w:p>
        </w:tc>
        <w:tc>
          <w:tcPr>
            <w:tcW w:type="dxa" w:w="2494"/>
            <w:shd w:val="clear" w:color="auto" w:fill="1F3864"/>
            <w:vAlign w:val="center"/>
          </w:tcPr>
          <w:p>
            <w:pPr>
              <w:spacing w:after="0"/>
              <w:jc w:val="center"/>
            </w:pPr>
            <w:r>
              <w:rPr>
                <w:rFonts w:ascii="游ゴシック" w:hAnsi="游ゴシック" w:eastAsia="游ゴシック"/>
                <w:b/>
                <w:color w:val="FFFFFF"/>
                <w:sz w:val="18"/>
              </w:rPr>
              <w:t>地域の課題</w:t>
            </w:r>
          </w:p>
        </w:tc>
        <w:tc>
          <w:tcPr>
            <w:tcW w:type="dxa" w:w="5102"/>
            <w:shd w:val="clear" w:color="auto" w:fill="1F3864"/>
            <w:vAlign w:val="center"/>
          </w:tcPr>
          <w:p>
            <w:pPr>
              <w:spacing w:after="0"/>
              <w:jc w:val="center"/>
            </w:pPr>
            <w:r>
              <w:rPr>
                <w:rFonts w:ascii="游ゴシック" w:hAnsi="游ゴシック" w:eastAsia="游ゴシック"/>
                <w:b/>
                <w:color w:val="FFFFFF"/>
                <w:sz w:val="18"/>
              </w:rPr>
              <w:t>根拠となる事実（数値）</w:t>
            </w:r>
          </w:p>
        </w:tc>
        <w:tc>
          <w:tcPr>
            <w:tcW w:type="dxa" w:w="1587"/>
            <w:shd w:val="clear" w:color="auto" w:fill="1F3864"/>
            <w:vAlign w:val="center"/>
          </w:tcPr>
          <w:p>
            <w:pPr>
              <w:spacing w:after="0"/>
              <w:jc w:val="center"/>
            </w:pPr>
            <w:r>
              <w:rPr>
                <w:rFonts w:ascii="游ゴシック" w:hAnsi="游ゴシック" w:eastAsia="游ゴシック"/>
                <w:b/>
                <w:color w:val="FFFFFF"/>
                <w:sz w:val="18"/>
              </w:rPr>
              <w:t>町の別</w:t>
            </w:r>
          </w:p>
        </w:tc>
      </w:tr>
      <w:tr>
        <w:trPr>
          <w:cantSplit/>
        </w:trPr>
        <w:tc>
          <w:tcPr>
            <w:tcW w:type="dxa" w:w="567"/>
            <w:vAlign w:val="center"/>
          </w:tcPr>
          <w:p>
            <w:pPr>
              <w:spacing w:after="0"/>
              <w:jc w:val="center"/>
            </w:pPr>
            <w:r>
              <w:rPr>
                <w:rFonts w:ascii="游ゴシック" w:hAnsi="游ゴシック" w:eastAsia="游ゴシック"/>
                <w:b w:val="0"/>
                <w:sz w:val="18"/>
              </w:rPr>
              <w:t>1</w:t>
            </w:r>
          </w:p>
        </w:tc>
        <w:tc>
          <w:tcPr>
            <w:tcW w:type="dxa" w:w="2494"/>
            <w:vAlign w:val="center"/>
          </w:tcPr>
          <w:p>
            <w:pPr>
              <w:spacing w:after="0"/>
            </w:pPr>
            <w:r>
              <w:rPr>
                <w:rFonts w:ascii="游ゴシック" w:hAnsi="游ゴシック" w:eastAsia="游ゴシック"/>
                <w:b w:val="0"/>
                <w:sz w:val="18"/>
              </w:rPr>
              <w:t>高齢者数は横ばいだが、85歳以上が増える</w:t>
            </w:r>
          </w:p>
        </w:tc>
        <w:tc>
          <w:tcPr>
            <w:tcW w:type="dxa" w:w="5102"/>
            <w:vAlign w:val="center"/>
          </w:tcPr>
          <w:p>
            <w:pPr>
              <w:spacing w:after="0"/>
            </w:pPr>
            <w:r>
              <w:rPr>
                <w:rFonts w:ascii="游ゴシック" w:hAnsi="游ゴシック" w:eastAsia="游ゴシック"/>
                <w:b w:val="0"/>
                <w:sz w:val="18"/>
              </w:rPr>
              <w:t>3町計の65歳以上は令和元年9,146人から令和7年9,232人（年＋0.16％）でほぼ横ばいであるのに対し、85歳以上は1,743人から1,960人（年＋1.97％）で増えています。</w:t>
            </w:r>
          </w:p>
        </w:tc>
        <w:tc>
          <w:tcPr>
            <w:tcW w:type="dxa" w:w="1587"/>
            <w:vAlign w:val="center"/>
          </w:tcPr>
          <w:p>
            <w:pPr>
              <w:spacing w:after="0"/>
            </w:pPr>
            <w:r>
              <w:rPr>
                <w:rFonts w:ascii="游ゴシック" w:hAnsi="游ゴシック" w:eastAsia="游ゴシック"/>
                <w:b w:val="0"/>
                <w:sz w:val="18"/>
              </w:rPr>
              <w:t>3町共通</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2</w:t>
            </w:r>
          </w:p>
        </w:tc>
        <w:tc>
          <w:tcPr>
            <w:tcW w:type="dxa" w:w="2494"/>
            <w:shd w:val="clear" w:color="auto" w:fill="F2F5FA"/>
            <w:vAlign w:val="center"/>
          </w:tcPr>
          <w:p>
            <w:pPr>
              <w:spacing w:after="0"/>
            </w:pPr>
            <w:r>
              <w:rPr>
                <w:rFonts w:ascii="游ゴシック" w:hAnsi="游ゴシック" w:eastAsia="游ゴシック"/>
                <w:b w:val="0"/>
                <w:sz w:val="18"/>
              </w:rPr>
              <w:t>認定者数の動きが町で分かれる</w:t>
            </w:r>
          </w:p>
        </w:tc>
        <w:tc>
          <w:tcPr>
            <w:tcW w:type="dxa" w:w="5102"/>
            <w:shd w:val="clear" w:color="auto" w:fill="F2F5FA"/>
            <w:vAlign w:val="center"/>
          </w:tcPr>
          <w:p>
            <w:pPr>
              <w:spacing w:after="0"/>
            </w:pPr>
            <w:r>
              <w:rPr>
                <w:rFonts w:ascii="游ゴシック" w:hAnsi="游ゴシック" w:eastAsia="游ゴシック"/>
                <w:b w:val="0"/>
                <w:sz w:val="18"/>
              </w:rPr>
              <w:t>令和6年度から令和8年度にかけて、東川町は＋23人、東神楽町は＋12人と増える一方、美瑛町は▲15人と減っています。</w:t>
            </w:r>
          </w:p>
        </w:tc>
        <w:tc>
          <w:tcPr>
            <w:tcW w:type="dxa" w:w="1587"/>
            <w:shd w:val="clear" w:color="auto" w:fill="F2F5FA"/>
            <w:vAlign w:val="center"/>
          </w:tcPr>
          <w:p>
            <w:pPr>
              <w:spacing w:after="0"/>
            </w:pPr>
            <w:r>
              <w:rPr>
                <w:rFonts w:ascii="游ゴシック" w:hAnsi="游ゴシック" w:eastAsia="游ゴシック"/>
                <w:b w:val="0"/>
                <w:sz w:val="18"/>
              </w:rPr>
              <w:t>町で分かれる</w:t>
            </w:r>
          </w:p>
        </w:tc>
      </w:tr>
      <w:tr>
        <w:trPr>
          <w:cantSplit/>
        </w:trPr>
        <w:tc>
          <w:tcPr>
            <w:tcW w:type="dxa" w:w="567"/>
            <w:vAlign w:val="center"/>
          </w:tcPr>
          <w:p>
            <w:pPr>
              <w:spacing w:after="0"/>
              <w:jc w:val="center"/>
            </w:pPr>
            <w:r>
              <w:rPr>
                <w:rFonts w:ascii="游ゴシック" w:hAnsi="游ゴシック" w:eastAsia="游ゴシック"/>
                <w:b w:val="0"/>
                <w:sz w:val="18"/>
              </w:rPr>
              <w:t>3</w:t>
            </w:r>
          </w:p>
        </w:tc>
        <w:tc>
          <w:tcPr>
            <w:tcW w:type="dxa" w:w="2494"/>
            <w:vAlign w:val="center"/>
          </w:tcPr>
          <w:p>
            <w:pPr>
              <w:spacing w:after="0"/>
            </w:pPr>
            <w:r>
              <w:rPr>
                <w:rFonts w:ascii="游ゴシック" w:hAnsi="游ゴシック" w:eastAsia="游ゴシック"/>
                <w:b w:val="0"/>
                <w:sz w:val="18"/>
              </w:rPr>
              <w:t>認定を受けながらサービスを利用していない方が4分の1いる</w:t>
            </w:r>
          </w:p>
        </w:tc>
        <w:tc>
          <w:tcPr>
            <w:tcW w:type="dxa" w:w="5102"/>
            <w:vAlign w:val="center"/>
          </w:tcPr>
          <w:p>
            <w:pPr>
              <w:spacing w:after="0"/>
            </w:pPr>
            <w:r>
              <w:rPr>
                <w:rFonts w:ascii="游ゴシック" w:hAnsi="游ゴシック" w:eastAsia="游ゴシック"/>
                <w:b w:val="0"/>
                <w:sz w:val="18"/>
              </w:rPr>
              <w:t>認定者1,984人のうち、いずれの介護サービスも利用していない方が推計486人（24.5％）います。</w:t>
            </w:r>
          </w:p>
        </w:tc>
        <w:tc>
          <w:tcPr>
            <w:tcW w:type="dxa" w:w="1587"/>
            <w:vAlign w:val="center"/>
          </w:tcPr>
          <w:p>
            <w:pPr>
              <w:spacing w:after="0"/>
            </w:pPr>
            <w:r>
              <w:rPr>
                <w:rFonts w:ascii="游ゴシック" w:hAnsi="游ゴシック" w:eastAsia="游ゴシック"/>
                <w:b w:val="0"/>
                <w:sz w:val="18"/>
              </w:rPr>
              <w:t>3町共通</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4</w:t>
            </w:r>
          </w:p>
        </w:tc>
        <w:tc>
          <w:tcPr>
            <w:tcW w:type="dxa" w:w="2494"/>
            <w:shd w:val="clear" w:color="auto" w:fill="F2F5FA"/>
            <w:vAlign w:val="center"/>
          </w:tcPr>
          <w:p>
            <w:pPr>
              <w:spacing w:after="0"/>
            </w:pPr>
            <w:r>
              <w:rPr>
                <w:rFonts w:ascii="游ゴシック" w:hAnsi="游ゴシック" w:eastAsia="游ゴシック"/>
                <w:b w:val="0"/>
                <w:sz w:val="18"/>
              </w:rPr>
              <w:t>24時間対応のサービスが区域内にない</w:t>
            </w:r>
          </w:p>
        </w:tc>
        <w:tc>
          <w:tcPr>
            <w:tcW w:type="dxa" w:w="5102"/>
            <w:shd w:val="clear" w:color="auto" w:fill="F2F5FA"/>
            <w:vAlign w:val="center"/>
          </w:tcPr>
          <w:p>
            <w:pPr>
              <w:spacing w:after="0"/>
            </w:pPr>
            <w:r>
              <w:rPr>
                <w:rFonts w:ascii="游ゴシック" w:hAnsi="游ゴシック" w:eastAsia="游ゴシック"/>
                <w:b w:val="0"/>
                <w:sz w:val="18"/>
              </w:rPr>
              <w:t>定期巡回・随時対応型訪問介護看護の令和11年度の見込みは月0.6人にとどまり、区域内に事業所がありません。在宅生活改善調査では、より適切と思われるサービスとして24時間対応の3サービスを挙げた回答が延べ26件ありました。</w:t>
            </w:r>
          </w:p>
        </w:tc>
        <w:tc>
          <w:tcPr>
            <w:tcW w:type="dxa" w:w="1587"/>
            <w:shd w:val="clear" w:color="auto" w:fill="F2F5FA"/>
            <w:vAlign w:val="center"/>
          </w:tcPr>
          <w:p>
            <w:pPr>
              <w:spacing w:after="0"/>
            </w:pPr>
            <w:r>
              <w:rPr>
                <w:rFonts w:ascii="游ゴシック" w:hAnsi="游ゴシック" w:eastAsia="游ゴシック"/>
                <w:b w:val="0"/>
                <w:sz w:val="18"/>
              </w:rPr>
              <w:t>3町共通</w:t>
            </w:r>
          </w:p>
        </w:tc>
      </w:tr>
      <w:tr>
        <w:trPr>
          <w:cantSplit/>
        </w:trPr>
        <w:tc>
          <w:tcPr>
            <w:tcW w:type="dxa" w:w="567"/>
            <w:vAlign w:val="center"/>
          </w:tcPr>
          <w:p>
            <w:pPr>
              <w:spacing w:after="0"/>
              <w:jc w:val="center"/>
            </w:pPr>
            <w:r>
              <w:rPr>
                <w:rFonts w:ascii="游ゴシック" w:hAnsi="游ゴシック" w:eastAsia="游ゴシック"/>
                <w:b w:val="0"/>
                <w:sz w:val="18"/>
              </w:rPr>
              <w:t>5</w:t>
            </w:r>
          </w:p>
        </w:tc>
        <w:tc>
          <w:tcPr>
            <w:tcW w:type="dxa" w:w="2494"/>
            <w:vAlign w:val="center"/>
          </w:tcPr>
          <w:p>
            <w:pPr>
              <w:spacing w:after="0"/>
            </w:pPr>
            <w:r>
              <w:rPr>
                <w:rFonts w:ascii="游ゴシック" w:hAnsi="游ゴシック" w:eastAsia="游ゴシック"/>
                <w:b w:val="0"/>
                <w:sz w:val="18"/>
              </w:rPr>
              <w:t>在宅生活の継続が困難な層がいる</w:t>
            </w:r>
          </w:p>
        </w:tc>
        <w:tc>
          <w:tcPr>
            <w:tcW w:type="dxa" w:w="5102"/>
            <w:vAlign w:val="center"/>
          </w:tcPr>
          <w:p>
            <w:pPr>
              <w:spacing w:after="0"/>
            </w:pPr>
            <w:r>
              <w:rPr>
                <w:rFonts w:ascii="游ゴシック" w:hAnsi="游ゴシック" w:eastAsia="游ゴシック"/>
                <w:b w:val="0"/>
                <w:sz w:val="18"/>
              </w:rPr>
              <w:t>在宅生活改善調査で、在宅生活の維持が困難と見込まれる方が回答のあった98人のうち72人（73.5％）でした。ただしこの調査は在宅の認定者全体を代表しません。</w:t>
            </w:r>
          </w:p>
        </w:tc>
        <w:tc>
          <w:tcPr>
            <w:tcW w:type="dxa" w:w="1587"/>
            <w:vAlign w:val="center"/>
          </w:tcPr>
          <w:p>
            <w:pPr>
              <w:spacing w:after="0"/>
            </w:pPr>
            <w:r>
              <w:rPr>
                <w:rFonts w:ascii="游ゴシック" w:hAnsi="游ゴシック" w:eastAsia="游ゴシック"/>
                <w:b w:val="0"/>
                <w:sz w:val="18"/>
              </w:rPr>
              <w:t>3町共通</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6</w:t>
            </w:r>
          </w:p>
        </w:tc>
        <w:tc>
          <w:tcPr>
            <w:tcW w:type="dxa" w:w="2494"/>
            <w:shd w:val="clear" w:color="auto" w:fill="F2F5FA"/>
            <w:vAlign w:val="center"/>
          </w:tcPr>
          <w:p>
            <w:pPr>
              <w:spacing w:after="0"/>
            </w:pPr>
            <w:r>
              <w:rPr>
                <w:rFonts w:ascii="游ゴシック" w:hAnsi="游ゴシック" w:eastAsia="游ゴシック"/>
                <w:b w:val="0"/>
                <w:sz w:val="18"/>
              </w:rPr>
              <w:t>施設入所の経路が医療機関に偏っている</w:t>
            </w:r>
          </w:p>
        </w:tc>
        <w:tc>
          <w:tcPr>
            <w:tcW w:type="dxa" w:w="5102"/>
            <w:shd w:val="clear" w:color="auto" w:fill="F2F5FA"/>
            <w:vAlign w:val="center"/>
          </w:tcPr>
          <w:p>
            <w:pPr>
              <w:spacing w:after="0"/>
            </w:pPr>
            <w:r>
              <w:rPr>
                <w:rFonts w:ascii="游ゴシック" w:hAnsi="游ゴシック" w:eastAsia="游ゴシック"/>
                <w:b w:val="0"/>
                <w:sz w:val="18"/>
              </w:rPr>
              <w:t>居所変更実態調査で、新規入所の57.0％・退去先の47.0％が病院・診療所でした。</w:t>
            </w:r>
          </w:p>
        </w:tc>
        <w:tc>
          <w:tcPr>
            <w:tcW w:type="dxa" w:w="1587"/>
            <w:shd w:val="clear" w:color="auto" w:fill="F2F5FA"/>
            <w:vAlign w:val="center"/>
          </w:tcPr>
          <w:p>
            <w:pPr>
              <w:spacing w:after="0"/>
            </w:pPr>
            <w:r>
              <w:rPr>
                <w:rFonts w:ascii="游ゴシック" w:hAnsi="游ゴシック" w:eastAsia="游ゴシック"/>
                <w:b w:val="0"/>
                <w:sz w:val="18"/>
              </w:rPr>
              <w:t>3町共通</w:t>
            </w:r>
          </w:p>
        </w:tc>
      </w:tr>
      <w:tr>
        <w:trPr>
          <w:cantSplit/>
        </w:trPr>
        <w:tc>
          <w:tcPr>
            <w:tcW w:type="dxa" w:w="567"/>
            <w:vAlign w:val="center"/>
          </w:tcPr>
          <w:p>
            <w:pPr>
              <w:spacing w:after="0"/>
              <w:jc w:val="center"/>
            </w:pPr>
            <w:r>
              <w:rPr>
                <w:rFonts w:ascii="游ゴシック" w:hAnsi="游ゴシック" w:eastAsia="游ゴシック"/>
                <w:b w:val="0"/>
                <w:sz w:val="18"/>
              </w:rPr>
              <w:t>7</w:t>
            </w:r>
          </w:p>
        </w:tc>
        <w:tc>
          <w:tcPr>
            <w:tcW w:type="dxa" w:w="2494"/>
            <w:vAlign w:val="center"/>
          </w:tcPr>
          <w:p>
            <w:pPr>
              <w:spacing w:after="0"/>
            </w:pPr>
            <w:r>
              <w:rPr>
                <w:rFonts w:ascii="游ゴシック" w:hAnsi="游ゴシック" w:eastAsia="游ゴシック"/>
                <w:b w:val="0"/>
                <w:sz w:val="18"/>
              </w:rPr>
              <w:t>地域密着型介護老人福祉施設が第10期中に定員に達する見込み</w:t>
            </w:r>
          </w:p>
        </w:tc>
        <w:tc>
          <w:tcPr>
            <w:tcW w:type="dxa" w:w="5102"/>
            <w:vAlign w:val="center"/>
          </w:tcPr>
          <w:p>
            <w:pPr>
              <w:spacing w:after="0"/>
            </w:pPr>
            <w:r>
              <w:rPr>
                <w:rFonts w:ascii="游ゴシック" w:hAnsi="游ゴシック" w:eastAsia="游ゴシック"/>
                <w:b w:val="0"/>
                <w:sz w:val="18"/>
              </w:rPr>
              <w:t>令和11年度の見込みは月61.9人で、区域内定員62人の99.9％に当たります。令和12年度には定員を超えると見込まれます。</w:t>
            </w:r>
          </w:p>
        </w:tc>
        <w:tc>
          <w:tcPr>
            <w:tcW w:type="dxa" w:w="1587"/>
            <w:vAlign w:val="center"/>
          </w:tcPr>
          <w:p>
            <w:pPr>
              <w:spacing w:after="0"/>
            </w:pPr>
            <w:r>
              <w:rPr>
                <w:rFonts w:ascii="游ゴシック" w:hAnsi="游ゴシック" w:eastAsia="游ゴシック"/>
                <w:b w:val="0"/>
                <w:sz w:val="18"/>
              </w:rPr>
              <w:t>美瑛町に定員が集中</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8</w:t>
            </w:r>
          </w:p>
        </w:tc>
        <w:tc>
          <w:tcPr>
            <w:tcW w:type="dxa" w:w="2494"/>
            <w:shd w:val="clear" w:color="auto" w:fill="F2F5FA"/>
            <w:vAlign w:val="center"/>
          </w:tcPr>
          <w:p>
            <w:pPr>
              <w:spacing w:after="0"/>
            </w:pPr>
            <w:r>
              <w:rPr>
                <w:rFonts w:ascii="游ゴシック" w:hAnsi="游ゴシック" w:eastAsia="游ゴシック"/>
                <w:b w:val="0"/>
                <w:sz w:val="18"/>
              </w:rPr>
              <w:t>認知症高齢者の受け皿の構成が町で異なる</w:t>
            </w:r>
          </w:p>
        </w:tc>
        <w:tc>
          <w:tcPr>
            <w:tcW w:type="dxa" w:w="5102"/>
            <w:shd w:val="clear" w:color="auto" w:fill="F2F5FA"/>
            <w:vAlign w:val="center"/>
          </w:tcPr>
          <w:p>
            <w:pPr>
              <w:spacing w:after="0"/>
            </w:pPr>
            <w:r>
              <w:rPr>
                <w:rFonts w:ascii="游ゴシック" w:hAnsi="游ゴシック" w:eastAsia="游ゴシック"/>
                <w:b w:val="0"/>
                <w:sz w:val="18"/>
              </w:rPr>
              <w:t>認知症対応型共同生活介護の令和11年度の見込みは月85.2人で、区域内定員99人（＋［要確認］）の86.1％に当たります。町別の月平均利用者数は東川町32人・美瑛町21人・東神楽町33人です。</w:t>
            </w:r>
          </w:p>
        </w:tc>
        <w:tc>
          <w:tcPr>
            <w:tcW w:type="dxa" w:w="1587"/>
            <w:shd w:val="clear" w:color="auto" w:fill="F2F5FA"/>
            <w:vAlign w:val="center"/>
          </w:tcPr>
          <w:p>
            <w:pPr>
              <w:spacing w:after="0"/>
            </w:pPr>
            <w:r>
              <w:rPr>
                <w:rFonts w:ascii="游ゴシック" w:hAnsi="游ゴシック" w:eastAsia="游ゴシック"/>
                <w:b w:val="0"/>
                <w:sz w:val="18"/>
              </w:rPr>
              <w:t>町で分かれる</w:t>
            </w:r>
          </w:p>
        </w:tc>
      </w:tr>
      <w:tr>
        <w:trPr>
          <w:cantSplit/>
        </w:trPr>
        <w:tc>
          <w:tcPr>
            <w:tcW w:type="dxa" w:w="567"/>
            <w:vAlign w:val="center"/>
          </w:tcPr>
          <w:p>
            <w:pPr>
              <w:spacing w:after="0"/>
              <w:jc w:val="center"/>
            </w:pPr>
            <w:r>
              <w:rPr>
                <w:rFonts w:ascii="游ゴシック" w:hAnsi="游ゴシック" w:eastAsia="游ゴシック"/>
                <w:b w:val="0"/>
                <w:sz w:val="18"/>
              </w:rPr>
              <w:t>9</w:t>
            </w:r>
          </w:p>
        </w:tc>
        <w:tc>
          <w:tcPr>
            <w:tcW w:type="dxa" w:w="2494"/>
            <w:vAlign w:val="center"/>
          </w:tcPr>
          <w:p>
            <w:pPr>
              <w:spacing w:after="0"/>
            </w:pPr>
            <w:r>
              <w:rPr>
                <w:rFonts w:ascii="游ゴシック" w:hAnsi="游ゴシック" w:eastAsia="游ゴシック"/>
                <w:b w:val="0"/>
                <w:sz w:val="18"/>
              </w:rPr>
              <w:t>認知症対応型通所介護の事業所が区域内にない</w:t>
            </w:r>
          </w:p>
        </w:tc>
        <w:tc>
          <w:tcPr>
            <w:tcW w:type="dxa" w:w="5102"/>
            <w:vAlign w:val="center"/>
          </w:tcPr>
          <w:p>
            <w:pPr>
              <w:spacing w:after="0"/>
            </w:pPr>
            <w:r>
              <w:rPr>
                <w:rFonts w:ascii="游ゴシック" w:hAnsi="游ゴシック" w:eastAsia="游ゴシック"/>
                <w:b w:val="0"/>
                <w:sz w:val="18"/>
              </w:rPr>
              <w:t>区域内に事業所がありませんが、区域外の事業所の利用により令和11年度は月1.05人の給付を見込んでいます。第9期は計画値が0であったため、対計画比が算出されず評価から漏れていました。</w:t>
            </w:r>
          </w:p>
        </w:tc>
        <w:tc>
          <w:tcPr>
            <w:tcW w:type="dxa" w:w="1587"/>
            <w:vAlign w:val="center"/>
          </w:tcPr>
          <w:p>
            <w:pPr>
              <w:spacing w:after="0"/>
            </w:pPr>
            <w:r>
              <w:rPr>
                <w:rFonts w:ascii="游ゴシック" w:hAnsi="游ゴシック" w:eastAsia="游ゴシック"/>
                <w:b w:val="0"/>
                <w:sz w:val="18"/>
              </w:rPr>
              <w:t>3町共通</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10</w:t>
            </w:r>
          </w:p>
        </w:tc>
        <w:tc>
          <w:tcPr>
            <w:tcW w:type="dxa" w:w="2494"/>
            <w:shd w:val="clear" w:color="auto" w:fill="F2F5FA"/>
            <w:vAlign w:val="center"/>
          </w:tcPr>
          <w:p>
            <w:pPr>
              <w:spacing w:after="0"/>
            </w:pPr>
            <w:r>
              <w:rPr>
                <w:rFonts w:ascii="游ゴシック" w:hAnsi="游ゴシック" w:eastAsia="游ゴシック"/>
                <w:b w:val="0"/>
                <w:sz w:val="18"/>
              </w:rPr>
              <w:t>認知症初期集中支援推進事業が1町で休止している</w:t>
            </w:r>
          </w:p>
        </w:tc>
        <w:tc>
          <w:tcPr>
            <w:tcW w:type="dxa" w:w="5102"/>
            <w:shd w:val="clear" w:color="auto" w:fill="F2F5FA"/>
            <w:vAlign w:val="center"/>
          </w:tcPr>
          <w:p>
            <w:pPr>
              <w:spacing w:after="0"/>
            </w:pPr>
            <w:r>
              <w:rPr>
                <w:rFonts w:ascii="游ゴシック" w:hAnsi="游ゴシック" w:eastAsia="游ゴシック"/>
                <w:b w:val="0"/>
                <w:sz w:val="18"/>
              </w:rPr>
              <w:t>令和7年度の実施報告書によれば、美瑛町の認知症初期集中支援推進事業は対応件数0件で、医師を確保できず休止しています。</w:t>
            </w:r>
          </w:p>
        </w:tc>
        <w:tc>
          <w:tcPr>
            <w:tcW w:type="dxa" w:w="1587"/>
            <w:shd w:val="clear" w:color="auto" w:fill="F2F5FA"/>
            <w:vAlign w:val="center"/>
          </w:tcPr>
          <w:p>
            <w:pPr>
              <w:spacing w:after="0"/>
            </w:pPr>
            <w:r>
              <w:rPr>
                <w:rFonts w:ascii="游ゴシック" w:hAnsi="游ゴシック" w:eastAsia="游ゴシック"/>
                <w:b w:val="0"/>
                <w:sz w:val="18"/>
              </w:rPr>
              <w:t>美瑛町</w:t>
            </w:r>
          </w:p>
        </w:tc>
      </w:tr>
      <w:tr>
        <w:trPr>
          <w:cantSplit/>
        </w:trPr>
        <w:tc>
          <w:tcPr>
            <w:tcW w:type="dxa" w:w="567"/>
            <w:vAlign w:val="center"/>
          </w:tcPr>
          <w:p>
            <w:pPr>
              <w:spacing w:after="0"/>
              <w:jc w:val="center"/>
            </w:pPr>
            <w:r>
              <w:rPr>
                <w:rFonts w:ascii="游ゴシック" w:hAnsi="游ゴシック" w:eastAsia="游ゴシック"/>
                <w:b w:val="0"/>
                <w:sz w:val="18"/>
              </w:rPr>
              <w:t>11</w:t>
            </w:r>
          </w:p>
        </w:tc>
        <w:tc>
          <w:tcPr>
            <w:tcW w:type="dxa" w:w="2494"/>
            <w:vAlign w:val="center"/>
          </w:tcPr>
          <w:p>
            <w:pPr>
              <w:spacing w:after="0"/>
            </w:pPr>
            <w:r>
              <w:rPr>
                <w:rFonts w:ascii="游ゴシック" w:hAnsi="游ゴシック" w:eastAsia="游ゴシック"/>
                <w:b w:val="0"/>
                <w:sz w:val="18"/>
              </w:rPr>
              <w:t>通いの場の整備状況が町で大きく異なる</w:t>
            </w:r>
          </w:p>
        </w:tc>
        <w:tc>
          <w:tcPr>
            <w:tcW w:type="dxa" w:w="5102"/>
            <w:vAlign w:val="center"/>
          </w:tcPr>
          <w:p>
            <w:pPr>
              <w:spacing w:after="0"/>
            </w:pPr>
            <w:r>
              <w:rPr>
                <w:rFonts w:ascii="游ゴシック" w:hAnsi="游ゴシック" w:eastAsia="游ゴシック"/>
                <w:b w:val="0"/>
                <w:sz w:val="18"/>
              </w:rPr>
              <w:t>箇所数は東川町2・美瑛町8・東神楽町15で、参加実人数は40人・133人・157人です。</w:t>
            </w:r>
          </w:p>
        </w:tc>
        <w:tc>
          <w:tcPr>
            <w:tcW w:type="dxa" w:w="1587"/>
            <w:vAlign w:val="center"/>
          </w:tcPr>
          <w:p>
            <w:pPr>
              <w:spacing w:after="0"/>
            </w:pPr>
            <w:r>
              <w:rPr>
                <w:rFonts w:ascii="游ゴシック" w:hAnsi="游ゴシック" w:eastAsia="游ゴシック"/>
                <w:b w:val="0"/>
                <w:sz w:val="18"/>
              </w:rPr>
              <w:t>町で分かれる</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12</w:t>
            </w:r>
          </w:p>
        </w:tc>
        <w:tc>
          <w:tcPr>
            <w:tcW w:type="dxa" w:w="2494"/>
            <w:shd w:val="clear" w:color="auto" w:fill="F2F5FA"/>
            <w:vAlign w:val="center"/>
          </w:tcPr>
          <w:p>
            <w:pPr>
              <w:spacing w:after="0"/>
            </w:pPr>
            <w:r>
              <w:rPr>
                <w:rFonts w:ascii="游ゴシック" w:hAnsi="游ゴシック" w:eastAsia="游ゴシック"/>
                <w:b w:val="0"/>
                <w:sz w:val="18"/>
              </w:rPr>
              <w:t>介護人材の確保が進まない</w:t>
            </w:r>
          </w:p>
        </w:tc>
        <w:tc>
          <w:tcPr>
            <w:tcW w:type="dxa" w:w="5102"/>
            <w:shd w:val="clear" w:color="auto" w:fill="F2F5FA"/>
            <w:vAlign w:val="center"/>
          </w:tcPr>
          <w:p>
            <w:pPr>
              <w:spacing w:after="0"/>
            </w:pPr>
            <w:r>
              <w:rPr>
                <w:rFonts w:ascii="游ゴシック" w:hAnsi="游ゴシック" w:eastAsia="游ゴシック"/>
                <w:b w:val="0"/>
                <w:sz w:val="18"/>
              </w:rPr>
              <w:t>介護人材実態調査で、外国人職員は施設・通所系の介護職員319人のうち37人（11.6％）、勤続1年未満が19.9％でした。採用83人に対し離職65人です。</w:t>
            </w:r>
          </w:p>
        </w:tc>
        <w:tc>
          <w:tcPr>
            <w:tcW w:type="dxa" w:w="1587"/>
            <w:shd w:val="clear" w:color="auto" w:fill="F2F5FA"/>
            <w:vAlign w:val="center"/>
          </w:tcPr>
          <w:p>
            <w:pPr>
              <w:spacing w:after="0"/>
            </w:pPr>
            <w:r>
              <w:rPr>
                <w:rFonts w:ascii="游ゴシック" w:hAnsi="游ゴシック" w:eastAsia="游ゴシック"/>
                <w:b w:val="0"/>
                <w:sz w:val="18"/>
              </w:rPr>
              <w:t>3町共通</w:t>
            </w:r>
          </w:p>
        </w:tc>
      </w:tr>
      <w:tr>
        <w:trPr>
          <w:cantSplit/>
        </w:trPr>
        <w:tc>
          <w:tcPr>
            <w:tcW w:type="dxa" w:w="567"/>
            <w:vAlign w:val="center"/>
          </w:tcPr>
          <w:p>
            <w:pPr>
              <w:spacing w:after="0"/>
              <w:jc w:val="center"/>
            </w:pPr>
            <w:r>
              <w:rPr>
                <w:rFonts w:ascii="游ゴシック" w:hAnsi="游ゴシック" w:eastAsia="游ゴシック"/>
                <w:b w:val="0"/>
                <w:sz w:val="18"/>
              </w:rPr>
              <w:t>13</w:t>
            </w:r>
          </w:p>
        </w:tc>
        <w:tc>
          <w:tcPr>
            <w:tcW w:type="dxa" w:w="2494"/>
            <w:vAlign w:val="center"/>
          </w:tcPr>
          <w:p>
            <w:pPr>
              <w:spacing w:after="0"/>
            </w:pPr>
            <w:r>
              <w:rPr>
                <w:rFonts w:ascii="游ゴシック" w:hAnsi="游ゴシック" w:eastAsia="游ゴシック"/>
                <w:b w:val="0"/>
                <w:sz w:val="18"/>
              </w:rPr>
              <w:t>除雪など介護保険の給付対象外の困りごとが大きい</w:t>
            </w:r>
          </w:p>
        </w:tc>
        <w:tc>
          <w:tcPr>
            <w:tcW w:type="dxa" w:w="5102"/>
            <w:vAlign w:val="center"/>
          </w:tcPr>
          <w:p>
            <w:pPr>
              <w:spacing w:after="0"/>
            </w:pPr>
            <w:r>
              <w:rPr>
                <w:rFonts w:ascii="游ゴシック" w:hAnsi="游ゴシック" w:eastAsia="游ゴシック"/>
                <w:b w:val="0"/>
                <w:sz w:val="18"/>
              </w:rPr>
              <w:t>健康とくらしの調査で、生活動作の困りごととして除雪を挙げた方が回答者4,128票のうち1,002人（24.3％）でした。</w:t>
            </w:r>
          </w:p>
        </w:tc>
        <w:tc>
          <w:tcPr>
            <w:tcW w:type="dxa" w:w="1587"/>
            <w:vAlign w:val="center"/>
          </w:tcPr>
          <w:p>
            <w:pPr>
              <w:spacing w:after="0"/>
            </w:pPr>
            <w:r>
              <w:rPr>
                <w:rFonts w:ascii="游ゴシック" w:hAnsi="游ゴシック" w:eastAsia="游ゴシック"/>
                <w:b w:val="0"/>
                <w:sz w:val="18"/>
              </w:rPr>
              <w:t>3町共通</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8"/>
              </w:rPr>
              <w:t>14</w:t>
            </w:r>
          </w:p>
        </w:tc>
        <w:tc>
          <w:tcPr>
            <w:tcW w:type="dxa" w:w="2494"/>
            <w:shd w:val="clear" w:color="auto" w:fill="F2F5FA"/>
            <w:vAlign w:val="center"/>
          </w:tcPr>
          <w:p>
            <w:pPr>
              <w:spacing w:after="0"/>
            </w:pPr>
            <w:r>
              <w:rPr>
                <w:rFonts w:ascii="游ゴシック" w:hAnsi="游ゴシック" w:eastAsia="游ゴシック"/>
                <w:b w:val="0"/>
                <w:sz w:val="18"/>
              </w:rPr>
              <w:t>保険者機能強化推進交付金等の得点に町の差がある</w:t>
            </w:r>
          </w:p>
        </w:tc>
        <w:tc>
          <w:tcPr>
            <w:tcW w:type="dxa" w:w="5102"/>
            <w:shd w:val="clear" w:color="auto" w:fill="F2F5FA"/>
            <w:vAlign w:val="center"/>
          </w:tcPr>
          <w:p>
            <w:pPr>
              <w:spacing w:after="0"/>
            </w:pPr>
            <w:r>
              <w:rPr>
                <w:rFonts w:ascii="游ゴシック" w:hAnsi="游ゴシック" w:eastAsia="游ゴシック"/>
                <w:b w:val="0"/>
                <w:sz w:val="18"/>
              </w:rPr>
              <w:t>令和8年度は東川町315点・美瑛町308点・東神楽町379点で、最大の差は71点です。令和6年度からの動きも東川町▲1点・美瑛町▲4点・東神楽町＋11点と分かれています。</w:t>
            </w:r>
          </w:p>
        </w:tc>
        <w:tc>
          <w:tcPr>
            <w:tcW w:type="dxa" w:w="1587"/>
            <w:shd w:val="clear" w:color="auto" w:fill="F2F5FA"/>
            <w:vAlign w:val="center"/>
          </w:tcPr>
          <w:p>
            <w:pPr>
              <w:spacing w:after="0"/>
            </w:pPr>
            <w:r>
              <w:rPr>
                <w:rFonts w:ascii="游ゴシック" w:hAnsi="游ゴシック" w:eastAsia="游ゴシック"/>
                <w:b w:val="0"/>
                <w:sz w:val="18"/>
              </w:rPr>
              <w:t>町で分かれる</w:t>
            </w:r>
          </w:p>
        </w:tc>
      </w:tr>
      <w:tr>
        <w:trPr>
          <w:cantSplit/>
        </w:trPr>
        <w:tc>
          <w:tcPr>
            <w:tcW w:type="dxa" w:w="567"/>
            <w:vAlign w:val="center"/>
          </w:tcPr>
          <w:p>
            <w:pPr>
              <w:spacing w:after="0"/>
              <w:jc w:val="center"/>
            </w:pPr>
            <w:r>
              <w:rPr>
                <w:rFonts w:ascii="游ゴシック" w:hAnsi="游ゴシック" w:eastAsia="游ゴシック"/>
                <w:b w:val="0"/>
                <w:sz w:val="18"/>
              </w:rPr>
              <w:t>15</w:t>
            </w:r>
          </w:p>
        </w:tc>
        <w:tc>
          <w:tcPr>
            <w:tcW w:type="dxa" w:w="2494"/>
            <w:vAlign w:val="center"/>
          </w:tcPr>
          <w:p>
            <w:pPr>
              <w:spacing w:after="0"/>
            </w:pPr>
            <w:r>
              <w:rPr>
                <w:rFonts w:ascii="游ゴシック" w:hAnsi="游ゴシック" w:eastAsia="游ゴシック"/>
                <w:b w:val="0"/>
                <w:sz w:val="18"/>
              </w:rPr>
              <w:t>地域ケア会議の成果を測る指標がない</w:t>
            </w:r>
          </w:p>
        </w:tc>
        <w:tc>
          <w:tcPr>
            <w:tcW w:type="dxa" w:w="5102"/>
            <w:vAlign w:val="center"/>
          </w:tcPr>
          <w:p>
            <w:pPr>
              <w:spacing w:after="0"/>
            </w:pPr>
            <w:r>
              <w:rPr>
                <w:rFonts w:ascii="游ゴシック" w:hAnsi="游ゴシック" w:eastAsia="游ゴシック"/>
                <w:b w:val="0"/>
                <w:sz w:val="18"/>
              </w:rPr>
              <w:t>第9期の評価で「指標不足・成果を測る指標がない」と判定しました。指標は会議の開催回数のみです。令和7年度の実施報告書でも、回数・人数と単位がそろわず3町を合計できません。</w:t>
            </w:r>
          </w:p>
        </w:tc>
        <w:tc>
          <w:tcPr>
            <w:tcW w:type="dxa" w:w="1587"/>
            <w:vAlign w:val="center"/>
          </w:tcPr>
          <w:p>
            <w:pPr>
              <w:spacing w:after="0"/>
            </w:pPr>
            <w:r>
              <w:rPr>
                <w:rFonts w:ascii="游ゴシック" w:hAnsi="游ゴシック" w:eastAsia="游ゴシック"/>
                <w:b w:val="0"/>
                <w:sz w:val="18"/>
              </w:rPr>
              <w:t>3町共通</w:t>
            </w:r>
          </w:p>
        </w:tc>
      </w:tr>
    </w:tbl>
    <w:p>
      <w:pPr>
        <w:spacing w:after="80"/>
      </w:pPr>
      <w:r>
        <w:rPr>
          <w:rFonts w:ascii="游ゴシック" w:hAnsi="游ゴシック" w:eastAsia="游ゴシック"/>
          <w:b w:val="0"/>
          <w:sz w:val="17"/>
        </w:rPr>
        <w:t>資料：10月 地域課題の整理と3町協議の確認事項</w:t>
      </w:r>
    </w:p>
    <w:p>
      <w:pPr>
        <w:ind w:left="227"/>
      </w:pPr>
      <w:r>
        <w:rPr>
          <w:rFonts w:ascii="游ゴシック" w:hAnsi="游ゴシック" w:eastAsia="游ゴシック"/>
          <w:b w:val="0"/>
          <w:sz w:val="18"/>
        </w:rPr>
        <w:t>※ 出所と計画本文の反映先は上記の資料に掲げています。</w:t>
      </w:r>
    </w:p>
    <w:p>
      <w:pPr>
        <w:keepNext/>
        <w:pageBreakBefore/>
        <w:spacing w:before="0" w:after="120"/>
      </w:pPr>
      <w:r>
        <w:rPr>
          <w:rFonts w:ascii="游ゴシック" w:hAnsi="游ゴシック" w:eastAsia="游ゴシック"/>
          <w:b/>
          <w:color w:val="1F3864"/>
          <w:sz w:val="26"/>
        </w:rPr>
        <w:t>第7節　ご決定をお願いする事項（3町共通）</w:t>
      </w:r>
    </w:p>
    <w:p>
      <w:pPr>
        <w:spacing w:after="80"/>
      </w:pPr>
      <w:r>
        <w:rPr>
          <w:rFonts w:ascii="游ゴシック" w:hAnsi="游ゴシック" w:eastAsia="游ゴシック"/>
          <w:b w:val="0"/>
          <w:sz w:val="21"/>
        </w:rPr>
        <w:t>広域連合として決めていただく事項です。「決まらない場合の当方の扱い」は受託者の仮置きであり、本意見交換会でその内容を諮ります。</w:t>
      </w:r>
      <w:r>
        <w:rPr>
          <w:rFonts w:ascii="游ゴシック" w:hAnsi="游ゴシック" w:eastAsia="游ゴシック"/>
          <w:b/>
          <w:sz w:val="21"/>
        </w:rPr>
        <w:t>仮置きのままでは計画として確定できません。</w:t>
      </w:r>
    </w:p>
    <w:p>
      <w:pPr>
        <w:spacing w:after="80"/>
      </w:pPr>
      <w:r>
        <w:rPr>
          <w:rFonts w:ascii="游ゴシック" w:hAnsi="游ゴシック" w:eastAsia="游ゴシック"/>
          <w:b w:val="0"/>
          <w:sz w:val="20"/>
        </w:rPr>
        <w:t>3町共通で30件ありますが、会の所要に限りがあるため</w:t>
      </w:r>
      <w:r>
        <w:rPr>
          <w:rFonts w:ascii="游ゴシック" w:hAnsi="游ゴシック" w:eastAsia="游ゴシック"/>
          <w:b/>
          <w:sz w:val="20"/>
        </w:rPr>
        <w:t>この場でご決定をお願いしたいものをA群4件（計60分）に絞っています。</w:t>
      </w:r>
      <w:r>
        <w:rPr>
          <w:rFonts w:ascii="游ゴシック" w:hAnsi="游ゴシック" w:eastAsia="游ゴシック"/>
          <w:b w:val="0"/>
          <w:sz w:val="20"/>
        </w:rPr>
        <w:t xml:space="preserve"> B群4件（計20分）は時間があればご決定をお願いしたいもの、C群10件は当方の仮置きのまま第2次概算に進めるものです。A群・B群に挙げたものを含め、30件のすべてを4から6に掲げています。</w:t>
      </w:r>
    </w:p>
    <w:p>
      <w:pPr>
        <w:keepNext/>
        <w:spacing w:before="180" w:after="60"/>
      </w:pPr>
      <w:r>
        <w:rPr>
          <w:rFonts w:ascii="游ゴシック" w:hAnsi="游ゴシック" w:eastAsia="游ゴシック"/>
          <w:b/>
          <w:sz w:val="22"/>
        </w:rPr>
        <w:t>1　A群　この場でご決定をお願いしたいこと（4件・計60分）</w:t>
      </w:r>
    </w:p>
    <w:p>
      <w:pPr>
        <w:keepNext/>
        <w:spacing w:before="160" w:after="40"/>
      </w:pPr>
      <w:r>
        <w:rPr>
          <w:rFonts w:ascii="游ゴシック" w:hAnsi="游ゴシック" w:eastAsia="游ゴシック"/>
          <w:b/>
          <w:sz w:val="20"/>
        </w:rPr>
        <w:t>表14　A群　この場でご決定をお願いしたいこと</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680"/>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3969"/>
            <w:shd w:val="clear" w:color="auto" w:fill="1F3864"/>
            <w:vAlign w:val="center"/>
          </w:tcPr>
          <w:p>
            <w:pPr>
              <w:keepNext/>
              <w:spacing w:after="0"/>
              <w:jc w:val="center"/>
            </w:pPr>
            <w:r>
              <w:rPr>
                <w:rFonts w:ascii="游ゴシック" w:hAnsi="游ゴシック" w:eastAsia="游ゴシック"/>
                <w:b/>
                <w:color w:val="FFFFFF"/>
                <w:sz w:val="18"/>
              </w:rPr>
              <w:t>決めること</w:t>
            </w:r>
          </w:p>
        </w:tc>
        <w:tc>
          <w:tcPr>
            <w:tcW w:type="dxa" w:w="2494"/>
            <w:shd w:val="clear" w:color="auto" w:fill="1F3864"/>
            <w:vAlign w:val="center"/>
          </w:tcPr>
          <w:p>
            <w:pPr>
              <w:keepNext/>
              <w:spacing w:after="0"/>
              <w:jc w:val="center"/>
            </w:pPr>
            <w:r>
              <w:rPr>
                <w:rFonts w:ascii="游ゴシック" w:hAnsi="游ゴシック" w:eastAsia="游ゴシック"/>
                <w:b/>
                <w:color w:val="FFFFFF"/>
                <w:sz w:val="18"/>
              </w:rPr>
              <w:t>確認事項</w:t>
            </w:r>
          </w:p>
        </w:tc>
        <w:tc>
          <w:tcPr>
            <w:tcW w:type="dxa" w:w="1247"/>
            <w:shd w:val="clear" w:color="auto" w:fill="1F3864"/>
            <w:vAlign w:val="center"/>
          </w:tcPr>
          <w:p>
            <w:pPr>
              <w:keepNext/>
              <w:spacing w:after="0"/>
              <w:jc w:val="center"/>
            </w:pPr>
            <w:r>
              <w:rPr>
                <w:rFonts w:ascii="游ゴシック" w:hAnsi="游ゴシック" w:eastAsia="游ゴシック"/>
                <w:b/>
                <w:color w:val="FFFFFF"/>
                <w:sz w:val="18"/>
              </w:rPr>
              <w:t>観点</w:t>
            </w:r>
          </w:p>
        </w:tc>
        <w:tc>
          <w:tcPr>
            <w:tcW w:type="dxa" w:w="907"/>
            <w:shd w:val="clear" w:color="auto" w:fill="1F3864"/>
            <w:vAlign w:val="center"/>
          </w:tcPr>
          <w:p>
            <w:pPr>
              <w:keepNext/>
              <w:spacing w:after="0"/>
              <w:jc w:val="center"/>
            </w:pPr>
            <w:r>
              <w:rPr>
                <w:rFonts w:ascii="游ゴシック" w:hAnsi="游ゴシック" w:eastAsia="游ゴシック"/>
                <w:b/>
                <w:color w:val="FFFFFF"/>
                <w:sz w:val="18"/>
              </w:rPr>
              <w:t>目安</w:t>
            </w:r>
          </w:p>
        </w:tc>
      </w:tr>
      <w:tr>
        <w:trPr>
          <w:cantSplit/>
        </w:trPr>
        <w:tc>
          <w:tcPr>
            <w:tcW w:type="dxa" w:w="680"/>
            <w:vAlign w:val="center"/>
          </w:tcPr>
          <w:p>
            <w:pPr>
              <w:keepNext/>
              <w:spacing w:after="0"/>
              <w:jc w:val="center"/>
            </w:pPr>
            <w:r>
              <w:rPr>
                <w:rFonts w:ascii="游ゴシック" w:hAnsi="游ゴシック" w:eastAsia="游ゴシック"/>
                <w:b/>
                <w:sz w:val="18"/>
              </w:rPr>
              <w:t>A1</w:t>
            </w:r>
          </w:p>
        </w:tc>
        <w:tc>
          <w:tcPr>
            <w:tcW w:type="dxa" w:w="3969"/>
            <w:vAlign w:val="center"/>
          </w:tcPr>
          <w:p>
            <w:pPr>
              <w:keepNext/>
              <w:spacing w:after="0"/>
            </w:pPr>
            <w:r>
              <w:rPr>
                <w:rFonts w:ascii="游ゴシック" w:hAnsi="游ゴシック" w:eastAsia="游ゴシック"/>
                <w:b w:val="0"/>
                <w:sz w:val="18"/>
              </w:rPr>
              <w:t>日常生活圏域ごとの必要利用定員総数と施設整備の方針</w:t>
            </w:r>
          </w:p>
        </w:tc>
        <w:tc>
          <w:tcPr>
            <w:tcW w:type="dxa" w:w="2494"/>
            <w:vAlign w:val="center"/>
          </w:tcPr>
          <w:p>
            <w:pPr>
              <w:keepNext/>
              <w:spacing w:after="0"/>
            </w:pPr>
            <w:r>
              <w:rPr>
                <w:rFonts w:ascii="游ゴシック" w:hAnsi="游ゴシック" w:eastAsia="游ゴシック"/>
                <w:b w:val="0"/>
                <w:sz w:val="18"/>
              </w:rPr>
              <w:t>No.88・No.96・No.23</w:t>
            </w:r>
          </w:p>
        </w:tc>
        <w:tc>
          <w:tcPr>
            <w:tcW w:type="dxa" w:w="1247"/>
            <w:vAlign w:val="center"/>
          </w:tcPr>
          <w:p>
            <w:pPr>
              <w:keepNext/>
              <w:spacing w:after="0"/>
              <w:jc w:val="center"/>
            </w:pPr>
            <w:r>
              <w:rPr>
                <w:rFonts w:ascii="游ゴシック" w:hAnsi="游ゴシック" w:eastAsia="游ゴシック"/>
                <w:b w:val="0"/>
                <w:sz w:val="18"/>
              </w:rPr>
              <w:t>①③④</w:t>
            </w:r>
          </w:p>
        </w:tc>
        <w:tc>
          <w:tcPr>
            <w:tcW w:type="dxa" w:w="907"/>
            <w:vAlign w:val="center"/>
          </w:tcPr>
          <w:p>
            <w:pPr>
              <w:keepNext/>
              <w:spacing w:after="0"/>
              <w:jc w:val="center"/>
            </w:pPr>
            <w:r>
              <w:rPr>
                <w:rFonts w:ascii="游ゴシック" w:hAnsi="游ゴシック" w:eastAsia="游ゴシック"/>
                <w:b/>
                <w:sz w:val="18"/>
              </w:rPr>
              <w:t>20分</w:t>
            </w:r>
          </w:p>
        </w:tc>
      </w:tr>
      <w:tr>
        <w:trPr>
          <w:cantSplit/>
        </w:trPr>
        <w:tc>
          <w:tcPr>
            <w:tcW w:type="dxa" w:w="680"/>
            <w:shd w:val="clear" w:color="auto" w:fill="F2F5FA"/>
            <w:vAlign w:val="center"/>
          </w:tcPr>
          <w:p>
            <w:pPr>
              <w:keepNext/>
              <w:spacing w:after="0"/>
              <w:jc w:val="center"/>
            </w:pPr>
            <w:r>
              <w:rPr>
                <w:rFonts w:ascii="游ゴシック" w:hAnsi="游ゴシック" w:eastAsia="游ゴシック"/>
                <w:b/>
                <w:sz w:val="18"/>
              </w:rPr>
              <w:t>A2</w:t>
            </w:r>
          </w:p>
        </w:tc>
        <w:tc>
          <w:tcPr>
            <w:tcW w:type="dxa" w:w="3969"/>
            <w:shd w:val="clear" w:color="auto" w:fill="F2F5FA"/>
            <w:vAlign w:val="center"/>
          </w:tcPr>
          <w:p>
            <w:pPr>
              <w:keepNext/>
              <w:spacing w:after="0"/>
            </w:pPr>
            <w:r>
              <w:rPr>
                <w:rFonts w:ascii="游ゴシック" w:hAnsi="游ゴシック" w:eastAsia="游ゴシック"/>
                <w:b w:val="0"/>
                <w:sz w:val="18"/>
              </w:rPr>
              <w:t>サービス見込量の置き方（供給の制約・令和9年4月新設の区分・施設及び居住系の実績の減少）</w:t>
            </w:r>
          </w:p>
        </w:tc>
        <w:tc>
          <w:tcPr>
            <w:tcW w:type="dxa" w:w="2494"/>
            <w:shd w:val="clear" w:color="auto" w:fill="F2F5FA"/>
            <w:vAlign w:val="center"/>
          </w:tcPr>
          <w:p>
            <w:pPr>
              <w:keepNext/>
              <w:spacing w:after="0"/>
            </w:pPr>
            <w:r>
              <w:rPr>
                <w:rFonts w:ascii="游ゴシック" w:hAnsi="游ゴシック" w:eastAsia="游ゴシック"/>
                <w:b w:val="0"/>
                <w:sz w:val="18"/>
              </w:rPr>
              <w:t>No.116・No.115・No.107</w:t>
            </w:r>
          </w:p>
        </w:tc>
        <w:tc>
          <w:tcPr>
            <w:tcW w:type="dxa" w:w="1247"/>
            <w:shd w:val="clear" w:color="auto" w:fill="F2F5FA"/>
            <w:vAlign w:val="center"/>
          </w:tcPr>
          <w:p>
            <w:pPr>
              <w:keepNext/>
              <w:spacing w:after="0"/>
              <w:jc w:val="center"/>
            </w:pPr>
            <w:r>
              <w:rPr>
                <w:rFonts w:ascii="游ゴシック" w:hAnsi="游ゴシック" w:eastAsia="游ゴシック"/>
                <w:b w:val="0"/>
                <w:sz w:val="18"/>
              </w:rPr>
              <w:t>①②④</w:t>
            </w:r>
          </w:p>
        </w:tc>
        <w:tc>
          <w:tcPr>
            <w:tcW w:type="dxa" w:w="907"/>
            <w:shd w:val="clear" w:color="auto" w:fill="F2F5FA"/>
            <w:vAlign w:val="center"/>
          </w:tcPr>
          <w:p>
            <w:pPr>
              <w:keepNext/>
              <w:spacing w:after="0"/>
              <w:jc w:val="center"/>
            </w:pPr>
            <w:r>
              <w:rPr>
                <w:rFonts w:ascii="游ゴシック" w:hAnsi="游ゴシック" w:eastAsia="游ゴシック"/>
                <w:b/>
                <w:sz w:val="18"/>
              </w:rPr>
              <w:t>15分</w:t>
            </w:r>
          </w:p>
        </w:tc>
      </w:tr>
      <w:tr>
        <w:trPr>
          <w:cantSplit/>
        </w:trPr>
        <w:tc>
          <w:tcPr>
            <w:tcW w:type="dxa" w:w="680"/>
            <w:vAlign w:val="center"/>
          </w:tcPr>
          <w:p>
            <w:pPr>
              <w:keepNext/>
              <w:spacing w:after="0"/>
              <w:jc w:val="center"/>
            </w:pPr>
            <w:r>
              <w:rPr>
                <w:rFonts w:ascii="游ゴシック" w:hAnsi="游ゴシック" w:eastAsia="游ゴシック"/>
                <w:b/>
                <w:sz w:val="18"/>
              </w:rPr>
              <w:t>A3</w:t>
            </w:r>
          </w:p>
        </w:tc>
        <w:tc>
          <w:tcPr>
            <w:tcW w:type="dxa" w:w="3969"/>
            <w:vAlign w:val="center"/>
          </w:tcPr>
          <w:p>
            <w:pPr>
              <w:keepNext/>
              <w:spacing w:after="0"/>
            </w:pPr>
            <w:r>
              <w:rPr>
                <w:rFonts w:ascii="游ゴシック" w:hAnsi="游ゴシック" w:eastAsia="游ゴシック"/>
                <w:b w:val="0"/>
                <w:sz w:val="18"/>
              </w:rPr>
              <w:t>市町村認知症施策推進計画と地域ケア会議の計数</w:t>
            </w:r>
          </w:p>
        </w:tc>
        <w:tc>
          <w:tcPr>
            <w:tcW w:type="dxa" w:w="2494"/>
            <w:vAlign w:val="center"/>
          </w:tcPr>
          <w:p>
            <w:pPr>
              <w:keepNext/>
              <w:spacing w:after="0"/>
            </w:pPr>
            <w:r>
              <w:rPr>
                <w:rFonts w:ascii="游ゴシック" w:hAnsi="游ゴシック" w:eastAsia="游ゴシック"/>
                <w:b w:val="0"/>
                <w:sz w:val="18"/>
              </w:rPr>
              <w:t>No.130・No.121・No.119・No.120</w:t>
            </w:r>
          </w:p>
        </w:tc>
        <w:tc>
          <w:tcPr>
            <w:tcW w:type="dxa" w:w="1247"/>
            <w:vAlign w:val="center"/>
          </w:tcPr>
          <w:p>
            <w:pPr>
              <w:keepNext/>
              <w:spacing w:after="0"/>
              <w:jc w:val="center"/>
            </w:pPr>
            <w:r>
              <w:rPr>
                <w:rFonts w:ascii="游ゴシック" w:hAnsi="游ゴシック" w:eastAsia="游ゴシック"/>
                <w:b w:val="0"/>
                <w:sz w:val="18"/>
              </w:rPr>
              <w:t>①③</w:t>
            </w:r>
          </w:p>
        </w:tc>
        <w:tc>
          <w:tcPr>
            <w:tcW w:type="dxa" w:w="907"/>
            <w:vAlign w:val="center"/>
          </w:tcPr>
          <w:p>
            <w:pPr>
              <w:keepNext/>
              <w:spacing w:after="0"/>
              <w:jc w:val="center"/>
            </w:pPr>
            <w:r>
              <w:rPr>
                <w:rFonts w:ascii="游ゴシック" w:hAnsi="游ゴシック" w:eastAsia="游ゴシック"/>
                <w:b/>
                <w:sz w:val="18"/>
              </w:rPr>
              <w:t>15分</w:t>
            </w:r>
          </w:p>
        </w:tc>
      </w:tr>
      <w:tr>
        <w:trPr>
          <w:cantSplit/>
        </w:trPr>
        <w:tc>
          <w:tcPr>
            <w:tcW w:type="dxa" w:w="680"/>
            <w:shd w:val="clear" w:color="auto" w:fill="F2F5FA"/>
            <w:vAlign w:val="center"/>
          </w:tcPr>
          <w:p>
            <w:pPr>
              <w:keepNext/>
              <w:spacing w:after="0"/>
              <w:jc w:val="center"/>
            </w:pPr>
            <w:r>
              <w:rPr>
                <w:rFonts w:ascii="游ゴシック" w:hAnsi="游ゴシック" w:eastAsia="游ゴシック"/>
                <w:b/>
                <w:sz w:val="18"/>
              </w:rPr>
              <w:t>A4</w:t>
            </w:r>
          </w:p>
        </w:tc>
        <w:tc>
          <w:tcPr>
            <w:tcW w:type="dxa" w:w="3969"/>
            <w:shd w:val="clear" w:color="auto" w:fill="F2F5FA"/>
            <w:vAlign w:val="center"/>
          </w:tcPr>
          <w:p>
            <w:pPr>
              <w:keepNext/>
              <w:spacing w:after="0"/>
            </w:pPr>
            <w:r>
              <w:rPr>
                <w:rFonts w:ascii="游ゴシック" w:hAnsi="游ゴシック" w:eastAsia="游ゴシック"/>
                <w:b w:val="0"/>
                <w:sz w:val="18"/>
              </w:rPr>
              <w:t>町別のデータと町別データシートの配付、協議の進め方</w:t>
            </w:r>
          </w:p>
        </w:tc>
        <w:tc>
          <w:tcPr>
            <w:tcW w:type="dxa" w:w="2494"/>
            <w:shd w:val="clear" w:color="auto" w:fill="F2F5FA"/>
            <w:vAlign w:val="center"/>
          </w:tcPr>
          <w:p>
            <w:pPr>
              <w:keepNext/>
              <w:spacing w:after="0"/>
            </w:pPr>
            <w:r>
              <w:rPr>
                <w:rFonts w:ascii="游ゴシック" w:hAnsi="游ゴシック" w:eastAsia="游ゴシック"/>
                <w:b w:val="0"/>
                <w:sz w:val="18"/>
              </w:rPr>
              <w:t>No.11・No.12・No.85・No.83</w:t>
            </w:r>
          </w:p>
        </w:tc>
        <w:tc>
          <w:tcPr>
            <w:tcW w:type="dxa" w:w="1247"/>
            <w:shd w:val="clear" w:color="auto" w:fill="F2F5FA"/>
            <w:vAlign w:val="center"/>
          </w:tcPr>
          <w:p>
            <w:pPr>
              <w:keepNext/>
              <w:spacing w:after="0"/>
              <w:jc w:val="center"/>
            </w:pPr>
            <w:r>
              <w:rPr>
                <w:rFonts w:ascii="游ゴシック" w:hAnsi="游ゴシック" w:eastAsia="游ゴシック"/>
                <w:b w:val="0"/>
                <w:sz w:val="18"/>
              </w:rPr>
              <w:t>①④</w:t>
            </w:r>
          </w:p>
        </w:tc>
        <w:tc>
          <w:tcPr>
            <w:tcW w:type="dxa" w:w="907"/>
            <w:shd w:val="clear" w:color="auto" w:fill="F2F5FA"/>
            <w:vAlign w:val="center"/>
          </w:tcPr>
          <w:p>
            <w:pPr>
              <w:keepNext/>
              <w:spacing w:after="0"/>
              <w:jc w:val="center"/>
            </w:pPr>
            <w:r>
              <w:rPr>
                <w:rFonts w:ascii="游ゴシック" w:hAnsi="游ゴシック" w:eastAsia="游ゴシック"/>
                <w:b/>
                <w:sz w:val="18"/>
              </w:rPr>
              <w:t>10分</w:t>
            </w:r>
          </w:p>
        </w:tc>
      </w:tr>
      <w:tr>
        <w:trPr>
          <w:cantSplit/>
        </w:trPr>
        <w:tc>
          <w:tcPr>
            <w:tcW w:type="dxa" w:w="680"/>
            <w:vAlign w:val="center"/>
          </w:tcPr>
          <w:p>
            <w:pPr>
              <w:spacing w:after="0"/>
              <w:jc w:val="center"/>
            </w:pPr>
            <w:r>
              <w:rPr>
                <w:rFonts w:ascii="游ゴシック" w:hAnsi="游ゴシック" w:eastAsia="游ゴシック"/>
                <w:b/>
                <w:sz w:val="18"/>
              </w:rPr>
              <w:t>計</w:t>
            </w:r>
          </w:p>
        </w:tc>
        <w:tc>
          <w:tcPr>
            <w:tcW w:type="dxa" w:w="3969"/>
            <w:vAlign w:val="center"/>
          </w:tcPr>
          <w:p>
            <w:pPr>
              <w:spacing w:after="0"/>
            </w:pPr>
            <w:r>
              <w:rPr>
                <w:rFonts w:ascii="游ゴシック" w:hAnsi="游ゴシック" w:eastAsia="游ゴシック"/>
                <w:sz w:val="18"/>
              </w:rPr>
            </w:r>
          </w:p>
        </w:tc>
        <w:tc>
          <w:tcPr>
            <w:tcW w:type="dxa" w:w="2494"/>
            <w:vAlign w:val="center"/>
          </w:tcPr>
          <w:p>
            <w:pPr>
              <w:spacing w:after="0"/>
            </w:pPr>
            <w:r>
              <w:rPr>
                <w:rFonts w:ascii="游ゴシック" w:hAnsi="游ゴシック" w:eastAsia="游ゴシック"/>
                <w:sz w:val="18"/>
              </w:rPr>
            </w:r>
          </w:p>
        </w:tc>
        <w:tc>
          <w:tcPr>
            <w:tcW w:type="dxa" w:w="1247"/>
            <w:vAlign w:val="center"/>
          </w:tcPr>
          <w:p>
            <w:pPr>
              <w:spacing w:after="0"/>
              <w:jc w:val="center"/>
            </w:pPr>
            <w:r>
              <w:rPr>
                <w:rFonts w:ascii="游ゴシック" w:hAnsi="游ゴシック" w:eastAsia="游ゴシック"/>
                <w:sz w:val="18"/>
              </w:rPr>
            </w:r>
          </w:p>
        </w:tc>
        <w:tc>
          <w:tcPr>
            <w:tcW w:type="dxa" w:w="907"/>
            <w:vAlign w:val="center"/>
          </w:tcPr>
          <w:p>
            <w:pPr>
              <w:spacing w:after="0"/>
              <w:jc w:val="center"/>
            </w:pPr>
            <w:r>
              <w:rPr>
                <w:rFonts w:ascii="游ゴシック" w:hAnsi="游ゴシック" w:eastAsia="游ゴシック"/>
                <w:b/>
                <w:sz w:val="18"/>
              </w:rPr>
              <w:t>60分</w:t>
            </w:r>
          </w:p>
        </w:tc>
      </w:tr>
    </w:tbl>
    <w:p>
      <w:pPr>
        <w:spacing w:after="80"/>
      </w:pPr>
      <w:r>
        <w:rPr>
          <w:rFonts w:ascii="游ゴシック" w:hAnsi="游ゴシック" w:eastAsia="游ゴシック"/>
          <w:b/>
          <w:sz w:val="20"/>
        </w:rPr>
        <w:t>A1　日常生活圏域ごとの必要利用定員総数と施設整備の方針（No.88・No.96・No.23。①③④　20分）</w:t>
      </w:r>
    </w:p>
    <w:p>
      <w:pPr>
        <w:spacing w:after="80"/>
      </w:pPr>
      <w:r>
        <w:rPr>
          <w:rFonts w:ascii="游ゴシック" w:hAnsi="游ゴシック" w:eastAsia="游ゴシック"/>
          <w:b/>
          <w:sz w:val="20"/>
        </w:rPr>
        <w:t>介護保険法第117条第2項第1号の法定記載事項であり、記載を落とすことができません。</w:t>
      </w:r>
      <w:r>
        <w:rPr>
          <w:rFonts w:ascii="游ゴシック" w:hAnsi="游ゴシック" w:eastAsia="游ゴシック"/>
          <w:b w:val="0"/>
          <w:sz w:val="20"/>
        </w:rPr>
        <w:t xml:space="preserve"> 計画素案の未確定箇所は第6章第4節（施設の見込み）に最も多く集中しており、基盤整備の単位と3町の整備の方針が決まればその大半が解消します。認知症対応型共同生活介護の圏域別定員は、共同生活住居数と1事業所の定員が未確定であるため算定できません。</w:t>
      </w:r>
    </w:p>
    <w:p>
      <w:pPr>
        <w:keepNext/>
        <w:spacing w:before="160" w:after="40"/>
      </w:pPr>
      <w:r>
        <w:rPr>
          <w:rFonts w:ascii="游ゴシック" w:hAnsi="游ゴシック" w:eastAsia="游ゴシック"/>
          <w:b/>
          <w:sz w:val="20"/>
        </w:rPr>
        <w:t>表15　A1　決まらない場合の当方の扱い（仮置き）</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794"/>
            <w:shd w:val="clear" w:color="auto" w:fill="1F3864"/>
            <w:vAlign w:val="center"/>
          </w:tcPr>
          <w:p>
            <w:pPr>
              <w:keepNext/>
              <w:spacing w:after="0"/>
              <w:jc w:val="center"/>
            </w:pPr>
            <w:r>
              <w:rPr>
                <w:rFonts w:ascii="游ゴシック" w:hAnsi="游ゴシック" w:eastAsia="游ゴシック"/>
                <w:b/>
                <w:color w:val="FFFFFF"/>
                <w:sz w:val="18"/>
              </w:rPr>
              <w:t>No.</w:t>
            </w:r>
          </w:p>
        </w:tc>
        <w:tc>
          <w:tcPr>
            <w:tcW w:type="dxa" w:w="2948"/>
            <w:shd w:val="clear" w:color="auto" w:fill="1F3864"/>
            <w:vAlign w:val="center"/>
          </w:tcPr>
          <w:p>
            <w:pPr>
              <w:keepNext/>
              <w:spacing w:after="0"/>
              <w:jc w:val="center"/>
            </w:pPr>
            <w:r>
              <w:rPr>
                <w:rFonts w:ascii="游ゴシック" w:hAnsi="游ゴシック" w:eastAsia="游ゴシック"/>
                <w:b/>
                <w:color w:val="FFFFFF"/>
                <w:sz w:val="18"/>
              </w:rPr>
              <w:t>確認事項</w:t>
            </w:r>
          </w:p>
        </w:tc>
        <w:tc>
          <w:tcPr>
            <w:tcW w:type="dxa" w:w="6009"/>
            <w:shd w:val="clear" w:color="auto" w:fill="1F3864"/>
            <w:vAlign w:val="center"/>
          </w:tcPr>
          <w:p>
            <w:pPr>
              <w:keepNext/>
              <w:spacing w:after="0"/>
              <w:jc w:val="center"/>
            </w:pPr>
            <w:r>
              <w:rPr>
                <w:rFonts w:ascii="游ゴシック" w:hAnsi="游ゴシック" w:eastAsia="游ゴシック"/>
                <w:b/>
                <w:color w:val="FFFFFF"/>
                <w:sz w:val="18"/>
              </w:rPr>
              <w:t>決まらない場合の当方の扱い（仮置き）</w:t>
            </w:r>
          </w:p>
        </w:tc>
      </w:tr>
      <w:tr>
        <w:trPr>
          <w:cantSplit/>
        </w:trPr>
        <w:tc>
          <w:tcPr>
            <w:tcW w:type="dxa" w:w="794"/>
            <w:vAlign w:val="center"/>
          </w:tcPr>
          <w:p>
            <w:pPr>
              <w:keepNext/>
              <w:spacing w:after="0"/>
              <w:jc w:val="center"/>
            </w:pPr>
            <w:r>
              <w:rPr>
                <w:rFonts w:ascii="游ゴシック" w:hAnsi="游ゴシック" w:eastAsia="游ゴシック"/>
                <w:b w:val="0"/>
                <w:sz w:val="18"/>
              </w:rPr>
              <w:t>No.88</w:t>
            </w:r>
          </w:p>
        </w:tc>
        <w:tc>
          <w:tcPr>
            <w:tcW w:type="dxa" w:w="2948"/>
            <w:vAlign w:val="center"/>
          </w:tcPr>
          <w:p>
            <w:pPr>
              <w:keepNext/>
              <w:spacing w:after="0"/>
            </w:pPr>
            <w:r>
              <w:rPr>
                <w:rFonts w:ascii="游ゴシック" w:hAnsi="游ゴシック" w:eastAsia="游ゴシック"/>
                <w:b w:val="0"/>
                <w:sz w:val="18"/>
              </w:rPr>
              <w:t>日常生活圏域ごとの必要利用定員総数（法定記載事項）</w:t>
            </w:r>
          </w:p>
        </w:tc>
        <w:tc>
          <w:tcPr>
            <w:tcW w:type="dxa" w:w="6009"/>
            <w:vAlign w:val="center"/>
          </w:tcPr>
          <w:p>
            <w:pPr>
              <w:keepNext/>
              <w:spacing w:after="0"/>
            </w:pPr>
            <w:r>
              <w:rPr>
                <w:rFonts w:ascii="游ゴシック" w:hAnsi="游ゴシック" w:eastAsia="游ゴシック"/>
                <w:b w:val="0"/>
                <w:sz w:val="18"/>
              </w:rPr>
              <w:t>3町（3圏域）を基盤整備単位とする案のまま概算する。必要利用定員総数は［要協議］のまま残す</w:t>
            </w:r>
          </w:p>
        </w:tc>
      </w:tr>
      <w:tr>
        <w:trPr>
          <w:cantSplit/>
        </w:trPr>
        <w:tc>
          <w:tcPr>
            <w:tcW w:type="dxa" w:w="794"/>
            <w:shd w:val="clear" w:color="auto" w:fill="F2F5FA"/>
            <w:vAlign w:val="center"/>
          </w:tcPr>
          <w:p>
            <w:pPr>
              <w:keepNext/>
              <w:spacing w:after="0"/>
              <w:jc w:val="center"/>
            </w:pPr>
            <w:r>
              <w:rPr>
                <w:rFonts w:ascii="游ゴシック" w:hAnsi="游ゴシック" w:eastAsia="游ゴシック"/>
                <w:b w:val="0"/>
                <w:sz w:val="18"/>
              </w:rPr>
              <w:t>No.96</w:t>
            </w:r>
          </w:p>
        </w:tc>
        <w:tc>
          <w:tcPr>
            <w:tcW w:type="dxa" w:w="2948"/>
            <w:shd w:val="clear" w:color="auto" w:fill="F2F5FA"/>
            <w:vAlign w:val="center"/>
          </w:tcPr>
          <w:p>
            <w:pPr>
              <w:keepNext/>
              <w:spacing w:after="0"/>
            </w:pPr>
            <w:r>
              <w:rPr>
                <w:rFonts w:ascii="游ゴシック" w:hAnsi="游ゴシック" w:eastAsia="游ゴシック"/>
                <w:b w:val="0"/>
                <w:sz w:val="18"/>
              </w:rPr>
              <w:t>認知症対応型共同生活介護の共同生活住居数と、くるみの郷の定員</w:t>
            </w:r>
          </w:p>
        </w:tc>
        <w:tc>
          <w:tcPr>
            <w:tcW w:type="dxa" w:w="6009"/>
            <w:shd w:val="clear" w:color="auto" w:fill="F2F5FA"/>
            <w:vAlign w:val="center"/>
          </w:tcPr>
          <w:p>
            <w:pPr>
              <w:keepNext/>
              <w:spacing w:after="0"/>
            </w:pPr>
            <w:r>
              <w:rPr>
                <w:rFonts w:ascii="游ゴシック" w:hAnsi="游ゴシック" w:eastAsia="游ゴシック"/>
                <w:b w:val="0"/>
                <w:sz w:val="18"/>
              </w:rPr>
              <w:t>認知症対応型共同生活介護の定員は99人＋［要確認］のまま掲げる</w:t>
            </w:r>
          </w:p>
        </w:tc>
      </w:tr>
      <w:tr>
        <w:trPr>
          <w:cantSplit/>
        </w:trPr>
        <w:tc>
          <w:tcPr>
            <w:tcW w:type="dxa" w:w="794"/>
            <w:vAlign w:val="center"/>
          </w:tcPr>
          <w:p>
            <w:pPr>
              <w:spacing w:after="0"/>
              <w:jc w:val="center"/>
            </w:pPr>
            <w:r>
              <w:rPr>
                <w:rFonts w:ascii="游ゴシック" w:hAnsi="游ゴシック" w:eastAsia="游ゴシック"/>
                <w:b w:val="0"/>
                <w:sz w:val="18"/>
              </w:rPr>
              <w:t>No.23</w:t>
            </w:r>
          </w:p>
        </w:tc>
        <w:tc>
          <w:tcPr>
            <w:tcW w:type="dxa" w:w="2948"/>
            <w:vAlign w:val="center"/>
          </w:tcPr>
          <w:p>
            <w:pPr>
              <w:spacing w:after="0"/>
            </w:pPr>
            <w:r>
              <w:rPr>
                <w:rFonts w:ascii="游ゴシック" w:hAnsi="游ゴシック" w:eastAsia="游ゴシック"/>
                <w:b w:val="0"/>
                <w:sz w:val="18"/>
              </w:rPr>
              <w:t>事業所の定員・稼働率データ</w:t>
            </w:r>
          </w:p>
        </w:tc>
        <w:tc>
          <w:tcPr>
            <w:tcW w:type="dxa" w:w="6009"/>
            <w:vAlign w:val="center"/>
          </w:tcPr>
          <w:p>
            <w:pPr>
              <w:spacing w:after="0"/>
            </w:pPr>
            <w:r>
              <w:rPr>
                <w:rFonts w:ascii="游ゴシック" w:hAnsi="游ゴシック" w:eastAsia="游ゴシック"/>
                <w:b w:val="0"/>
                <w:sz w:val="18"/>
              </w:rPr>
              <w:t>北海道の各名簿及び介護サービス情報公表システムの定員による</w:t>
            </w:r>
          </w:p>
        </w:tc>
      </w:tr>
    </w:tbl>
    <w:p>
      <w:pPr>
        <w:spacing w:after="80"/>
      </w:pPr>
      <w:r>
        <w:rPr>
          <w:rFonts w:ascii="游ゴシック" w:hAnsi="游ゴシック" w:eastAsia="游ゴシック"/>
          <w:b/>
          <w:sz w:val="20"/>
        </w:rPr>
        <w:t>A2　サービス見込量の置き方（供給の制約・令和9年4月新設の区分・施設及び居住系の実績の減少）（No.116・No.115・No.107。①②④　15分）</w:t>
      </w:r>
    </w:p>
    <w:p>
      <w:pPr>
        <w:spacing w:after="80"/>
      </w:pPr>
      <w:r>
        <w:rPr>
          <w:rFonts w:ascii="游ゴシック" w:hAnsi="游ゴシック" w:eastAsia="游ゴシック"/>
          <w:b/>
          <w:sz w:val="20"/>
        </w:rPr>
        <w:t>第2次概算（令和8年10月30日）の前提になります。</w:t>
      </w:r>
      <w:r>
        <w:rPr>
          <w:rFonts w:ascii="游ゴシック" w:hAnsi="游ゴシック" w:eastAsia="游ゴシック"/>
          <w:b w:val="0"/>
          <w:sz w:val="20"/>
        </w:rPr>
        <w:t xml:space="preserve"> 現在の見込量は需要の推計であり、介護人材の確保状況を供給の制約として反映していません。施設及び居住系の実績の減少には定員の縮小が含まれるため、趨勢をそのまま将来へ延長していません。いずれも</w:t>
      </w:r>
      <w:r>
        <w:rPr>
          <w:rFonts w:ascii="游ゴシック" w:hAnsi="游ゴシック" w:eastAsia="游ゴシック"/>
          <w:b/>
          <w:sz w:val="20"/>
        </w:rPr>
        <w:t>安全側</w:t>
      </w:r>
      <w:r>
        <w:rPr>
          <w:rFonts w:ascii="游ゴシック" w:hAnsi="游ゴシック" w:eastAsia="游ゴシック"/>
          <w:b w:val="0"/>
          <w:sz w:val="20"/>
        </w:rPr>
        <w:t>（保険料が不足する側に誤らない向き）の置き方です。</w:t>
      </w:r>
    </w:p>
    <w:p>
      <w:pPr>
        <w:keepNext/>
        <w:spacing w:before="160" w:after="40"/>
      </w:pPr>
      <w:r>
        <w:rPr>
          <w:rFonts w:ascii="游ゴシック" w:hAnsi="游ゴシック" w:eastAsia="游ゴシック"/>
          <w:b/>
          <w:sz w:val="20"/>
        </w:rPr>
        <w:t>表16　A2　決まらない場合の当方の扱い（仮置き）</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794"/>
            <w:shd w:val="clear" w:color="auto" w:fill="1F3864"/>
            <w:vAlign w:val="center"/>
          </w:tcPr>
          <w:p>
            <w:pPr>
              <w:keepNext/>
              <w:spacing w:after="0"/>
              <w:jc w:val="center"/>
            </w:pPr>
            <w:r>
              <w:rPr>
                <w:rFonts w:ascii="游ゴシック" w:hAnsi="游ゴシック" w:eastAsia="游ゴシック"/>
                <w:b/>
                <w:color w:val="FFFFFF"/>
                <w:sz w:val="18"/>
              </w:rPr>
              <w:t>No.</w:t>
            </w:r>
          </w:p>
        </w:tc>
        <w:tc>
          <w:tcPr>
            <w:tcW w:type="dxa" w:w="2948"/>
            <w:shd w:val="clear" w:color="auto" w:fill="1F3864"/>
            <w:vAlign w:val="center"/>
          </w:tcPr>
          <w:p>
            <w:pPr>
              <w:keepNext/>
              <w:spacing w:after="0"/>
              <w:jc w:val="center"/>
            </w:pPr>
            <w:r>
              <w:rPr>
                <w:rFonts w:ascii="游ゴシック" w:hAnsi="游ゴシック" w:eastAsia="游ゴシック"/>
                <w:b/>
                <w:color w:val="FFFFFF"/>
                <w:sz w:val="18"/>
              </w:rPr>
              <w:t>確認事項</w:t>
            </w:r>
          </w:p>
        </w:tc>
        <w:tc>
          <w:tcPr>
            <w:tcW w:type="dxa" w:w="6009"/>
            <w:shd w:val="clear" w:color="auto" w:fill="1F3864"/>
            <w:vAlign w:val="center"/>
          </w:tcPr>
          <w:p>
            <w:pPr>
              <w:keepNext/>
              <w:spacing w:after="0"/>
              <w:jc w:val="center"/>
            </w:pPr>
            <w:r>
              <w:rPr>
                <w:rFonts w:ascii="游ゴシック" w:hAnsi="游ゴシック" w:eastAsia="游ゴシック"/>
                <w:b/>
                <w:color w:val="FFFFFF"/>
                <w:sz w:val="18"/>
              </w:rPr>
              <w:t>決まらない場合の当方の扱い（仮置き）</w:t>
            </w:r>
          </w:p>
        </w:tc>
      </w:tr>
      <w:tr>
        <w:trPr>
          <w:cantSplit/>
        </w:trPr>
        <w:tc>
          <w:tcPr>
            <w:tcW w:type="dxa" w:w="794"/>
            <w:vAlign w:val="center"/>
          </w:tcPr>
          <w:p>
            <w:pPr>
              <w:keepNext/>
              <w:spacing w:after="0"/>
              <w:jc w:val="center"/>
            </w:pPr>
            <w:r>
              <w:rPr>
                <w:rFonts w:ascii="游ゴシック" w:hAnsi="游ゴシック" w:eastAsia="游ゴシック"/>
                <w:b w:val="0"/>
                <w:sz w:val="18"/>
              </w:rPr>
              <w:t>No.116</w:t>
            </w:r>
          </w:p>
        </w:tc>
        <w:tc>
          <w:tcPr>
            <w:tcW w:type="dxa" w:w="2948"/>
            <w:vAlign w:val="center"/>
          </w:tcPr>
          <w:p>
            <w:pPr>
              <w:keepNext/>
              <w:spacing w:after="0"/>
            </w:pPr>
            <w:r>
              <w:rPr>
                <w:rFonts w:ascii="游ゴシック" w:hAnsi="游ゴシック" w:eastAsia="游ゴシック"/>
                <w:b w:val="0"/>
                <w:sz w:val="18"/>
              </w:rPr>
              <w:t>介護人材の確保状況を供給の制約として見込量に反映するか</w:t>
            </w:r>
          </w:p>
        </w:tc>
        <w:tc>
          <w:tcPr>
            <w:tcW w:type="dxa" w:w="6009"/>
            <w:vAlign w:val="center"/>
          </w:tcPr>
          <w:p>
            <w:pPr>
              <w:keepNext/>
              <w:spacing w:after="0"/>
            </w:pPr>
            <w:r>
              <w:rPr>
                <w:rFonts w:ascii="游ゴシック" w:hAnsi="游ゴシック" w:eastAsia="游ゴシック"/>
                <w:b w:val="0"/>
                <w:sz w:val="18"/>
              </w:rPr>
              <w:t>供給の制約（人材）を見込量に反映しない（需要のみで算定する）</w:t>
            </w:r>
          </w:p>
        </w:tc>
      </w:tr>
      <w:tr>
        <w:trPr>
          <w:cantSplit/>
        </w:trPr>
        <w:tc>
          <w:tcPr>
            <w:tcW w:type="dxa" w:w="794"/>
            <w:shd w:val="clear" w:color="auto" w:fill="F2F5FA"/>
            <w:vAlign w:val="center"/>
          </w:tcPr>
          <w:p>
            <w:pPr>
              <w:keepNext/>
              <w:spacing w:after="0"/>
              <w:jc w:val="center"/>
            </w:pPr>
            <w:r>
              <w:rPr>
                <w:rFonts w:ascii="游ゴシック" w:hAnsi="游ゴシック" w:eastAsia="游ゴシック"/>
                <w:b w:val="0"/>
                <w:sz w:val="18"/>
              </w:rPr>
              <w:t>No.115</w:t>
            </w:r>
          </w:p>
        </w:tc>
        <w:tc>
          <w:tcPr>
            <w:tcW w:type="dxa" w:w="2948"/>
            <w:shd w:val="clear" w:color="auto" w:fill="F2F5FA"/>
            <w:vAlign w:val="center"/>
          </w:tcPr>
          <w:p>
            <w:pPr>
              <w:keepNext/>
              <w:spacing w:after="0"/>
            </w:pPr>
            <w:r>
              <w:rPr>
                <w:rFonts w:ascii="游ゴシック" w:hAnsi="游ゴシック" w:eastAsia="游ゴシック"/>
                <w:b w:val="0"/>
                <w:sz w:val="18"/>
              </w:rPr>
              <w:t>令和9年4月に新設される区分を見込量に立てるか</w:t>
            </w:r>
          </w:p>
        </w:tc>
        <w:tc>
          <w:tcPr>
            <w:tcW w:type="dxa" w:w="6009"/>
            <w:shd w:val="clear" w:color="auto" w:fill="F2F5FA"/>
            <w:vAlign w:val="center"/>
          </w:tcPr>
          <w:p>
            <w:pPr>
              <w:keepNext/>
              <w:spacing w:after="0"/>
            </w:pPr>
            <w:r>
              <w:rPr>
                <w:rFonts w:ascii="游ゴシック" w:hAnsi="游ゴシック" w:eastAsia="游ゴシック"/>
                <w:b w:val="0"/>
                <w:sz w:val="18"/>
              </w:rPr>
              <w:t>令和9年4月新設の3区分を0として立てる</w:t>
            </w:r>
          </w:p>
        </w:tc>
      </w:tr>
      <w:tr>
        <w:trPr>
          <w:cantSplit/>
        </w:trPr>
        <w:tc>
          <w:tcPr>
            <w:tcW w:type="dxa" w:w="794"/>
            <w:vAlign w:val="center"/>
          </w:tcPr>
          <w:p>
            <w:pPr>
              <w:spacing w:after="0"/>
              <w:jc w:val="center"/>
            </w:pPr>
            <w:r>
              <w:rPr>
                <w:rFonts w:ascii="游ゴシック" w:hAnsi="游ゴシック" w:eastAsia="游ゴシック"/>
                <w:b w:val="0"/>
                <w:sz w:val="18"/>
              </w:rPr>
              <w:t>No.107</w:t>
            </w:r>
          </w:p>
        </w:tc>
        <w:tc>
          <w:tcPr>
            <w:tcW w:type="dxa" w:w="2948"/>
            <w:vAlign w:val="center"/>
          </w:tcPr>
          <w:p>
            <w:pPr>
              <w:spacing w:after="0"/>
            </w:pPr>
            <w:r>
              <w:rPr>
                <w:rFonts w:ascii="游ゴシック" w:hAnsi="游ゴシック" w:eastAsia="游ゴシック"/>
                <w:b w:val="0"/>
                <w:sz w:val="18"/>
              </w:rPr>
              <w:t>施設・居住系の実績の減少を将来へ延長するか</w:t>
            </w:r>
          </w:p>
        </w:tc>
        <w:tc>
          <w:tcPr>
            <w:tcW w:type="dxa" w:w="6009"/>
            <w:vAlign w:val="center"/>
          </w:tcPr>
          <w:p>
            <w:pPr>
              <w:spacing w:after="0"/>
            </w:pPr>
            <w:r>
              <w:rPr>
                <w:rFonts w:ascii="游ゴシック" w:hAnsi="游ゴシック" w:eastAsia="游ゴシック"/>
                <w:b w:val="0"/>
                <w:sz w:val="18"/>
              </w:rPr>
              <w:t>施設・居住系の実績の減少を将来へ延長しないまま概算する</w:t>
            </w:r>
          </w:p>
        </w:tc>
      </w:tr>
    </w:tbl>
    <w:p>
      <w:pPr>
        <w:spacing w:after="80"/>
      </w:pPr>
      <w:r>
        <w:rPr>
          <w:rFonts w:ascii="游ゴシック" w:hAnsi="游ゴシック" w:eastAsia="游ゴシック"/>
          <w:b/>
          <w:sz w:val="20"/>
        </w:rPr>
        <w:t>A3　市町村認知症施策推進計画と地域ケア会議の計数（No.130・No.121・No.119・No.120。①③　15分）</w:t>
      </w:r>
    </w:p>
    <w:p>
      <w:pPr>
        <w:spacing w:after="80"/>
      </w:pPr>
      <w:r>
        <w:rPr>
          <w:rFonts w:ascii="游ゴシック" w:hAnsi="游ゴシック" w:eastAsia="游ゴシック"/>
          <w:b/>
          <w:sz w:val="20"/>
        </w:rPr>
        <w:t>市町村認知症施策推進計画は3町がそれぞれ策定するものであり、広域連合の計画に一体のものとして定めても市町村計画としての効力は生じません。</w:t>
      </w:r>
      <w:r>
        <w:rPr>
          <w:rFonts w:ascii="游ゴシック" w:hAnsi="游ゴシック" w:eastAsia="游ゴシック"/>
          <w:b w:val="0"/>
          <w:sz w:val="20"/>
        </w:rPr>
        <w:t xml:space="preserve"> 認知症の人及びその家族等からの意見の聴取は記述の追加では満たされず、主体・方法・時期を定める必要があります。地域ケア会議は第9期評価で成果を測る指標がないと判定しており、代表指標の基準値を置くために3町共通の計数の仕方を要します。</w:t>
      </w:r>
    </w:p>
    <w:p>
      <w:pPr>
        <w:keepNext/>
        <w:spacing w:before="160" w:after="40"/>
      </w:pPr>
      <w:r>
        <w:rPr>
          <w:rFonts w:ascii="游ゴシック" w:hAnsi="游ゴシック" w:eastAsia="游ゴシック"/>
          <w:b/>
          <w:sz w:val="20"/>
        </w:rPr>
        <w:t>表17　A3　決まらない場合の当方の扱い（仮置き）</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794"/>
            <w:shd w:val="clear" w:color="auto" w:fill="1F3864"/>
            <w:vAlign w:val="center"/>
          </w:tcPr>
          <w:p>
            <w:pPr>
              <w:keepNext/>
              <w:spacing w:after="0"/>
              <w:jc w:val="center"/>
            </w:pPr>
            <w:r>
              <w:rPr>
                <w:rFonts w:ascii="游ゴシック" w:hAnsi="游ゴシック" w:eastAsia="游ゴシック"/>
                <w:b/>
                <w:color w:val="FFFFFF"/>
                <w:sz w:val="18"/>
              </w:rPr>
              <w:t>No.</w:t>
            </w:r>
          </w:p>
        </w:tc>
        <w:tc>
          <w:tcPr>
            <w:tcW w:type="dxa" w:w="2948"/>
            <w:shd w:val="clear" w:color="auto" w:fill="1F3864"/>
            <w:vAlign w:val="center"/>
          </w:tcPr>
          <w:p>
            <w:pPr>
              <w:keepNext/>
              <w:spacing w:after="0"/>
              <w:jc w:val="center"/>
            </w:pPr>
            <w:r>
              <w:rPr>
                <w:rFonts w:ascii="游ゴシック" w:hAnsi="游ゴシック" w:eastAsia="游ゴシック"/>
                <w:b/>
                <w:color w:val="FFFFFF"/>
                <w:sz w:val="18"/>
              </w:rPr>
              <w:t>確認事項</w:t>
            </w:r>
          </w:p>
        </w:tc>
        <w:tc>
          <w:tcPr>
            <w:tcW w:type="dxa" w:w="6009"/>
            <w:shd w:val="clear" w:color="auto" w:fill="1F3864"/>
            <w:vAlign w:val="center"/>
          </w:tcPr>
          <w:p>
            <w:pPr>
              <w:keepNext/>
              <w:spacing w:after="0"/>
              <w:jc w:val="center"/>
            </w:pPr>
            <w:r>
              <w:rPr>
                <w:rFonts w:ascii="游ゴシック" w:hAnsi="游ゴシック" w:eastAsia="游ゴシック"/>
                <w:b/>
                <w:color w:val="FFFFFF"/>
                <w:sz w:val="18"/>
              </w:rPr>
              <w:t>決まらない場合の当方の扱い（仮置き）</w:t>
            </w:r>
          </w:p>
        </w:tc>
      </w:tr>
      <w:tr>
        <w:trPr>
          <w:cantSplit/>
        </w:trPr>
        <w:tc>
          <w:tcPr>
            <w:tcW w:type="dxa" w:w="794"/>
            <w:vAlign w:val="center"/>
          </w:tcPr>
          <w:p>
            <w:pPr>
              <w:keepNext/>
              <w:spacing w:after="0"/>
              <w:jc w:val="center"/>
            </w:pPr>
            <w:r>
              <w:rPr>
                <w:rFonts w:ascii="游ゴシック" w:hAnsi="游ゴシック" w:eastAsia="游ゴシック"/>
                <w:b w:val="0"/>
                <w:sz w:val="18"/>
              </w:rPr>
              <w:t>No.130</w:t>
            </w:r>
          </w:p>
        </w:tc>
        <w:tc>
          <w:tcPr>
            <w:tcW w:type="dxa" w:w="2948"/>
            <w:vAlign w:val="center"/>
          </w:tcPr>
          <w:p>
            <w:pPr>
              <w:keepNext/>
              <w:spacing w:after="0"/>
            </w:pPr>
            <w:r>
              <w:rPr>
                <w:rFonts w:ascii="游ゴシック" w:hAnsi="游ゴシック" w:eastAsia="游ゴシック"/>
                <w:b w:val="0"/>
                <w:sz w:val="18"/>
              </w:rPr>
              <w:t>認知症基本法第13条の市町村認知症施策推進計画をどう扱うか</w:t>
            </w:r>
          </w:p>
        </w:tc>
        <w:tc>
          <w:tcPr>
            <w:tcW w:type="dxa" w:w="6009"/>
            <w:vAlign w:val="center"/>
          </w:tcPr>
          <w:p>
            <w:pPr>
              <w:keepNext/>
              <w:spacing w:after="0"/>
            </w:pPr>
            <w:r>
              <w:rPr>
                <w:rFonts w:ascii="游ゴシック" w:hAnsi="游ゴシック" w:eastAsia="游ゴシック"/>
                <w:b w:val="0"/>
                <w:sz w:val="18"/>
              </w:rPr>
              <w:t>案B（3町がそれぞれ市町村計画を策定する）のまま素案に反映する</w:t>
            </w:r>
          </w:p>
        </w:tc>
      </w:tr>
      <w:tr>
        <w:trPr>
          <w:cantSplit/>
        </w:trPr>
        <w:tc>
          <w:tcPr>
            <w:tcW w:type="dxa" w:w="794"/>
            <w:shd w:val="clear" w:color="auto" w:fill="F2F5FA"/>
            <w:vAlign w:val="center"/>
          </w:tcPr>
          <w:p>
            <w:pPr>
              <w:keepNext/>
              <w:spacing w:after="0"/>
              <w:jc w:val="center"/>
            </w:pPr>
            <w:r>
              <w:rPr>
                <w:rFonts w:ascii="游ゴシック" w:hAnsi="游ゴシック" w:eastAsia="游ゴシック"/>
                <w:b w:val="0"/>
                <w:sz w:val="18"/>
              </w:rPr>
              <w:t>No.121</w:t>
            </w:r>
          </w:p>
        </w:tc>
        <w:tc>
          <w:tcPr>
            <w:tcW w:type="dxa" w:w="2948"/>
            <w:shd w:val="clear" w:color="auto" w:fill="F2F5FA"/>
            <w:vAlign w:val="center"/>
          </w:tcPr>
          <w:p>
            <w:pPr>
              <w:keepNext/>
              <w:spacing w:after="0"/>
            </w:pPr>
            <w:r>
              <w:rPr>
                <w:rFonts w:ascii="游ゴシック" w:hAnsi="游ゴシック" w:eastAsia="游ゴシック"/>
                <w:b w:val="0"/>
                <w:sz w:val="18"/>
              </w:rPr>
              <w:t>3町の地域ケア会議の実績（令和6〜8年度）のご提供</w:t>
            </w:r>
          </w:p>
        </w:tc>
        <w:tc>
          <w:tcPr>
            <w:tcW w:type="dxa" w:w="6009"/>
            <w:shd w:val="clear" w:color="auto" w:fill="F2F5FA"/>
            <w:vAlign w:val="center"/>
          </w:tcPr>
          <w:p>
            <w:pPr>
              <w:keepNext/>
              <w:spacing w:after="0"/>
            </w:pPr>
            <w:r>
              <w:rPr>
                <w:rFonts w:ascii="游ゴシック" w:hAnsi="游ゴシック" w:eastAsia="游ゴシック"/>
                <w:b w:val="0"/>
                <w:sz w:val="18"/>
              </w:rPr>
              <w:t>令和7年度の実施報告書により把握できる範囲で記述する</w:t>
            </w:r>
          </w:p>
        </w:tc>
      </w:tr>
      <w:tr>
        <w:trPr>
          <w:cantSplit/>
        </w:trPr>
        <w:tc>
          <w:tcPr>
            <w:tcW w:type="dxa" w:w="794"/>
            <w:vAlign w:val="center"/>
          </w:tcPr>
          <w:p>
            <w:pPr>
              <w:keepNext/>
              <w:spacing w:after="0"/>
              <w:jc w:val="center"/>
            </w:pPr>
            <w:r>
              <w:rPr>
                <w:rFonts w:ascii="游ゴシック" w:hAnsi="游ゴシック" w:eastAsia="游ゴシック"/>
                <w:b w:val="0"/>
                <w:sz w:val="18"/>
              </w:rPr>
              <w:t>No.119</w:t>
            </w:r>
          </w:p>
        </w:tc>
        <w:tc>
          <w:tcPr>
            <w:tcW w:type="dxa" w:w="2948"/>
            <w:vAlign w:val="center"/>
          </w:tcPr>
          <w:p>
            <w:pPr>
              <w:keepNext/>
              <w:spacing w:after="0"/>
            </w:pPr>
            <w:r>
              <w:rPr>
                <w:rFonts w:ascii="游ゴシック" w:hAnsi="游ゴシック" w:eastAsia="游ゴシック"/>
                <w:b w:val="0"/>
                <w:sz w:val="18"/>
              </w:rPr>
              <w:t>地域ケア会議の3町共通の記録様式を整えてよいか</w:t>
            </w:r>
          </w:p>
        </w:tc>
        <w:tc>
          <w:tcPr>
            <w:tcW w:type="dxa" w:w="6009"/>
            <w:vAlign w:val="center"/>
          </w:tcPr>
          <w:p>
            <w:pPr>
              <w:keepNext/>
              <w:spacing w:after="0"/>
            </w:pPr>
            <w:r>
              <w:rPr>
                <w:rFonts w:ascii="游ゴシック" w:hAnsi="游ゴシック" w:eastAsia="游ゴシック"/>
                <w:b w:val="0"/>
                <w:sz w:val="18"/>
              </w:rPr>
              <w:t>地域ケア会議の記録様式は協議資料にとどめ、令和9年度に整える</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No.120</w:t>
            </w:r>
          </w:p>
        </w:tc>
        <w:tc>
          <w:tcPr>
            <w:tcW w:type="dxa" w:w="2948"/>
            <w:shd w:val="clear" w:color="auto" w:fill="F2F5FA"/>
            <w:vAlign w:val="center"/>
          </w:tcPr>
          <w:p>
            <w:pPr>
              <w:spacing w:after="0"/>
            </w:pPr>
            <w:r>
              <w:rPr>
                <w:rFonts w:ascii="游ゴシック" w:hAnsi="游ゴシック" w:eastAsia="游ゴシック"/>
                <w:b w:val="0"/>
                <w:sz w:val="18"/>
              </w:rPr>
              <w:t>地域ケア個別会議と地域ケア推進会議を分けて計数するか</w:t>
            </w:r>
          </w:p>
        </w:tc>
        <w:tc>
          <w:tcPr>
            <w:tcW w:type="dxa" w:w="6009"/>
            <w:shd w:val="clear" w:color="auto" w:fill="F2F5FA"/>
            <w:vAlign w:val="center"/>
          </w:tcPr>
          <w:p>
            <w:pPr>
              <w:spacing w:after="0"/>
            </w:pPr>
            <w:r>
              <w:rPr>
                <w:rFonts w:ascii="游ゴシック" w:hAnsi="游ゴシック" w:eastAsia="游ゴシック"/>
                <w:b w:val="0"/>
                <w:sz w:val="18"/>
              </w:rPr>
              <w:t>地域ケア個別会議と地域ケア推進会議を分けずに計数する</w:t>
            </w:r>
          </w:p>
        </w:tc>
      </w:tr>
    </w:tbl>
    <w:p>
      <w:pPr>
        <w:spacing w:after="80"/>
      </w:pPr>
      <w:r>
        <w:rPr>
          <w:rFonts w:ascii="游ゴシック" w:hAnsi="游ゴシック" w:eastAsia="游ゴシック"/>
          <w:b/>
          <w:sz w:val="20"/>
        </w:rPr>
        <w:t>A4　町別のデータと町別データシートの配付、協議の進め方（No.11・No.12・No.85・No.83。①④　10分）</w:t>
      </w:r>
    </w:p>
    <w:p>
      <w:pPr>
        <w:spacing w:after="80"/>
      </w:pPr>
      <w:r>
        <w:rPr>
          <w:rFonts w:ascii="游ゴシック" w:hAnsi="游ゴシック" w:eastAsia="游ゴシック"/>
          <w:b w:val="0"/>
          <w:sz w:val="20"/>
        </w:rPr>
        <w:t>町別データシートは各町の高齢者福祉計画の素案作成にもお使いいただくものであり、</w:t>
      </w:r>
      <w:r>
        <w:rPr>
          <w:rFonts w:ascii="游ゴシック" w:hAnsi="游ゴシック" w:eastAsia="游ゴシック"/>
          <w:b/>
          <w:sz w:val="20"/>
        </w:rPr>
        <w:t>収める内容と配付の範囲をこの場でお決めいただければ個別協議の前にお渡しできます。</w:t>
      </w:r>
      <w:r>
        <w:rPr>
          <w:rFonts w:ascii="游ゴシック" w:hAnsi="游ゴシック" w:eastAsia="游ゴシック"/>
          <w:b w:val="0"/>
          <w:sz w:val="20"/>
        </w:rPr>
        <w:t xml:space="preserve"> 日常生活圏域を3町（3圏域）とするか美瑛町の4地区を含む6圏域とするかはA1の基盤整備の単位と一体のものです。</w:t>
      </w:r>
    </w:p>
    <w:p>
      <w:pPr>
        <w:keepNext/>
        <w:spacing w:before="160" w:after="40"/>
      </w:pPr>
      <w:r>
        <w:rPr>
          <w:rFonts w:ascii="游ゴシック" w:hAnsi="游ゴシック" w:eastAsia="游ゴシック"/>
          <w:b/>
          <w:sz w:val="20"/>
        </w:rPr>
        <w:t>表18　A4　決まらない場合の当方の扱い（仮置き）</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794"/>
            <w:shd w:val="clear" w:color="auto" w:fill="1F3864"/>
            <w:vAlign w:val="center"/>
          </w:tcPr>
          <w:p>
            <w:pPr>
              <w:keepNext/>
              <w:spacing w:after="0"/>
              <w:jc w:val="center"/>
            </w:pPr>
            <w:r>
              <w:rPr>
                <w:rFonts w:ascii="游ゴシック" w:hAnsi="游ゴシック" w:eastAsia="游ゴシック"/>
                <w:b/>
                <w:color w:val="FFFFFF"/>
                <w:sz w:val="18"/>
              </w:rPr>
              <w:t>No.</w:t>
            </w:r>
          </w:p>
        </w:tc>
        <w:tc>
          <w:tcPr>
            <w:tcW w:type="dxa" w:w="2948"/>
            <w:shd w:val="clear" w:color="auto" w:fill="1F3864"/>
            <w:vAlign w:val="center"/>
          </w:tcPr>
          <w:p>
            <w:pPr>
              <w:keepNext/>
              <w:spacing w:after="0"/>
              <w:jc w:val="center"/>
            </w:pPr>
            <w:r>
              <w:rPr>
                <w:rFonts w:ascii="游ゴシック" w:hAnsi="游ゴシック" w:eastAsia="游ゴシック"/>
                <w:b/>
                <w:color w:val="FFFFFF"/>
                <w:sz w:val="18"/>
              </w:rPr>
              <w:t>確認事項</w:t>
            </w:r>
          </w:p>
        </w:tc>
        <w:tc>
          <w:tcPr>
            <w:tcW w:type="dxa" w:w="6009"/>
            <w:shd w:val="clear" w:color="auto" w:fill="1F3864"/>
            <w:vAlign w:val="center"/>
          </w:tcPr>
          <w:p>
            <w:pPr>
              <w:keepNext/>
              <w:spacing w:after="0"/>
              <w:jc w:val="center"/>
            </w:pPr>
            <w:r>
              <w:rPr>
                <w:rFonts w:ascii="游ゴシック" w:hAnsi="游ゴシック" w:eastAsia="游ゴシック"/>
                <w:b/>
                <w:color w:val="FFFFFF"/>
                <w:sz w:val="18"/>
              </w:rPr>
              <w:t>決まらない場合の当方の扱い（仮置き）</w:t>
            </w:r>
          </w:p>
        </w:tc>
      </w:tr>
      <w:tr>
        <w:trPr>
          <w:cantSplit/>
        </w:trPr>
        <w:tc>
          <w:tcPr>
            <w:tcW w:type="dxa" w:w="794"/>
            <w:vAlign w:val="center"/>
          </w:tcPr>
          <w:p>
            <w:pPr>
              <w:keepNext/>
              <w:spacing w:after="0"/>
              <w:jc w:val="center"/>
            </w:pPr>
            <w:r>
              <w:rPr>
                <w:rFonts w:ascii="游ゴシック" w:hAnsi="游ゴシック" w:eastAsia="游ゴシック"/>
                <w:b w:val="0"/>
                <w:sz w:val="18"/>
              </w:rPr>
              <w:t>No.11</w:t>
            </w:r>
          </w:p>
        </w:tc>
        <w:tc>
          <w:tcPr>
            <w:tcW w:type="dxa" w:w="2948"/>
            <w:vAlign w:val="center"/>
          </w:tcPr>
          <w:p>
            <w:pPr>
              <w:keepNext/>
              <w:spacing w:after="0"/>
            </w:pPr>
            <w:r>
              <w:rPr>
                <w:rFonts w:ascii="游ゴシック" w:hAnsi="游ゴシック" w:eastAsia="游ゴシック"/>
                <w:b w:val="0"/>
                <w:sz w:val="18"/>
              </w:rPr>
              <w:t>町別の人口・世帯データ</w:t>
            </w:r>
          </w:p>
        </w:tc>
        <w:tc>
          <w:tcPr>
            <w:tcW w:type="dxa" w:w="6009"/>
            <w:vAlign w:val="center"/>
          </w:tcPr>
          <w:p>
            <w:pPr>
              <w:keepNext/>
              <w:spacing w:after="0"/>
            </w:pPr>
            <w:r>
              <w:rPr>
                <w:rFonts w:ascii="游ゴシック" w:hAnsi="游ゴシック" w:eastAsia="游ゴシック"/>
                <w:b w:val="0"/>
                <w:sz w:val="18"/>
              </w:rPr>
              <w:t>住民基本台帳（各年1月1日現在）の町別人口により本文を確定する</w:t>
            </w:r>
          </w:p>
        </w:tc>
      </w:tr>
      <w:tr>
        <w:trPr>
          <w:cantSplit/>
        </w:trPr>
        <w:tc>
          <w:tcPr>
            <w:tcW w:type="dxa" w:w="794"/>
            <w:shd w:val="clear" w:color="auto" w:fill="F2F5FA"/>
            <w:vAlign w:val="center"/>
          </w:tcPr>
          <w:p>
            <w:pPr>
              <w:keepNext/>
              <w:spacing w:after="0"/>
              <w:jc w:val="center"/>
            </w:pPr>
            <w:r>
              <w:rPr>
                <w:rFonts w:ascii="游ゴシック" w:hAnsi="游ゴシック" w:eastAsia="游ゴシック"/>
                <w:b w:val="0"/>
                <w:sz w:val="18"/>
              </w:rPr>
              <w:t>No.12</w:t>
            </w:r>
          </w:p>
        </w:tc>
        <w:tc>
          <w:tcPr>
            <w:tcW w:type="dxa" w:w="2948"/>
            <w:shd w:val="clear" w:color="auto" w:fill="F2F5FA"/>
            <w:vAlign w:val="center"/>
          </w:tcPr>
          <w:p>
            <w:pPr>
              <w:keepNext/>
              <w:spacing w:after="0"/>
            </w:pPr>
            <w:r>
              <w:rPr>
                <w:rFonts w:ascii="游ゴシック" w:hAnsi="游ゴシック" w:eastAsia="游ゴシック"/>
                <w:b w:val="0"/>
                <w:sz w:val="18"/>
              </w:rPr>
              <w:t>日常生活圏域別のデータ</w:t>
            </w:r>
          </w:p>
        </w:tc>
        <w:tc>
          <w:tcPr>
            <w:tcW w:type="dxa" w:w="6009"/>
            <w:shd w:val="clear" w:color="auto" w:fill="F2F5FA"/>
            <w:vAlign w:val="center"/>
          </w:tcPr>
          <w:p>
            <w:pPr>
              <w:keepNext/>
              <w:spacing w:after="0"/>
            </w:pPr>
            <w:r>
              <w:rPr>
                <w:rFonts w:ascii="游ゴシック" w:hAnsi="游ゴシック" w:eastAsia="游ゴシック"/>
                <w:b w:val="0"/>
                <w:sz w:val="18"/>
              </w:rPr>
              <w:t>日常生活圏域を3町（3圏域）とする案のまま概算する</w:t>
            </w:r>
          </w:p>
        </w:tc>
      </w:tr>
      <w:tr>
        <w:trPr>
          <w:cantSplit/>
        </w:trPr>
        <w:tc>
          <w:tcPr>
            <w:tcW w:type="dxa" w:w="794"/>
            <w:vAlign w:val="center"/>
          </w:tcPr>
          <w:p>
            <w:pPr>
              <w:keepNext/>
              <w:spacing w:after="0"/>
              <w:jc w:val="center"/>
            </w:pPr>
            <w:r>
              <w:rPr>
                <w:rFonts w:ascii="游ゴシック" w:hAnsi="游ゴシック" w:eastAsia="游ゴシック"/>
                <w:b w:val="0"/>
                <w:sz w:val="18"/>
              </w:rPr>
              <w:t>No.85</w:t>
            </w:r>
          </w:p>
        </w:tc>
        <w:tc>
          <w:tcPr>
            <w:tcW w:type="dxa" w:w="2948"/>
            <w:vAlign w:val="center"/>
          </w:tcPr>
          <w:p>
            <w:pPr>
              <w:keepNext/>
              <w:spacing w:after="0"/>
            </w:pPr>
            <w:r>
              <w:rPr>
                <w:rFonts w:ascii="游ゴシック" w:hAnsi="游ゴシック" w:eastAsia="游ゴシック"/>
                <w:b w:val="0"/>
                <w:sz w:val="18"/>
              </w:rPr>
              <w:t>町別データシートの内容と配付</w:t>
            </w:r>
          </w:p>
        </w:tc>
        <w:tc>
          <w:tcPr>
            <w:tcW w:type="dxa" w:w="6009"/>
            <w:vAlign w:val="center"/>
          </w:tcPr>
          <w:p>
            <w:pPr>
              <w:keepNext/>
              <w:spacing w:after="0"/>
            </w:pPr>
            <w:r>
              <w:rPr>
                <w:rFonts w:ascii="游ゴシック" w:hAnsi="游ゴシック" w:eastAsia="游ゴシック"/>
                <w:b w:val="0"/>
                <w:sz w:val="18"/>
              </w:rPr>
              <w:t>町別データシートは現行の内容のまま配付する</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No.83</w:t>
            </w:r>
          </w:p>
        </w:tc>
        <w:tc>
          <w:tcPr>
            <w:tcW w:type="dxa" w:w="2948"/>
            <w:shd w:val="clear" w:color="auto" w:fill="F2F5FA"/>
            <w:vAlign w:val="center"/>
          </w:tcPr>
          <w:p>
            <w:pPr>
              <w:spacing w:after="0"/>
            </w:pPr>
            <w:r>
              <w:rPr>
                <w:rFonts w:ascii="游ゴシック" w:hAnsi="游ゴシック" w:eastAsia="游ゴシック"/>
                <w:b w:val="0"/>
                <w:sz w:val="18"/>
              </w:rPr>
              <w:t>構成町との意見交換会の実施方法と町別データシート</w:t>
            </w:r>
          </w:p>
        </w:tc>
        <w:tc>
          <w:tcPr>
            <w:tcW w:type="dxa" w:w="6009"/>
            <w:shd w:val="clear" w:color="auto" w:fill="F2F5FA"/>
            <w:vAlign w:val="center"/>
          </w:tcPr>
          <w:p>
            <w:pPr>
              <w:spacing w:after="0"/>
            </w:pPr>
            <w:r>
              <w:rPr>
                <w:rFonts w:ascii="游ゴシック" w:hAnsi="游ゴシック" w:eastAsia="游ゴシック"/>
                <w:b w:val="0"/>
                <w:sz w:val="18"/>
              </w:rPr>
              <w:t>3町合同の意見交換会（10月上旬）と町ごとの個別協議（10月中旬〜下旬）の2段構えで進める</w:t>
            </w:r>
          </w:p>
        </w:tc>
      </w:tr>
    </w:tbl>
    <w:p>
      <w:pPr>
        <w:keepNext/>
        <w:spacing w:before="180" w:after="60"/>
      </w:pPr>
      <w:r>
        <w:rPr>
          <w:rFonts w:ascii="游ゴシック" w:hAnsi="游ゴシック" w:eastAsia="游ゴシック"/>
          <w:b/>
          <w:sz w:val="22"/>
        </w:rPr>
        <w:t>2　B群　時間があればご決定をお願いしたいこと（4件・計20分）</w:t>
      </w:r>
    </w:p>
    <w:p>
      <w:pPr>
        <w:spacing w:after="80"/>
      </w:pPr>
      <w:r>
        <w:rPr>
          <w:rFonts w:ascii="游ゴシック" w:hAnsi="游ゴシック" w:eastAsia="游ゴシック"/>
          <w:b w:val="0"/>
          <w:sz w:val="20"/>
        </w:rPr>
        <w:t>A群が決まり時間に余裕がある場合にお諮りします。決まらない場合も第2次概算は仮置きにより組めます。</w:t>
      </w:r>
    </w:p>
    <w:p>
      <w:pPr>
        <w:keepNext/>
        <w:spacing w:before="160" w:after="40"/>
      </w:pPr>
      <w:r>
        <w:rPr>
          <w:rFonts w:ascii="游ゴシック" w:hAnsi="游ゴシック" w:eastAsia="游ゴシック"/>
          <w:b/>
          <w:sz w:val="20"/>
        </w:rPr>
        <w:t>表19　B群　時間があればご決定をお願いしたいこと</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680"/>
            <w:shd w:val="clear" w:color="auto" w:fill="1F3864"/>
            <w:vAlign w:val="center"/>
          </w:tcPr>
          <w:p>
            <w:pPr>
              <w:spacing w:after="0"/>
              <w:jc w:val="center"/>
            </w:pPr>
            <w:r>
              <w:rPr>
                <w:rFonts w:ascii="游ゴシック" w:hAnsi="游ゴシック" w:eastAsia="游ゴシック"/>
                <w:b/>
                <w:color w:val="FFFFFF"/>
                <w:sz w:val="16"/>
              </w:rPr>
              <w:t>区分</w:t>
            </w:r>
          </w:p>
        </w:tc>
        <w:tc>
          <w:tcPr>
            <w:tcW w:type="dxa" w:w="2381"/>
            <w:shd w:val="clear" w:color="auto" w:fill="1F3864"/>
            <w:vAlign w:val="center"/>
          </w:tcPr>
          <w:p>
            <w:pPr>
              <w:spacing w:after="0"/>
              <w:jc w:val="center"/>
            </w:pPr>
            <w:r>
              <w:rPr>
                <w:rFonts w:ascii="游ゴシック" w:hAnsi="游ゴシック" w:eastAsia="游ゴシック"/>
                <w:b/>
                <w:color w:val="FFFFFF"/>
                <w:sz w:val="16"/>
              </w:rPr>
              <w:t>決めること</w:t>
            </w:r>
          </w:p>
        </w:tc>
        <w:tc>
          <w:tcPr>
            <w:tcW w:type="dxa" w:w="1474"/>
            <w:shd w:val="clear" w:color="auto" w:fill="1F3864"/>
            <w:vAlign w:val="center"/>
          </w:tcPr>
          <w:p>
            <w:pPr>
              <w:spacing w:after="0"/>
              <w:jc w:val="center"/>
            </w:pPr>
            <w:r>
              <w:rPr>
                <w:rFonts w:ascii="游ゴシック" w:hAnsi="游ゴシック" w:eastAsia="游ゴシック"/>
                <w:b/>
                <w:color w:val="FFFFFF"/>
                <w:sz w:val="16"/>
              </w:rPr>
              <w:t>確認事項</w:t>
            </w:r>
          </w:p>
        </w:tc>
        <w:tc>
          <w:tcPr>
            <w:tcW w:type="dxa" w:w="3969"/>
            <w:shd w:val="clear" w:color="auto" w:fill="1F3864"/>
            <w:vAlign w:val="center"/>
          </w:tcPr>
          <w:p>
            <w:pPr>
              <w:spacing w:after="0"/>
              <w:jc w:val="center"/>
            </w:pPr>
            <w:r>
              <w:rPr>
                <w:rFonts w:ascii="游ゴシック" w:hAnsi="游ゴシック" w:eastAsia="游ゴシック"/>
                <w:b/>
                <w:color w:val="FFFFFF"/>
                <w:sz w:val="16"/>
              </w:rPr>
              <w:t>決まらない場合の当方の扱い</w:t>
            </w:r>
          </w:p>
        </w:tc>
        <w:tc>
          <w:tcPr>
            <w:tcW w:type="dxa" w:w="907"/>
            <w:shd w:val="clear" w:color="auto" w:fill="1F3864"/>
            <w:vAlign w:val="center"/>
          </w:tcPr>
          <w:p>
            <w:pPr>
              <w:spacing w:after="0"/>
              <w:jc w:val="center"/>
            </w:pPr>
            <w:r>
              <w:rPr>
                <w:rFonts w:ascii="游ゴシック" w:hAnsi="游ゴシック" w:eastAsia="游ゴシック"/>
                <w:b/>
                <w:color w:val="FFFFFF"/>
                <w:sz w:val="16"/>
              </w:rPr>
              <w:t>目安</w:t>
            </w:r>
          </w:p>
        </w:tc>
      </w:tr>
      <w:tr>
        <w:trPr>
          <w:cantSplit/>
        </w:trPr>
        <w:tc>
          <w:tcPr>
            <w:tcW w:type="dxa" w:w="680"/>
            <w:vAlign w:val="center"/>
          </w:tcPr>
          <w:p>
            <w:pPr>
              <w:spacing w:after="0"/>
              <w:jc w:val="center"/>
            </w:pPr>
            <w:r>
              <w:rPr>
                <w:rFonts w:ascii="游ゴシック" w:hAnsi="游ゴシック" w:eastAsia="游ゴシック"/>
                <w:b/>
                <w:sz w:val="16"/>
              </w:rPr>
              <w:t>B1</w:t>
            </w:r>
          </w:p>
        </w:tc>
        <w:tc>
          <w:tcPr>
            <w:tcW w:type="dxa" w:w="2381"/>
            <w:vAlign w:val="center"/>
          </w:tcPr>
          <w:p>
            <w:pPr>
              <w:spacing w:after="0"/>
            </w:pPr>
            <w:r>
              <w:rPr>
                <w:rFonts w:ascii="游ゴシック" w:hAnsi="游ゴシック" w:eastAsia="游ゴシック"/>
                <w:b w:val="0"/>
                <w:sz w:val="16"/>
              </w:rPr>
              <w:t>介護情報基盤及びケアプランデータ連携への対応の工程</w:t>
            </w:r>
          </w:p>
        </w:tc>
        <w:tc>
          <w:tcPr>
            <w:tcW w:type="dxa" w:w="1474"/>
            <w:vAlign w:val="center"/>
          </w:tcPr>
          <w:p>
            <w:pPr>
              <w:spacing w:after="0"/>
            </w:pPr>
            <w:r>
              <w:rPr>
                <w:rFonts w:ascii="游ゴシック" w:hAnsi="游ゴシック" w:eastAsia="游ゴシック"/>
                <w:b w:val="0"/>
                <w:sz w:val="16"/>
              </w:rPr>
              <w:t>No.175</w:t>
            </w:r>
          </w:p>
        </w:tc>
        <w:tc>
          <w:tcPr>
            <w:tcW w:type="dxa" w:w="3969"/>
            <w:vAlign w:val="center"/>
          </w:tcPr>
          <w:p>
            <w:pPr>
              <w:spacing w:after="0"/>
            </w:pPr>
            <w:r>
              <w:rPr>
                <w:rFonts w:ascii="游ゴシック" w:hAnsi="游ゴシック" w:eastAsia="游ゴシック"/>
                <w:b w:val="0"/>
                <w:sz w:val="16"/>
              </w:rPr>
              <w:t>国が示す本格運用開始日（令和10年4月1日）までに完了することを前提として計画素案に記載し、年度ごとの工程は［要確認］として残す。事業所への周知は広域連合と3町が共同で行うものとして記載する</w:t>
            </w:r>
          </w:p>
        </w:tc>
        <w:tc>
          <w:tcPr>
            <w:tcW w:type="dxa" w:w="907"/>
            <w:vAlign w:val="center"/>
          </w:tcPr>
          <w:p>
            <w:pPr>
              <w:spacing w:after="0"/>
              <w:jc w:val="center"/>
            </w:pPr>
            <w:r>
              <w:rPr>
                <w:rFonts w:ascii="游ゴシック" w:hAnsi="游ゴシック" w:eastAsia="游ゴシック"/>
                <w:b/>
                <w:sz w:val="16"/>
              </w:rPr>
              <w:t>5分</w:t>
            </w:r>
          </w:p>
        </w:tc>
      </w:tr>
      <w:tr>
        <w:trPr>
          <w:cantSplit/>
        </w:trPr>
        <w:tc>
          <w:tcPr>
            <w:tcW w:type="dxa" w:w="680"/>
            <w:shd w:val="clear" w:color="auto" w:fill="F2F5FA"/>
            <w:vAlign w:val="center"/>
          </w:tcPr>
          <w:p>
            <w:pPr>
              <w:spacing w:after="0"/>
              <w:jc w:val="center"/>
            </w:pPr>
            <w:r>
              <w:rPr>
                <w:rFonts w:ascii="游ゴシック" w:hAnsi="游ゴシック" w:eastAsia="游ゴシック"/>
                <w:b/>
                <w:sz w:val="16"/>
              </w:rPr>
              <w:t>B2</w:t>
            </w:r>
          </w:p>
        </w:tc>
        <w:tc>
          <w:tcPr>
            <w:tcW w:type="dxa" w:w="2381"/>
            <w:shd w:val="clear" w:color="auto" w:fill="F2F5FA"/>
            <w:vAlign w:val="center"/>
          </w:tcPr>
          <w:p>
            <w:pPr>
              <w:spacing w:after="0"/>
            </w:pPr>
            <w:r>
              <w:rPr>
                <w:rFonts w:ascii="游ゴシック" w:hAnsi="游ゴシック" w:eastAsia="游ゴシック"/>
                <w:b w:val="0"/>
                <w:sz w:val="16"/>
              </w:rPr>
              <w:t>ケアプラン点検実施要領（案）の確定</w:t>
            </w:r>
          </w:p>
        </w:tc>
        <w:tc>
          <w:tcPr>
            <w:tcW w:type="dxa" w:w="1474"/>
            <w:shd w:val="clear" w:color="auto" w:fill="F2F5FA"/>
            <w:vAlign w:val="center"/>
          </w:tcPr>
          <w:p>
            <w:pPr>
              <w:spacing w:after="0"/>
            </w:pPr>
            <w:r>
              <w:rPr>
                <w:rFonts w:ascii="游ゴシック" w:hAnsi="游ゴシック" w:eastAsia="游ゴシック"/>
                <w:b w:val="0"/>
                <w:sz w:val="16"/>
              </w:rPr>
              <w:t>No.73</w:t>
            </w:r>
          </w:p>
        </w:tc>
        <w:tc>
          <w:tcPr>
            <w:tcW w:type="dxa" w:w="3969"/>
            <w:shd w:val="clear" w:color="auto" w:fill="F2F5FA"/>
            <w:vAlign w:val="center"/>
          </w:tcPr>
          <w:p>
            <w:pPr>
              <w:spacing w:after="0"/>
            </w:pPr>
            <w:r>
              <w:rPr>
                <w:rFonts w:ascii="游ゴシック" w:hAnsi="游ゴシック" w:eastAsia="游ゴシック"/>
                <w:b w:val="0"/>
                <w:sz w:val="16"/>
              </w:rPr>
              <w:t>ケアプラン点検実施要領（案）は協議資料にとどめ素案に入れない</w:t>
            </w:r>
          </w:p>
        </w:tc>
        <w:tc>
          <w:tcPr>
            <w:tcW w:type="dxa" w:w="907"/>
            <w:shd w:val="clear" w:color="auto" w:fill="F2F5FA"/>
            <w:vAlign w:val="center"/>
          </w:tcPr>
          <w:p>
            <w:pPr>
              <w:spacing w:after="0"/>
              <w:jc w:val="center"/>
            </w:pPr>
            <w:r>
              <w:rPr>
                <w:rFonts w:ascii="游ゴシック" w:hAnsi="游ゴシック" w:eastAsia="游ゴシック"/>
                <w:b/>
                <w:sz w:val="16"/>
              </w:rPr>
              <w:t>5分</w:t>
            </w:r>
          </w:p>
        </w:tc>
      </w:tr>
      <w:tr>
        <w:trPr>
          <w:cantSplit/>
        </w:trPr>
        <w:tc>
          <w:tcPr>
            <w:tcW w:type="dxa" w:w="680"/>
            <w:vAlign w:val="center"/>
          </w:tcPr>
          <w:p>
            <w:pPr>
              <w:spacing w:after="0"/>
              <w:jc w:val="center"/>
            </w:pPr>
            <w:r>
              <w:rPr>
                <w:rFonts w:ascii="游ゴシック" w:hAnsi="游ゴシック" w:eastAsia="游ゴシック"/>
                <w:b/>
                <w:sz w:val="16"/>
              </w:rPr>
              <w:t>B3</w:t>
            </w:r>
          </w:p>
        </w:tc>
        <w:tc>
          <w:tcPr>
            <w:tcW w:type="dxa" w:w="2381"/>
            <w:vAlign w:val="center"/>
          </w:tcPr>
          <w:p>
            <w:pPr>
              <w:spacing w:after="0"/>
            </w:pPr>
            <w:r>
              <w:rPr>
                <w:rFonts w:ascii="游ゴシック" w:hAnsi="游ゴシック" w:eastAsia="游ゴシック"/>
                <w:b w:val="0"/>
                <w:sz w:val="16"/>
              </w:rPr>
              <w:t>構成町により得点が分かれている交付金の項目の区域内での取扱い</w:t>
            </w:r>
          </w:p>
        </w:tc>
        <w:tc>
          <w:tcPr>
            <w:tcW w:type="dxa" w:w="1474"/>
            <w:vAlign w:val="center"/>
          </w:tcPr>
          <w:p>
            <w:pPr>
              <w:spacing w:after="0"/>
            </w:pPr>
            <w:r>
              <w:rPr>
                <w:rFonts w:ascii="游ゴシック" w:hAnsi="游ゴシック" w:eastAsia="游ゴシック"/>
                <w:b w:val="0"/>
                <w:sz w:val="16"/>
              </w:rPr>
              <w:t>No.169</w:t>
            </w:r>
          </w:p>
        </w:tc>
        <w:tc>
          <w:tcPr>
            <w:tcW w:type="dxa" w:w="3969"/>
            <w:vAlign w:val="center"/>
          </w:tcPr>
          <w:p>
            <w:pPr>
              <w:spacing w:after="0"/>
            </w:pPr>
            <w:r>
              <w:rPr>
                <w:rFonts w:ascii="游ゴシック" w:hAnsi="游ゴシック" w:eastAsia="游ゴシック"/>
                <w:b w:val="0"/>
                <w:sz w:val="16"/>
              </w:rPr>
              <w:t>町ごとの取組の状況をそのまま記述し、区域内での統一は計画に位置づけない。第10期の施策に位置づけるかどうかは取組の必要性から判断するものであり、得点のみを理由とするものではない</w:t>
            </w:r>
          </w:p>
        </w:tc>
        <w:tc>
          <w:tcPr>
            <w:tcW w:type="dxa" w:w="907"/>
            <w:vAlign w:val="center"/>
          </w:tcPr>
          <w:p>
            <w:pPr>
              <w:spacing w:after="0"/>
              <w:jc w:val="center"/>
            </w:pPr>
            <w:r>
              <w:rPr>
                <w:rFonts w:ascii="游ゴシック" w:hAnsi="游ゴシック" w:eastAsia="游ゴシック"/>
                <w:b/>
                <w:sz w:val="16"/>
              </w:rPr>
              <w:t>5分</w:t>
            </w:r>
          </w:p>
        </w:tc>
      </w:tr>
      <w:tr>
        <w:trPr>
          <w:cantSplit/>
        </w:trPr>
        <w:tc>
          <w:tcPr>
            <w:tcW w:type="dxa" w:w="680"/>
            <w:shd w:val="clear" w:color="auto" w:fill="F2F5FA"/>
            <w:vAlign w:val="center"/>
          </w:tcPr>
          <w:p>
            <w:pPr>
              <w:spacing w:after="0"/>
              <w:jc w:val="center"/>
            </w:pPr>
            <w:r>
              <w:rPr>
                <w:rFonts w:ascii="游ゴシック" w:hAnsi="游ゴシック" w:eastAsia="游ゴシック"/>
                <w:b/>
                <w:sz w:val="16"/>
              </w:rPr>
              <w:t>B4</w:t>
            </w:r>
          </w:p>
        </w:tc>
        <w:tc>
          <w:tcPr>
            <w:tcW w:type="dxa" w:w="2381"/>
            <w:shd w:val="clear" w:color="auto" w:fill="F2F5FA"/>
            <w:vAlign w:val="center"/>
          </w:tcPr>
          <w:p>
            <w:pPr>
              <w:spacing w:after="0"/>
            </w:pPr>
            <w:r>
              <w:rPr>
                <w:rFonts w:ascii="游ゴシック" w:hAnsi="游ゴシック" w:eastAsia="游ゴシック"/>
                <w:b w:val="0"/>
                <w:sz w:val="16"/>
              </w:rPr>
              <w:t>趨勢に現れない要因と、実績の大きな動きの理由</w:t>
            </w:r>
          </w:p>
        </w:tc>
        <w:tc>
          <w:tcPr>
            <w:tcW w:type="dxa" w:w="1474"/>
            <w:shd w:val="clear" w:color="auto" w:fill="F2F5FA"/>
            <w:vAlign w:val="center"/>
          </w:tcPr>
          <w:p>
            <w:pPr>
              <w:spacing w:after="0"/>
            </w:pPr>
            <w:r>
              <w:rPr>
                <w:rFonts w:ascii="游ゴシック" w:hAnsi="游ゴシック" w:eastAsia="游ゴシック"/>
                <w:b w:val="0"/>
                <w:sz w:val="16"/>
              </w:rPr>
              <w:t>No.111・No.133・No.108</w:t>
            </w:r>
          </w:p>
        </w:tc>
        <w:tc>
          <w:tcPr>
            <w:tcW w:type="dxa" w:w="3969"/>
            <w:shd w:val="clear" w:color="auto" w:fill="F2F5FA"/>
            <w:vAlign w:val="center"/>
          </w:tcPr>
          <w:p>
            <w:pPr>
              <w:spacing w:after="0"/>
            </w:pPr>
            <w:r>
              <w:rPr>
                <w:rFonts w:ascii="游ゴシック" w:hAnsi="游ゴシック" w:eastAsia="游ゴシック"/>
                <w:b w:val="0"/>
                <w:sz w:val="16"/>
              </w:rPr>
              <w:t>趨勢に現れない要因は向きのみを注記し、数値には織り込まない／令和8年度の月報（4〜7月）は基準年度に用いず、令和7年度を基準として概算する／補正しても外れる6件は趨勢ではなく供給・制度の問題として注記する</w:t>
            </w:r>
          </w:p>
        </w:tc>
        <w:tc>
          <w:tcPr>
            <w:tcW w:type="dxa" w:w="907"/>
            <w:shd w:val="clear" w:color="auto" w:fill="F2F5FA"/>
            <w:vAlign w:val="center"/>
          </w:tcPr>
          <w:p>
            <w:pPr>
              <w:spacing w:after="0"/>
              <w:jc w:val="center"/>
            </w:pPr>
            <w:r>
              <w:rPr>
                <w:rFonts w:ascii="游ゴシック" w:hAnsi="游ゴシック" w:eastAsia="游ゴシック"/>
                <w:b/>
                <w:sz w:val="16"/>
              </w:rPr>
              <w:t>5分</w:t>
            </w:r>
          </w:p>
        </w:tc>
      </w:tr>
      <w:tr>
        <w:trPr>
          <w:cantSplit/>
        </w:trPr>
        <w:tc>
          <w:tcPr>
            <w:tcW w:type="dxa" w:w="680"/>
            <w:vAlign w:val="center"/>
          </w:tcPr>
          <w:p>
            <w:pPr>
              <w:spacing w:after="0"/>
              <w:jc w:val="center"/>
            </w:pPr>
            <w:r>
              <w:rPr>
                <w:rFonts w:ascii="游ゴシック" w:hAnsi="游ゴシック" w:eastAsia="游ゴシック"/>
                <w:b/>
                <w:sz w:val="16"/>
              </w:rPr>
              <w:t>計</w:t>
            </w:r>
          </w:p>
        </w:tc>
        <w:tc>
          <w:tcPr>
            <w:tcW w:type="dxa" w:w="2381"/>
            <w:vAlign w:val="center"/>
          </w:tcPr>
          <w:p>
            <w:pPr>
              <w:spacing w:after="0"/>
            </w:pPr>
            <w:r>
              <w:rPr>
                <w:rFonts w:ascii="游ゴシック" w:hAnsi="游ゴシック" w:eastAsia="游ゴシック"/>
                <w:sz w:val="16"/>
              </w:rPr>
            </w:r>
          </w:p>
        </w:tc>
        <w:tc>
          <w:tcPr>
            <w:tcW w:type="dxa" w:w="1474"/>
            <w:vAlign w:val="center"/>
          </w:tcPr>
          <w:p>
            <w:pPr>
              <w:spacing w:after="0"/>
            </w:pPr>
            <w:r>
              <w:rPr>
                <w:rFonts w:ascii="游ゴシック" w:hAnsi="游ゴシック" w:eastAsia="游ゴシック"/>
                <w:sz w:val="16"/>
              </w:rPr>
            </w:r>
          </w:p>
        </w:tc>
        <w:tc>
          <w:tcPr>
            <w:tcW w:type="dxa" w:w="3969"/>
            <w:vAlign w:val="center"/>
          </w:tcPr>
          <w:p>
            <w:pPr>
              <w:spacing w:after="0"/>
            </w:pPr>
            <w:r>
              <w:rPr>
                <w:rFonts w:ascii="游ゴシック" w:hAnsi="游ゴシック" w:eastAsia="游ゴシック"/>
                <w:sz w:val="16"/>
              </w:rPr>
            </w:r>
          </w:p>
        </w:tc>
        <w:tc>
          <w:tcPr>
            <w:tcW w:type="dxa" w:w="907"/>
            <w:vAlign w:val="center"/>
          </w:tcPr>
          <w:p>
            <w:pPr>
              <w:spacing w:after="0"/>
              <w:jc w:val="center"/>
            </w:pPr>
            <w:r>
              <w:rPr>
                <w:rFonts w:ascii="游ゴシック" w:hAnsi="游ゴシック" w:eastAsia="游ゴシック"/>
                <w:b/>
                <w:sz w:val="16"/>
              </w:rPr>
              <w:t>20分</w:t>
            </w:r>
          </w:p>
        </w:tc>
      </w:tr>
    </w:tbl>
    <w:p>
      <w:pPr>
        <w:spacing w:after="80"/>
      </w:pPr>
      <w:r>
        <w:rPr>
          <w:rFonts w:ascii="游ゴシック" w:hAnsi="游ゴシック" w:eastAsia="游ゴシック"/>
          <w:b/>
          <w:sz w:val="20"/>
        </w:rPr>
        <w:t>B1　介護情報基盤及びケアプランデータ連携への対応の工程</w:t>
      </w:r>
      <w:r>
        <w:rPr>
          <w:rFonts w:ascii="游ゴシック" w:hAnsi="游ゴシック" w:eastAsia="游ゴシック"/>
          <w:b w:val="0"/>
          <w:sz w:val="20"/>
        </w:rPr>
        <w:t xml:space="preserve"> 令和10年4月1日までに構成3町の介護保険事務システムの標準化対応と介護情報基盤へのデータ移行を終えることが国から示されています（適合基準日は令和9年1月1日）。</w:t>
      </w:r>
      <w:r>
        <w:rPr>
          <w:rFonts w:ascii="游ゴシック" w:hAnsi="游ゴシック" w:eastAsia="游ゴシック"/>
          <w:b/>
          <w:sz w:val="20"/>
        </w:rPr>
        <w:t>個別協議でお伺いする項目に加えるかをご確認いただきたい。</w:t>
      </w:r>
    </w:p>
    <w:p>
      <w:pPr>
        <w:spacing w:after="80"/>
      </w:pPr>
      <w:r>
        <w:rPr>
          <w:rFonts w:ascii="游ゴシック" w:hAnsi="游ゴシック" w:eastAsia="游ゴシック"/>
          <w:b/>
          <w:sz w:val="20"/>
        </w:rPr>
        <w:t>B2　ケアプラン点検実施要領（案）の確定</w:t>
      </w:r>
      <w:r>
        <w:rPr>
          <w:rFonts w:ascii="游ゴシック" w:hAnsi="游ゴシック" w:eastAsia="游ゴシック"/>
          <w:b w:val="0"/>
          <w:sz w:val="20"/>
        </w:rPr>
        <w:t xml:space="preserve"> 令和8年9月18日の社会保障審議会介護保険部会で、介護給付適正化の主要3事業のいずれかを実施していない保険者について調整交付金を減額する仕組みが示されました。</w:t>
      </w:r>
      <w:r>
        <w:rPr>
          <w:rFonts w:ascii="游ゴシック" w:hAnsi="游ゴシック" w:eastAsia="游ゴシック"/>
          <w:b/>
          <w:sz w:val="20"/>
        </w:rPr>
        <w:t>当広域連合はケアプラン等の点検を実施していないため該当します。</w:t>
      </w:r>
    </w:p>
    <w:p>
      <w:pPr>
        <w:spacing w:after="80"/>
      </w:pPr>
      <w:r>
        <w:rPr>
          <w:rFonts w:ascii="游ゴシック" w:hAnsi="游ゴシック" w:eastAsia="游ゴシック"/>
          <w:b/>
          <w:sz w:val="20"/>
        </w:rPr>
        <w:t>B3　構成町により得点が分かれている交付金の項目の区域内での取扱い</w:t>
      </w:r>
      <w:r>
        <w:rPr>
          <w:rFonts w:ascii="游ゴシック" w:hAnsi="游ゴシック" w:eastAsia="游ゴシック"/>
          <w:b w:val="0"/>
          <w:sz w:val="20"/>
        </w:rPr>
        <w:t xml:space="preserve"> 令和8年度の評価指標の明細列のうち78列で、構成3町の一部の町のみが得点しています。3町は制度・保険者が同じであり条件がそろっています。第10期の施策に位置づけるかどうかは取組の必要性から判断するもので、得点のみを理由とするものではありません。</w:t>
      </w:r>
    </w:p>
    <w:p>
      <w:pPr>
        <w:spacing w:after="80"/>
      </w:pPr>
      <w:r>
        <w:rPr>
          <w:rFonts w:ascii="游ゴシック" w:hAnsi="游ゴシック" w:eastAsia="游ゴシック"/>
          <w:b/>
          <w:sz w:val="20"/>
        </w:rPr>
        <w:t>B4　趨勢に現れない要因と、実績の大きな動きの理由</w:t>
      </w:r>
      <w:r>
        <w:rPr>
          <w:rFonts w:ascii="游ゴシック" w:hAnsi="游ゴシック" w:eastAsia="游ゴシック"/>
          <w:b w:val="0"/>
          <w:sz w:val="20"/>
        </w:rPr>
        <w:t xml:space="preserve"> 介護老人保健施設の令和8年度の減少（14.6％）は季節では説明できません。補正しても外れるサービス6件は趨勢ではなく供給・制度の問題です。いずれも</w:t>
      </w:r>
      <w:r>
        <w:rPr>
          <w:rFonts w:ascii="游ゴシック" w:hAnsi="游ゴシック" w:eastAsia="游ゴシック"/>
          <w:b/>
          <w:sz w:val="20"/>
        </w:rPr>
        <w:t>向きのみを注記し数値には織り込まない</w:t>
      </w:r>
      <w:r>
        <w:rPr>
          <w:rFonts w:ascii="游ゴシック" w:hAnsi="游ゴシック" w:eastAsia="游ゴシック"/>
          <w:b w:val="0"/>
          <w:sz w:val="20"/>
        </w:rPr>
        <w:t>扱いとしています。</w:t>
      </w:r>
    </w:p>
    <w:p>
      <w:pPr>
        <w:keepNext/>
        <w:spacing w:before="180" w:after="60"/>
      </w:pPr>
      <w:r>
        <w:rPr>
          <w:rFonts w:ascii="游ゴシック" w:hAnsi="游ゴシック" w:eastAsia="游ゴシック"/>
          <w:b/>
          <w:sz w:val="22"/>
        </w:rPr>
        <w:t>3　A群・B群の選び方</w:t>
      </w:r>
    </w:p>
    <w:p>
      <w:pPr>
        <w:spacing w:after="80"/>
      </w:pPr>
      <w:r>
        <w:rPr>
          <w:rFonts w:ascii="游ゴシック" w:hAnsi="游ゴシック" w:eastAsia="游ゴシック"/>
          <w:b w:val="0"/>
          <w:sz w:val="20"/>
        </w:rPr>
        <w:t>A群は次の4つの観点のうち</w:t>
      </w:r>
      <w:r>
        <w:rPr>
          <w:rFonts w:ascii="游ゴシック" w:hAnsi="游ゴシック" w:eastAsia="游ゴシック"/>
          <w:b/>
          <w:sz w:val="20"/>
        </w:rPr>
        <w:t>2つ以上に当たるもの</w:t>
      </w:r>
      <w:r>
        <w:rPr>
          <w:rFonts w:ascii="游ゴシック" w:hAnsi="游ゴシック" w:eastAsia="游ゴシック"/>
          <w:b w:val="0"/>
          <w:sz w:val="20"/>
        </w:rPr>
        <w:t>としました。期限は観点に用いていません。ご決定をお待ちしている事項は期限が令和8年10月までのものが大半であり、期限では順位が付かないためです。</w:t>
      </w:r>
    </w:p>
    <w:p>
      <w:pPr>
        <w:keepNext/>
        <w:spacing w:before="160" w:after="40"/>
      </w:pPr>
      <w:r>
        <w:rPr>
          <w:rFonts w:ascii="游ゴシック" w:hAnsi="游ゴシック" w:eastAsia="游ゴシック"/>
          <w:b/>
          <w:sz w:val="20"/>
        </w:rPr>
        <w:t>表20　優先順位の観点</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680"/>
            <w:shd w:val="clear" w:color="auto" w:fill="1F3864"/>
            <w:vAlign w:val="center"/>
          </w:tcPr>
          <w:p>
            <w:pPr>
              <w:keepNext/>
              <w:spacing w:after="0"/>
              <w:jc w:val="center"/>
            </w:pPr>
            <w:r>
              <w:rPr>
                <w:rFonts w:ascii="游ゴシック" w:hAnsi="游ゴシック" w:eastAsia="游ゴシック"/>
                <w:b/>
                <w:color w:val="FFFFFF"/>
                <w:sz w:val="18"/>
              </w:rPr>
              <w:t>観点</w:t>
            </w:r>
          </w:p>
        </w:tc>
        <w:tc>
          <w:tcPr>
            <w:tcW w:type="dxa" w:w="2835"/>
            <w:shd w:val="clear" w:color="auto" w:fill="1F3864"/>
            <w:vAlign w:val="center"/>
          </w:tcPr>
          <w:p>
            <w:pPr>
              <w:keepNext/>
              <w:spacing w:after="0"/>
              <w:jc w:val="center"/>
            </w:pPr>
            <w:r>
              <w:rPr>
                <w:rFonts w:ascii="游ゴシック" w:hAnsi="游ゴシック" w:eastAsia="游ゴシック"/>
                <w:b/>
                <w:color w:val="FFFFFF"/>
                <w:sz w:val="18"/>
              </w:rPr>
              <w:t>内容</w:t>
            </w:r>
          </w:p>
        </w:tc>
        <w:tc>
          <w:tcPr>
            <w:tcW w:type="dxa" w:w="4762"/>
            <w:shd w:val="clear" w:color="auto" w:fill="1F3864"/>
            <w:vAlign w:val="center"/>
          </w:tcPr>
          <w:p>
            <w:pPr>
              <w:keepNext/>
              <w:spacing w:after="0"/>
              <w:jc w:val="center"/>
            </w:pPr>
            <w:r>
              <w:rPr>
                <w:rFonts w:ascii="游ゴシック" w:hAnsi="游ゴシック" w:eastAsia="游ゴシック"/>
                <w:b/>
                <w:color w:val="FFFFFF"/>
                <w:sz w:val="18"/>
              </w:rPr>
              <w:t>意味</w:t>
            </w:r>
          </w:p>
        </w:tc>
        <w:tc>
          <w:tcPr>
            <w:tcW w:type="dxa" w:w="1474"/>
            <w:shd w:val="clear" w:color="auto" w:fill="1F3864"/>
            <w:vAlign w:val="center"/>
          </w:tcPr>
          <w:p>
            <w:pPr>
              <w:keepNext/>
              <w:spacing w:after="0"/>
              <w:jc w:val="center"/>
            </w:pPr>
            <w:r>
              <w:rPr>
                <w:rFonts w:ascii="游ゴシック" w:hAnsi="游ゴシック" w:eastAsia="游ゴシック"/>
                <w:b/>
                <w:color w:val="FFFFFF"/>
                <w:sz w:val="18"/>
              </w:rPr>
              <w:t>A群</w:t>
            </w:r>
          </w:p>
        </w:tc>
      </w:tr>
      <w:tr>
        <w:trPr>
          <w:cantSplit/>
        </w:trPr>
        <w:tc>
          <w:tcPr>
            <w:tcW w:type="dxa" w:w="680"/>
            <w:vAlign w:val="center"/>
          </w:tcPr>
          <w:p>
            <w:pPr>
              <w:keepNext/>
              <w:spacing w:after="0"/>
              <w:jc w:val="center"/>
            </w:pPr>
            <w:r>
              <w:rPr>
                <w:rFonts w:ascii="游ゴシック" w:hAnsi="游ゴシック" w:eastAsia="游ゴシック"/>
                <w:b/>
                <w:sz w:val="18"/>
              </w:rPr>
              <w:t>①</w:t>
            </w:r>
          </w:p>
        </w:tc>
        <w:tc>
          <w:tcPr>
            <w:tcW w:type="dxa" w:w="2835"/>
            <w:vAlign w:val="center"/>
          </w:tcPr>
          <w:p>
            <w:pPr>
              <w:keepNext/>
              <w:spacing w:after="0"/>
            </w:pPr>
            <w:r>
              <w:rPr>
                <w:rFonts w:ascii="游ゴシック" w:hAnsi="游ゴシック" w:eastAsia="游ゴシック"/>
                <w:b w:val="0"/>
                <w:sz w:val="18"/>
              </w:rPr>
              <w:t>3町の意向がないと計画の記載が確定しない</w:t>
            </w:r>
          </w:p>
        </w:tc>
        <w:tc>
          <w:tcPr>
            <w:tcW w:type="dxa" w:w="4762"/>
            <w:vAlign w:val="center"/>
          </w:tcPr>
          <w:p>
            <w:pPr>
              <w:keepNext/>
              <w:spacing w:after="0"/>
            </w:pPr>
            <w:r>
              <w:rPr>
                <w:rFonts w:ascii="游ゴシック" w:hAnsi="游ゴシック" w:eastAsia="游ゴシック"/>
                <w:b w:val="0"/>
                <w:sz w:val="18"/>
              </w:rPr>
              <w:t>構成3町のご意向がないと計画本文を確定できず、［要協議］のまま残すことになる</w:t>
            </w:r>
          </w:p>
        </w:tc>
        <w:tc>
          <w:tcPr>
            <w:tcW w:type="dxa" w:w="1474"/>
            <w:vAlign w:val="center"/>
          </w:tcPr>
          <w:p>
            <w:pPr>
              <w:keepNext/>
              <w:spacing w:after="0"/>
            </w:pPr>
            <w:r>
              <w:rPr>
                <w:rFonts w:ascii="游ゴシック" w:hAnsi="游ゴシック" w:eastAsia="游ゴシック"/>
                <w:b w:val="0"/>
                <w:sz w:val="18"/>
              </w:rPr>
              <w:t>A1・A2・A3・A4</w:t>
            </w:r>
          </w:p>
        </w:tc>
      </w:tr>
      <w:tr>
        <w:trPr>
          <w:cantSplit/>
        </w:trPr>
        <w:tc>
          <w:tcPr>
            <w:tcW w:type="dxa" w:w="680"/>
            <w:shd w:val="clear" w:color="auto" w:fill="F2F5FA"/>
            <w:vAlign w:val="center"/>
          </w:tcPr>
          <w:p>
            <w:pPr>
              <w:keepNext/>
              <w:spacing w:after="0"/>
              <w:jc w:val="center"/>
            </w:pPr>
            <w:r>
              <w:rPr>
                <w:rFonts w:ascii="游ゴシック" w:hAnsi="游ゴシック" w:eastAsia="游ゴシック"/>
                <w:b/>
                <w:sz w:val="18"/>
              </w:rPr>
              <w:t>②</w:t>
            </w:r>
          </w:p>
        </w:tc>
        <w:tc>
          <w:tcPr>
            <w:tcW w:type="dxa" w:w="2835"/>
            <w:shd w:val="clear" w:color="auto" w:fill="F2F5FA"/>
            <w:vAlign w:val="center"/>
          </w:tcPr>
          <w:p>
            <w:pPr>
              <w:keepNext/>
              <w:spacing w:after="0"/>
            </w:pPr>
            <w:r>
              <w:rPr>
                <w:rFonts w:ascii="游ゴシック" w:hAnsi="游ゴシック" w:eastAsia="游ゴシック"/>
                <w:b w:val="0"/>
                <w:sz w:val="18"/>
              </w:rPr>
              <w:t>月額への効きが大きい</w:t>
            </w:r>
          </w:p>
        </w:tc>
        <w:tc>
          <w:tcPr>
            <w:tcW w:type="dxa" w:w="4762"/>
            <w:shd w:val="clear" w:color="auto" w:fill="F2F5FA"/>
            <w:vAlign w:val="center"/>
          </w:tcPr>
          <w:p>
            <w:pPr>
              <w:keepNext/>
              <w:spacing w:after="0"/>
            </w:pPr>
            <w:r>
              <w:rPr>
                <w:rFonts w:ascii="游ゴシック" w:hAnsi="游ゴシック" w:eastAsia="游ゴシック"/>
                <w:b w:val="0"/>
                <w:sz w:val="18"/>
              </w:rPr>
              <w:t>保険料の月額を動かし得る</w:t>
            </w:r>
          </w:p>
        </w:tc>
        <w:tc>
          <w:tcPr>
            <w:tcW w:type="dxa" w:w="1474"/>
            <w:shd w:val="clear" w:color="auto" w:fill="F2F5FA"/>
            <w:vAlign w:val="center"/>
          </w:tcPr>
          <w:p>
            <w:pPr>
              <w:keepNext/>
              <w:spacing w:after="0"/>
            </w:pPr>
            <w:r>
              <w:rPr>
                <w:rFonts w:ascii="游ゴシック" w:hAnsi="游ゴシック" w:eastAsia="游ゴシック"/>
                <w:b w:val="0"/>
                <w:sz w:val="18"/>
              </w:rPr>
              <w:t>A2</w:t>
            </w:r>
          </w:p>
        </w:tc>
      </w:tr>
      <w:tr>
        <w:trPr>
          <w:cantSplit/>
        </w:trPr>
        <w:tc>
          <w:tcPr>
            <w:tcW w:type="dxa" w:w="680"/>
            <w:vAlign w:val="center"/>
          </w:tcPr>
          <w:p>
            <w:pPr>
              <w:keepNext/>
              <w:spacing w:after="0"/>
              <w:jc w:val="center"/>
            </w:pPr>
            <w:r>
              <w:rPr>
                <w:rFonts w:ascii="游ゴシック" w:hAnsi="游ゴシック" w:eastAsia="游ゴシック"/>
                <w:b/>
                <w:sz w:val="18"/>
              </w:rPr>
              <w:t>③</w:t>
            </w:r>
          </w:p>
        </w:tc>
        <w:tc>
          <w:tcPr>
            <w:tcW w:type="dxa" w:w="2835"/>
            <w:vAlign w:val="center"/>
          </w:tcPr>
          <w:p>
            <w:pPr>
              <w:keepNext/>
              <w:spacing w:after="0"/>
            </w:pPr>
            <w:r>
              <w:rPr>
                <w:rFonts w:ascii="游ゴシック" w:hAnsi="游ゴシック" w:eastAsia="游ゴシック"/>
                <w:b w:val="0"/>
                <w:sz w:val="18"/>
              </w:rPr>
              <w:t>法定記載事項に直結する</w:t>
            </w:r>
          </w:p>
        </w:tc>
        <w:tc>
          <w:tcPr>
            <w:tcW w:type="dxa" w:w="4762"/>
            <w:vAlign w:val="center"/>
          </w:tcPr>
          <w:p>
            <w:pPr>
              <w:keepNext/>
              <w:spacing w:after="0"/>
            </w:pPr>
            <w:r>
              <w:rPr>
                <w:rFonts w:ascii="游ゴシック" w:hAnsi="游ゴシック" w:eastAsia="游ゴシック"/>
                <w:b w:val="0"/>
                <w:sz w:val="18"/>
              </w:rPr>
              <w:t>介護保険法第117条が定める記載事項そのものである</w:t>
            </w:r>
          </w:p>
        </w:tc>
        <w:tc>
          <w:tcPr>
            <w:tcW w:type="dxa" w:w="1474"/>
            <w:vAlign w:val="center"/>
          </w:tcPr>
          <w:p>
            <w:pPr>
              <w:keepNext/>
              <w:spacing w:after="0"/>
            </w:pPr>
            <w:r>
              <w:rPr>
                <w:rFonts w:ascii="游ゴシック" w:hAnsi="游ゴシック" w:eastAsia="游ゴシック"/>
                <w:b w:val="0"/>
                <w:sz w:val="18"/>
              </w:rPr>
              <w:t>A1・A3</w:t>
            </w:r>
          </w:p>
        </w:tc>
      </w:tr>
      <w:tr>
        <w:trPr>
          <w:cantSplit/>
        </w:trPr>
        <w:tc>
          <w:tcPr>
            <w:tcW w:type="dxa" w:w="680"/>
            <w:shd w:val="clear" w:color="auto" w:fill="F2F5FA"/>
            <w:vAlign w:val="center"/>
          </w:tcPr>
          <w:p>
            <w:pPr>
              <w:spacing w:after="0"/>
              <w:jc w:val="center"/>
            </w:pPr>
            <w:r>
              <w:rPr>
                <w:rFonts w:ascii="游ゴシック" w:hAnsi="游ゴシック" w:eastAsia="游ゴシック"/>
                <w:b/>
                <w:sz w:val="18"/>
              </w:rPr>
              <w:t>④</w:t>
            </w:r>
          </w:p>
        </w:tc>
        <w:tc>
          <w:tcPr>
            <w:tcW w:type="dxa" w:w="2835"/>
            <w:shd w:val="clear" w:color="auto" w:fill="F2F5FA"/>
            <w:vAlign w:val="center"/>
          </w:tcPr>
          <w:p>
            <w:pPr>
              <w:spacing w:after="0"/>
            </w:pPr>
            <w:r>
              <w:rPr>
                <w:rFonts w:ascii="游ゴシック" w:hAnsi="游ゴシック" w:eastAsia="游ゴシック"/>
                <w:b w:val="0"/>
                <w:sz w:val="18"/>
              </w:rPr>
              <w:t>第2次概算の前提になる</w:t>
            </w:r>
          </w:p>
        </w:tc>
        <w:tc>
          <w:tcPr>
            <w:tcW w:type="dxa" w:w="4762"/>
            <w:shd w:val="clear" w:color="auto" w:fill="F2F5FA"/>
            <w:vAlign w:val="center"/>
          </w:tcPr>
          <w:p>
            <w:pPr>
              <w:spacing w:after="0"/>
            </w:pPr>
            <w:r>
              <w:rPr>
                <w:rFonts w:ascii="游ゴシック" w:hAnsi="游ゴシック" w:eastAsia="游ゴシック"/>
                <w:b w:val="0"/>
                <w:sz w:val="18"/>
              </w:rPr>
              <w:t>令和8年10月30日に提示する算定の前提として要る</w:t>
            </w:r>
          </w:p>
        </w:tc>
        <w:tc>
          <w:tcPr>
            <w:tcW w:type="dxa" w:w="1474"/>
            <w:shd w:val="clear" w:color="auto" w:fill="F2F5FA"/>
            <w:vAlign w:val="center"/>
          </w:tcPr>
          <w:p>
            <w:pPr>
              <w:spacing w:after="0"/>
            </w:pPr>
            <w:r>
              <w:rPr>
                <w:rFonts w:ascii="游ゴシック" w:hAnsi="游ゴシック" w:eastAsia="游ゴシック"/>
                <w:b w:val="0"/>
                <w:sz w:val="18"/>
              </w:rPr>
              <w:t>A1・A2・A4</w:t>
            </w:r>
          </w:p>
        </w:tc>
      </w:tr>
    </w:tbl>
    <w:p>
      <w:pPr>
        <w:ind w:left="227"/>
      </w:pPr>
      <w:r>
        <w:rPr>
          <w:rFonts w:ascii="游ゴシック" w:hAnsi="游ゴシック" w:eastAsia="游ゴシック"/>
          <w:b w:val="0"/>
          <w:sz w:val="18"/>
        </w:rPr>
        <w:t>※ A群・B群のいずれも、ご決定がない場合は仮置きのまま第2次概算（令和8年10月30日）を組みます。ただし仮置きは協議を進めるためのものであり、計画として確定する根拠にはなりません。</w:t>
      </w:r>
    </w:p>
    <w:p>
      <w:pPr>
        <w:keepNext/>
        <w:spacing w:before="180" w:after="60"/>
      </w:pPr>
      <w:r>
        <w:rPr>
          <w:rFonts w:ascii="游ゴシック" w:hAnsi="游ゴシック" w:eastAsia="游ゴシック"/>
          <w:b/>
          <w:sz w:val="22"/>
        </w:rPr>
        <w:t>4　サービス見込量・保険料の算定を止めているもの（4件）</w:t>
      </w:r>
    </w:p>
    <w:p>
      <w:pPr>
        <w:spacing w:after="80"/>
      </w:pPr>
      <w:r>
        <w:rPr>
          <w:rFonts w:ascii="游ゴシック" w:hAnsi="游ゴシック" w:eastAsia="游ゴシック"/>
          <w:b w:val="0"/>
          <w:sz w:val="20"/>
        </w:rPr>
        <w:t>第2次概算（令和8年10月30日）に向けて、優先してご決定をお願いしたいものです。</w:t>
      </w:r>
    </w:p>
    <w:p>
      <w:pPr>
        <w:keepNext/>
        <w:spacing w:before="160" w:after="40"/>
      </w:pPr>
      <w:r>
        <w:rPr>
          <w:rFonts w:ascii="游ゴシック" w:hAnsi="游ゴシック" w:eastAsia="游ゴシック"/>
          <w:b/>
          <w:sz w:val="20"/>
        </w:rPr>
        <w:t>表21　算定を止めている確認事項</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8"/>
              </w:rPr>
              <w:t>No.</w:t>
            </w:r>
          </w:p>
        </w:tc>
        <w:tc>
          <w:tcPr>
            <w:tcW w:type="dxa" w:w="2948"/>
            <w:shd w:val="clear" w:color="auto" w:fill="1F3864"/>
            <w:vAlign w:val="center"/>
          </w:tcPr>
          <w:p>
            <w:pPr>
              <w:spacing w:after="0"/>
              <w:jc w:val="center"/>
            </w:pPr>
            <w:r>
              <w:rPr>
                <w:rFonts w:ascii="游ゴシック" w:hAnsi="游ゴシック" w:eastAsia="游ゴシック"/>
                <w:b/>
                <w:color w:val="FFFFFF"/>
                <w:sz w:val="18"/>
              </w:rPr>
              <w:t>確認事項</w:t>
            </w:r>
          </w:p>
        </w:tc>
        <w:tc>
          <w:tcPr>
            <w:tcW w:type="dxa" w:w="4876"/>
            <w:shd w:val="clear" w:color="auto" w:fill="1F3864"/>
            <w:vAlign w:val="center"/>
          </w:tcPr>
          <w:p>
            <w:pPr>
              <w:spacing w:after="0"/>
              <w:jc w:val="center"/>
            </w:pPr>
            <w:r>
              <w:rPr>
                <w:rFonts w:ascii="游ゴシック" w:hAnsi="游ゴシック" w:eastAsia="游ゴシック"/>
                <w:b/>
                <w:color w:val="FFFFFF"/>
                <w:sz w:val="18"/>
              </w:rPr>
              <w:t>決まらない場合の当方の扱い（仮置き）</w:t>
            </w:r>
          </w:p>
        </w:tc>
        <w:tc>
          <w:tcPr>
            <w:tcW w:type="dxa" w:w="1134"/>
            <w:shd w:val="clear" w:color="auto" w:fill="1F3864"/>
            <w:vAlign w:val="center"/>
          </w:tcPr>
          <w:p>
            <w:pPr>
              <w:spacing w:after="0"/>
              <w:jc w:val="center"/>
            </w:pPr>
            <w:r>
              <w:rPr>
                <w:rFonts w:ascii="游ゴシック" w:hAnsi="游ゴシック" w:eastAsia="游ゴシック"/>
                <w:b/>
                <w:color w:val="FFFFFF"/>
                <w:sz w:val="18"/>
              </w:rPr>
              <w:t>期限</w:t>
            </w:r>
          </w:p>
        </w:tc>
      </w:tr>
      <w:tr>
        <w:trPr>
          <w:cantSplit/>
        </w:trPr>
        <w:tc>
          <w:tcPr>
            <w:tcW w:type="dxa" w:w="794"/>
            <w:vAlign w:val="center"/>
          </w:tcPr>
          <w:p>
            <w:pPr>
              <w:spacing w:after="0"/>
              <w:jc w:val="center"/>
            </w:pPr>
            <w:r>
              <w:rPr>
                <w:rFonts w:ascii="游ゴシック" w:hAnsi="游ゴシック" w:eastAsia="游ゴシック"/>
                <w:b w:val="0"/>
                <w:sz w:val="18"/>
              </w:rPr>
              <w:t>No.14</w:t>
            </w:r>
          </w:p>
        </w:tc>
        <w:tc>
          <w:tcPr>
            <w:tcW w:type="dxa" w:w="2948"/>
            <w:vAlign w:val="center"/>
          </w:tcPr>
          <w:p>
            <w:pPr>
              <w:spacing w:after="0"/>
            </w:pPr>
            <w:r>
              <w:rPr>
                <w:rFonts w:ascii="游ゴシック" w:hAnsi="游ゴシック" w:eastAsia="游ゴシック"/>
                <w:b w:val="0"/>
                <w:sz w:val="18"/>
              </w:rPr>
              <w:t>人口推計の基礎とする系列</w:t>
            </w:r>
          </w:p>
        </w:tc>
        <w:tc>
          <w:tcPr>
            <w:tcW w:type="dxa" w:w="4876"/>
            <w:vAlign w:val="center"/>
          </w:tcPr>
          <w:p>
            <w:pPr>
              <w:spacing w:after="0"/>
            </w:pPr>
            <w:r>
              <w:rPr>
                <w:rFonts w:ascii="游ゴシック" w:hAnsi="游ゴシック" w:eastAsia="游ゴシック"/>
                <w:b w:val="0"/>
                <w:sz w:val="18"/>
              </w:rPr>
              <w:t>案C（総合戦略＋住民基本台帳の実績趨勢）のまま確定する</w:t>
            </w:r>
          </w:p>
        </w:tc>
        <w:tc>
          <w:tcPr>
            <w:tcW w:type="dxa" w:w="1134"/>
            <w:vAlign w:val="center"/>
          </w:tcPr>
          <w:p>
            <w:pPr>
              <w:spacing w:after="0"/>
              <w:jc w:val="center"/>
            </w:pPr>
            <w:r>
              <w:rPr>
                <w:rFonts w:ascii="游ゴシック" w:hAnsi="游ゴシック" w:eastAsia="游ゴシック"/>
                <w:b w:val="0"/>
                <w:sz w:val="18"/>
              </w:rPr>
              <w:t>R8.10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No.115</w:t>
            </w:r>
          </w:p>
        </w:tc>
        <w:tc>
          <w:tcPr>
            <w:tcW w:type="dxa" w:w="2948"/>
            <w:shd w:val="clear" w:color="auto" w:fill="F2F5FA"/>
            <w:vAlign w:val="center"/>
          </w:tcPr>
          <w:p>
            <w:pPr>
              <w:spacing w:after="0"/>
            </w:pPr>
            <w:r>
              <w:rPr>
                <w:rFonts w:ascii="游ゴシック" w:hAnsi="游ゴシック" w:eastAsia="游ゴシック"/>
                <w:b w:val="0"/>
                <w:sz w:val="18"/>
              </w:rPr>
              <w:t>令和9年4月に新設される区分を見込量に立てるか</w:t>
            </w:r>
          </w:p>
        </w:tc>
        <w:tc>
          <w:tcPr>
            <w:tcW w:type="dxa" w:w="4876"/>
            <w:shd w:val="clear" w:color="auto" w:fill="F2F5FA"/>
            <w:vAlign w:val="center"/>
          </w:tcPr>
          <w:p>
            <w:pPr>
              <w:spacing w:after="0"/>
            </w:pPr>
            <w:r>
              <w:rPr>
                <w:rFonts w:ascii="游ゴシック" w:hAnsi="游ゴシック" w:eastAsia="游ゴシック"/>
                <w:b w:val="0"/>
                <w:sz w:val="18"/>
              </w:rPr>
              <w:t>令和9年4月新設の3区分を0として立てる</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794"/>
            <w:vAlign w:val="center"/>
          </w:tcPr>
          <w:p>
            <w:pPr>
              <w:spacing w:after="0"/>
              <w:jc w:val="center"/>
            </w:pPr>
            <w:r>
              <w:rPr>
                <w:rFonts w:ascii="游ゴシック" w:hAnsi="游ゴシック" w:eastAsia="游ゴシック"/>
                <w:b w:val="0"/>
                <w:sz w:val="18"/>
              </w:rPr>
              <w:t>No.116</w:t>
            </w:r>
          </w:p>
        </w:tc>
        <w:tc>
          <w:tcPr>
            <w:tcW w:type="dxa" w:w="2948"/>
            <w:vAlign w:val="center"/>
          </w:tcPr>
          <w:p>
            <w:pPr>
              <w:spacing w:after="0"/>
            </w:pPr>
            <w:r>
              <w:rPr>
                <w:rFonts w:ascii="游ゴシック" w:hAnsi="游ゴシック" w:eastAsia="游ゴシック"/>
                <w:b w:val="0"/>
                <w:sz w:val="18"/>
              </w:rPr>
              <w:t>介護人材の確保状況を供給の制約として見込量に反映するか</w:t>
            </w:r>
          </w:p>
        </w:tc>
        <w:tc>
          <w:tcPr>
            <w:tcW w:type="dxa" w:w="4876"/>
            <w:vAlign w:val="center"/>
          </w:tcPr>
          <w:p>
            <w:pPr>
              <w:spacing w:after="0"/>
            </w:pPr>
            <w:r>
              <w:rPr>
                <w:rFonts w:ascii="游ゴシック" w:hAnsi="游ゴシック" w:eastAsia="游ゴシック"/>
                <w:b w:val="0"/>
                <w:sz w:val="18"/>
              </w:rPr>
              <w:t>供給の制約（人材）を見込量に反映しない（需要のみで算定する）</w:t>
            </w:r>
          </w:p>
        </w:tc>
        <w:tc>
          <w:tcPr>
            <w:tcW w:type="dxa" w:w="1134"/>
            <w:vAlign w:val="center"/>
          </w:tcPr>
          <w:p>
            <w:pPr>
              <w:spacing w:after="0"/>
              <w:jc w:val="center"/>
            </w:pPr>
            <w:r>
              <w:rPr>
                <w:rFonts w:ascii="游ゴシック" w:hAnsi="游ゴシック" w:eastAsia="游ゴシック"/>
                <w:b w:val="0"/>
                <w:sz w:val="18"/>
              </w:rPr>
              <w:t>R8.10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No.133</w:t>
            </w:r>
          </w:p>
        </w:tc>
        <w:tc>
          <w:tcPr>
            <w:tcW w:type="dxa" w:w="2948"/>
            <w:shd w:val="clear" w:color="auto" w:fill="F2F5FA"/>
            <w:vAlign w:val="center"/>
          </w:tcPr>
          <w:p>
            <w:pPr>
              <w:spacing w:after="0"/>
            </w:pPr>
            <w:r>
              <w:rPr>
                <w:rFonts w:ascii="游ゴシック" w:hAnsi="游ゴシック" w:eastAsia="游ゴシック"/>
                <w:b w:val="0"/>
                <w:sz w:val="18"/>
              </w:rPr>
              <w:t>介護老人保健施設の令和8年度の減少をどう見るか</w:t>
            </w:r>
          </w:p>
        </w:tc>
        <w:tc>
          <w:tcPr>
            <w:tcW w:type="dxa" w:w="4876"/>
            <w:shd w:val="clear" w:color="auto" w:fill="F2F5FA"/>
            <w:vAlign w:val="center"/>
          </w:tcPr>
          <w:p>
            <w:pPr>
              <w:spacing w:after="0"/>
            </w:pPr>
            <w:r>
              <w:rPr>
                <w:rFonts w:ascii="游ゴシック" w:hAnsi="游ゴシック" w:eastAsia="游ゴシック"/>
                <w:b w:val="0"/>
                <w:sz w:val="18"/>
              </w:rPr>
              <w:t>令和8年度の月報（4〜7月）は基準年度に用いず、令和7年度を基準として概算する</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bl>
    <w:p>
      <w:pPr>
        <w:spacing w:after="80"/>
      </w:pPr>
      <w:r>
        <w:rPr>
          <w:rFonts w:ascii="游ゴシック" w:hAnsi="游ゴシック" w:eastAsia="游ゴシック"/>
          <w:b w:val="0"/>
          <w:sz w:val="17"/>
        </w:rPr>
        <w:t>資料：業務工程管理表 03_確認事項一覧</w:t>
      </w:r>
    </w:p>
    <w:p>
      <w:pPr>
        <w:keepNext/>
        <w:spacing w:before="180" w:after="60"/>
      </w:pPr>
      <w:r>
        <w:rPr>
          <w:rFonts w:ascii="游ゴシック" w:hAnsi="游ゴシック" w:eastAsia="游ゴシック"/>
          <w:b/>
          <w:sz w:val="22"/>
        </w:rPr>
        <w:t>5　計画の記載に関わるもの（26件）</w:t>
      </w:r>
    </w:p>
    <w:p>
      <w:pPr>
        <w:keepNext/>
        <w:spacing w:before="160" w:after="40"/>
      </w:pPr>
      <w:r>
        <w:rPr>
          <w:rFonts w:ascii="游ゴシック" w:hAnsi="游ゴシック" w:eastAsia="游ゴシック"/>
          <w:b/>
          <w:sz w:val="20"/>
        </w:rPr>
        <w:t>表22　計画の記載に関わる確認事項</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8"/>
              </w:rPr>
              <w:t>No.</w:t>
            </w:r>
          </w:p>
        </w:tc>
        <w:tc>
          <w:tcPr>
            <w:tcW w:type="dxa" w:w="2948"/>
            <w:shd w:val="clear" w:color="auto" w:fill="1F3864"/>
            <w:vAlign w:val="center"/>
          </w:tcPr>
          <w:p>
            <w:pPr>
              <w:spacing w:after="0"/>
              <w:jc w:val="center"/>
            </w:pPr>
            <w:r>
              <w:rPr>
                <w:rFonts w:ascii="游ゴシック" w:hAnsi="游ゴシック" w:eastAsia="游ゴシック"/>
                <w:b/>
                <w:color w:val="FFFFFF"/>
                <w:sz w:val="18"/>
              </w:rPr>
              <w:t>確認事項</w:t>
            </w:r>
          </w:p>
        </w:tc>
        <w:tc>
          <w:tcPr>
            <w:tcW w:type="dxa" w:w="4876"/>
            <w:shd w:val="clear" w:color="auto" w:fill="1F3864"/>
            <w:vAlign w:val="center"/>
          </w:tcPr>
          <w:p>
            <w:pPr>
              <w:spacing w:after="0"/>
              <w:jc w:val="center"/>
            </w:pPr>
            <w:r>
              <w:rPr>
                <w:rFonts w:ascii="游ゴシック" w:hAnsi="游ゴシック" w:eastAsia="游ゴシック"/>
                <w:b/>
                <w:color w:val="FFFFFF"/>
                <w:sz w:val="18"/>
              </w:rPr>
              <w:t>決まらない場合の当方の扱い（仮置き）</w:t>
            </w:r>
          </w:p>
        </w:tc>
        <w:tc>
          <w:tcPr>
            <w:tcW w:type="dxa" w:w="1134"/>
            <w:shd w:val="clear" w:color="auto" w:fill="1F3864"/>
            <w:vAlign w:val="center"/>
          </w:tcPr>
          <w:p>
            <w:pPr>
              <w:spacing w:after="0"/>
              <w:jc w:val="center"/>
            </w:pPr>
            <w:r>
              <w:rPr>
                <w:rFonts w:ascii="游ゴシック" w:hAnsi="游ゴシック" w:eastAsia="游ゴシック"/>
                <w:b/>
                <w:color w:val="FFFFFF"/>
                <w:sz w:val="18"/>
              </w:rPr>
              <w:t>期限</w:t>
            </w:r>
          </w:p>
        </w:tc>
      </w:tr>
      <w:tr>
        <w:trPr>
          <w:cantSplit/>
        </w:trPr>
        <w:tc>
          <w:tcPr>
            <w:tcW w:type="dxa" w:w="794"/>
            <w:vAlign w:val="center"/>
          </w:tcPr>
          <w:p>
            <w:pPr>
              <w:spacing w:after="0"/>
              <w:jc w:val="center"/>
            </w:pPr>
            <w:r>
              <w:rPr>
                <w:rFonts w:ascii="游ゴシック" w:hAnsi="游ゴシック" w:eastAsia="游ゴシック"/>
                <w:b w:val="0"/>
                <w:sz w:val="18"/>
              </w:rPr>
              <w:t>No.42</w:t>
            </w:r>
          </w:p>
        </w:tc>
        <w:tc>
          <w:tcPr>
            <w:tcW w:type="dxa" w:w="2948"/>
            <w:vAlign w:val="center"/>
          </w:tcPr>
          <w:p>
            <w:pPr>
              <w:spacing w:after="0"/>
            </w:pPr>
            <w:r>
              <w:rPr>
                <w:rFonts w:ascii="游ゴシック" w:hAnsi="游ゴシック" w:eastAsia="游ゴシック"/>
                <w:b w:val="0"/>
                <w:sz w:val="18"/>
              </w:rPr>
              <w:t>キックオフ会議資料への工程表の反映</w:t>
            </w:r>
          </w:p>
        </w:tc>
        <w:tc>
          <w:tcPr>
            <w:tcW w:type="dxa" w:w="4876"/>
            <w:vAlign w:val="center"/>
          </w:tcPr>
          <w:p>
            <w:pPr>
              <w:spacing w:after="0"/>
            </w:pPr>
            <w:r>
              <w:rPr>
                <w:rFonts w:ascii="游ゴシック" w:hAnsi="游ゴシック" w:eastAsia="游ゴシック"/>
                <w:b w:val="0"/>
                <w:sz w:val="18"/>
              </w:rPr>
              <w:t>現行の工程表のまま進める</w:t>
            </w:r>
          </w:p>
        </w:tc>
        <w:tc>
          <w:tcPr>
            <w:tcW w:type="dxa" w:w="1134"/>
            <w:vAlign w:val="center"/>
          </w:tcPr>
          <w:p>
            <w:pPr>
              <w:spacing w:after="0"/>
              <w:jc w:val="center"/>
            </w:pPr>
            <w:r>
              <w:rPr>
                <w:rFonts w:ascii="游ゴシック" w:hAnsi="游ゴシック" w:eastAsia="游ゴシック"/>
                <w:b w:val="0"/>
                <w:sz w:val="18"/>
              </w:rPr>
              <w:t>R8.8</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No.11</w:t>
            </w:r>
          </w:p>
        </w:tc>
        <w:tc>
          <w:tcPr>
            <w:tcW w:type="dxa" w:w="2948"/>
            <w:shd w:val="clear" w:color="auto" w:fill="F2F5FA"/>
            <w:vAlign w:val="center"/>
          </w:tcPr>
          <w:p>
            <w:pPr>
              <w:spacing w:after="0"/>
            </w:pPr>
            <w:r>
              <w:rPr>
                <w:rFonts w:ascii="游ゴシック" w:hAnsi="游ゴシック" w:eastAsia="游ゴシック"/>
                <w:b w:val="0"/>
                <w:sz w:val="18"/>
              </w:rPr>
              <w:t>町別の人口・世帯データ</w:t>
            </w:r>
          </w:p>
        </w:tc>
        <w:tc>
          <w:tcPr>
            <w:tcW w:type="dxa" w:w="4876"/>
            <w:shd w:val="clear" w:color="auto" w:fill="F2F5FA"/>
            <w:vAlign w:val="center"/>
          </w:tcPr>
          <w:p>
            <w:pPr>
              <w:spacing w:after="0"/>
            </w:pPr>
            <w:r>
              <w:rPr>
                <w:rFonts w:ascii="游ゴシック" w:hAnsi="游ゴシック" w:eastAsia="游ゴシック"/>
                <w:b w:val="0"/>
                <w:sz w:val="18"/>
              </w:rPr>
              <w:t>住民基本台帳（各年1月1日現在）の町別人口により本文を確定する</w:t>
            </w:r>
          </w:p>
        </w:tc>
        <w:tc>
          <w:tcPr>
            <w:tcW w:type="dxa" w:w="1134"/>
            <w:shd w:val="clear" w:color="auto" w:fill="F2F5FA"/>
            <w:vAlign w:val="center"/>
          </w:tcPr>
          <w:p>
            <w:pPr>
              <w:spacing w:after="0"/>
              <w:jc w:val="center"/>
            </w:pPr>
            <w:r>
              <w:rPr>
                <w:rFonts w:ascii="游ゴシック" w:hAnsi="游ゴシック" w:eastAsia="游ゴシック"/>
                <w:b w:val="0"/>
                <w:sz w:val="18"/>
              </w:rPr>
              <w:t>R8.9</w:t>
            </w:r>
          </w:p>
        </w:tc>
      </w:tr>
      <w:tr>
        <w:trPr>
          <w:cantSplit/>
        </w:trPr>
        <w:tc>
          <w:tcPr>
            <w:tcW w:type="dxa" w:w="794"/>
            <w:vAlign w:val="center"/>
          </w:tcPr>
          <w:p>
            <w:pPr>
              <w:spacing w:after="0"/>
              <w:jc w:val="center"/>
            </w:pPr>
            <w:r>
              <w:rPr>
                <w:rFonts w:ascii="游ゴシック" w:hAnsi="游ゴシック" w:eastAsia="游ゴシック"/>
                <w:b w:val="0"/>
                <w:sz w:val="18"/>
              </w:rPr>
              <w:t>No.12</w:t>
            </w:r>
          </w:p>
        </w:tc>
        <w:tc>
          <w:tcPr>
            <w:tcW w:type="dxa" w:w="2948"/>
            <w:vAlign w:val="center"/>
          </w:tcPr>
          <w:p>
            <w:pPr>
              <w:spacing w:after="0"/>
            </w:pPr>
            <w:r>
              <w:rPr>
                <w:rFonts w:ascii="游ゴシック" w:hAnsi="游ゴシック" w:eastAsia="游ゴシック"/>
                <w:b w:val="0"/>
                <w:sz w:val="18"/>
              </w:rPr>
              <w:t>日常生活圏域別のデータ</w:t>
            </w:r>
          </w:p>
        </w:tc>
        <w:tc>
          <w:tcPr>
            <w:tcW w:type="dxa" w:w="4876"/>
            <w:vAlign w:val="center"/>
          </w:tcPr>
          <w:p>
            <w:pPr>
              <w:spacing w:after="0"/>
            </w:pPr>
            <w:r>
              <w:rPr>
                <w:rFonts w:ascii="游ゴシック" w:hAnsi="游ゴシック" w:eastAsia="游ゴシック"/>
                <w:b w:val="0"/>
                <w:sz w:val="18"/>
              </w:rPr>
              <w:t>日常生活圏域を3町（3圏域）とする案のまま概算する</w:t>
            </w:r>
          </w:p>
        </w:tc>
        <w:tc>
          <w:tcPr>
            <w:tcW w:type="dxa" w:w="1134"/>
            <w:vAlign w:val="center"/>
          </w:tcPr>
          <w:p>
            <w:pPr>
              <w:spacing w:after="0"/>
              <w:jc w:val="center"/>
            </w:pPr>
            <w:r>
              <w:rPr>
                <w:rFonts w:ascii="游ゴシック" w:hAnsi="游ゴシック" w:eastAsia="游ゴシック"/>
                <w:b w:val="0"/>
                <w:sz w:val="18"/>
              </w:rPr>
              <w:t>R8.9</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No.40</w:t>
            </w:r>
          </w:p>
        </w:tc>
        <w:tc>
          <w:tcPr>
            <w:tcW w:type="dxa" w:w="2948"/>
            <w:shd w:val="clear" w:color="auto" w:fill="F2F5FA"/>
            <w:vAlign w:val="center"/>
          </w:tcPr>
          <w:p>
            <w:pPr>
              <w:spacing w:after="0"/>
            </w:pPr>
            <w:r>
              <w:rPr>
                <w:rFonts w:ascii="游ゴシック" w:hAnsi="游ゴシック" w:eastAsia="游ゴシック"/>
                <w:b w:val="0"/>
                <w:sz w:val="18"/>
              </w:rPr>
              <w:t>社会資源一覧の従業員数の重複計上の扱い</w:t>
            </w:r>
          </w:p>
        </w:tc>
        <w:tc>
          <w:tcPr>
            <w:tcW w:type="dxa" w:w="4876"/>
            <w:shd w:val="clear" w:color="auto" w:fill="F2F5FA"/>
            <w:vAlign w:val="center"/>
          </w:tcPr>
          <w:p>
            <w:pPr>
              <w:spacing w:after="0"/>
            </w:pPr>
            <w:r>
              <w:rPr>
                <w:rFonts w:ascii="游ゴシック" w:hAnsi="游ゴシック" w:eastAsia="游ゴシック"/>
                <w:b w:val="0"/>
                <w:sz w:val="18"/>
              </w:rPr>
              <w:t>社会資源一覧の従業員数は施設単位の実人数を用い、延べの値は用いない（同一の施設が複数のサービスで登録されている分を除く）。介護人材実態調査の採用者数・離職者数も同一法人の重複計上分を除いた採用83人・離職65人を用いる</w:t>
            </w:r>
          </w:p>
        </w:tc>
        <w:tc>
          <w:tcPr>
            <w:tcW w:type="dxa" w:w="1134"/>
            <w:shd w:val="clear" w:color="auto" w:fill="F2F5FA"/>
            <w:vAlign w:val="center"/>
          </w:tcPr>
          <w:p>
            <w:pPr>
              <w:spacing w:after="0"/>
              <w:jc w:val="center"/>
            </w:pPr>
            <w:r>
              <w:rPr>
                <w:rFonts w:ascii="游ゴシック" w:hAnsi="游ゴシック" w:eastAsia="游ゴシック"/>
                <w:b w:val="0"/>
                <w:sz w:val="18"/>
              </w:rPr>
              <w:t>R8.9</w:t>
            </w:r>
          </w:p>
        </w:tc>
      </w:tr>
      <w:tr>
        <w:trPr>
          <w:cantSplit/>
        </w:trPr>
        <w:tc>
          <w:tcPr>
            <w:tcW w:type="dxa" w:w="794"/>
            <w:vAlign w:val="center"/>
          </w:tcPr>
          <w:p>
            <w:pPr>
              <w:spacing w:after="0"/>
              <w:jc w:val="center"/>
            </w:pPr>
            <w:r>
              <w:rPr>
                <w:rFonts w:ascii="游ゴシック" w:hAnsi="游ゴシック" w:eastAsia="游ゴシック"/>
                <w:b w:val="0"/>
                <w:sz w:val="18"/>
              </w:rPr>
              <w:t>No.73</w:t>
            </w:r>
          </w:p>
        </w:tc>
        <w:tc>
          <w:tcPr>
            <w:tcW w:type="dxa" w:w="2948"/>
            <w:vAlign w:val="center"/>
          </w:tcPr>
          <w:p>
            <w:pPr>
              <w:spacing w:after="0"/>
            </w:pPr>
            <w:r>
              <w:rPr>
                <w:rFonts w:ascii="游ゴシック" w:hAnsi="游ゴシック" w:eastAsia="游ゴシック"/>
                <w:b w:val="0"/>
                <w:sz w:val="18"/>
              </w:rPr>
              <w:t>ケアプラン点検実施要領（案）の確定に要する事項</w:t>
            </w:r>
          </w:p>
        </w:tc>
        <w:tc>
          <w:tcPr>
            <w:tcW w:type="dxa" w:w="4876"/>
            <w:vAlign w:val="center"/>
          </w:tcPr>
          <w:p>
            <w:pPr>
              <w:spacing w:after="0"/>
            </w:pPr>
            <w:r>
              <w:rPr>
                <w:rFonts w:ascii="游ゴシック" w:hAnsi="游ゴシック" w:eastAsia="游ゴシック"/>
                <w:b w:val="0"/>
                <w:sz w:val="18"/>
              </w:rPr>
              <w:t>ケアプラン点検実施要領（案）は協議資料にとどめ素案に入れない</w:t>
            </w:r>
          </w:p>
        </w:tc>
        <w:tc>
          <w:tcPr>
            <w:tcW w:type="dxa" w:w="1134"/>
            <w:vAlign w:val="center"/>
          </w:tcPr>
          <w:p>
            <w:pPr>
              <w:spacing w:after="0"/>
              <w:jc w:val="center"/>
            </w:pPr>
            <w:r>
              <w:rPr>
                <w:rFonts w:ascii="游ゴシック" w:hAnsi="游ゴシック" w:eastAsia="游ゴシック"/>
                <w:b w:val="0"/>
                <w:sz w:val="18"/>
              </w:rPr>
              <w:t>R8.9</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No.83</w:t>
            </w:r>
          </w:p>
        </w:tc>
        <w:tc>
          <w:tcPr>
            <w:tcW w:type="dxa" w:w="2948"/>
            <w:shd w:val="clear" w:color="auto" w:fill="F2F5FA"/>
            <w:vAlign w:val="center"/>
          </w:tcPr>
          <w:p>
            <w:pPr>
              <w:spacing w:after="0"/>
            </w:pPr>
            <w:r>
              <w:rPr>
                <w:rFonts w:ascii="游ゴシック" w:hAnsi="游ゴシック" w:eastAsia="游ゴシック"/>
                <w:b w:val="0"/>
                <w:sz w:val="18"/>
              </w:rPr>
              <w:t>構成町との意見交換会の実施方法と町別データシート</w:t>
            </w:r>
          </w:p>
        </w:tc>
        <w:tc>
          <w:tcPr>
            <w:tcW w:type="dxa" w:w="4876"/>
            <w:shd w:val="clear" w:color="auto" w:fill="F2F5FA"/>
            <w:vAlign w:val="center"/>
          </w:tcPr>
          <w:p>
            <w:pPr>
              <w:spacing w:after="0"/>
            </w:pPr>
            <w:r>
              <w:rPr>
                <w:rFonts w:ascii="游ゴシック" w:hAnsi="游ゴシック" w:eastAsia="游ゴシック"/>
                <w:b w:val="0"/>
                <w:sz w:val="18"/>
              </w:rPr>
              <w:t>3町合同の意見交換会（10月上旬）と町ごとの個別協議（10月中旬〜下旬）の2段構えで進める</w:t>
            </w:r>
          </w:p>
        </w:tc>
        <w:tc>
          <w:tcPr>
            <w:tcW w:type="dxa" w:w="1134"/>
            <w:shd w:val="clear" w:color="auto" w:fill="F2F5FA"/>
            <w:vAlign w:val="center"/>
          </w:tcPr>
          <w:p>
            <w:pPr>
              <w:spacing w:after="0"/>
              <w:jc w:val="center"/>
            </w:pPr>
            <w:r>
              <w:rPr>
                <w:rFonts w:ascii="游ゴシック" w:hAnsi="游ゴシック" w:eastAsia="游ゴシック"/>
                <w:b w:val="0"/>
                <w:sz w:val="18"/>
              </w:rPr>
              <w:t>R8.9</w:t>
            </w:r>
          </w:p>
        </w:tc>
      </w:tr>
      <w:tr>
        <w:trPr>
          <w:cantSplit/>
        </w:trPr>
        <w:tc>
          <w:tcPr>
            <w:tcW w:type="dxa" w:w="794"/>
            <w:vAlign w:val="center"/>
          </w:tcPr>
          <w:p>
            <w:pPr>
              <w:spacing w:after="0"/>
              <w:jc w:val="center"/>
            </w:pPr>
            <w:r>
              <w:rPr>
                <w:rFonts w:ascii="游ゴシック" w:hAnsi="游ゴシック" w:eastAsia="游ゴシック"/>
                <w:b w:val="0"/>
                <w:sz w:val="18"/>
              </w:rPr>
              <w:t>No.85</w:t>
            </w:r>
          </w:p>
        </w:tc>
        <w:tc>
          <w:tcPr>
            <w:tcW w:type="dxa" w:w="2948"/>
            <w:vAlign w:val="center"/>
          </w:tcPr>
          <w:p>
            <w:pPr>
              <w:spacing w:after="0"/>
            </w:pPr>
            <w:r>
              <w:rPr>
                <w:rFonts w:ascii="游ゴシック" w:hAnsi="游ゴシック" w:eastAsia="游ゴシック"/>
                <w:b w:val="0"/>
                <w:sz w:val="18"/>
              </w:rPr>
              <w:t>町別データシートの内容と配付</w:t>
            </w:r>
          </w:p>
        </w:tc>
        <w:tc>
          <w:tcPr>
            <w:tcW w:type="dxa" w:w="4876"/>
            <w:vAlign w:val="center"/>
          </w:tcPr>
          <w:p>
            <w:pPr>
              <w:spacing w:after="0"/>
            </w:pPr>
            <w:r>
              <w:rPr>
                <w:rFonts w:ascii="游ゴシック" w:hAnsi="游ゴシック" w:eastAsia="游ゴシック"/>
                <w:b w:val="0"/>
                <w:sz w:val="18"/>
              </w:rPr>
              <w:t>町別データシートは現行の内容のまま配付する</w:t>
            </w:r>
          </w:p>
        </w:tc>
        <w:tc>
          <w:tcPr>
            <w:tcW w:type="dxa" w:w="1134"/>
            <w:vAlign w:val="center"/>
          </w:tcPr>
          <w:p>
            <w:pPr>
              <w:spacing w:after="0"/>
              <w:jc w:val="center"/>
            </w:pPr>
            <w:r>
              <w:rPr>
                <w:rFonts w:ascii="游ゴシック" w:hAnsi="游ゴシック" w:eastAsia="游ゴシック"/>
                <w:b w:val="0"/>
                <w:sz w:val="18"/>
              </w:rPr>
              <w:t>R8.9</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No.88</w:t>
            </w:r>
          </w:p>
        </w:tc>
        <w:tc>
          <w:tcPr>
            <w:tcW w:type="dxa" w:w="2948"/>
            <w:shd w:val="clear" w:color="auto" w:fill="F2F5FA"/>
            <w:vAlign w:val="center"/>
          </w:tcPr>
          <w:p>
            <w:pPr>
              <w:spacing w:after="0"/>
            </w:pPr>
            <w:r>
              <w:rPr>
                <w:rFonts w:ascii="游ゴシック" w:hAnsi="游ゴシック" w:eastAsia="游ゴシック"/>
                <w:b w:val="0"/>
                <w:sz w:val="18"/>
              </w:rPr>
              <w:t>日常生活圏域ごとの必要利用定員総数（法定記載事項）</w:t>
            </w:r>
          </w:p>
        </w:tc>
        <w:tc>
          <w:tcPr>
            <w:tcW w:type="dxa" w:w="4876"/>
            <w:shd w:val="clear" w:color="auto" w:fill="F2F5FA"/>
            <w:vAlign w:val="center"/>
          </w:tcPr>
          <w:p>
            <w:pPr>
              <w:spacing w:after="0"/>
            </w:pPr>
            <w:r>
              <w:rPr>
                <w:rFonts w:ascii="游ゴシック" w:hAnsi="游ゴシック" w:eastAsia="游ゴシック"/>
                <w:b w:val="0"/>
                <w:sz w:val="18"/>
              </w:rPr>
              <w:t>3町（3圏域）を基盤整備単位とする案のまま概算する。必要利用定員総数は［要協議］のまま残す</w:t>
            </w:r>
          </w:p>
        </w:tc>
        <w:tc>
          <w:tcPr>
            <w:tcW w:type="dxa" w:w="1134"/>
            <w:shd w:val="clear" w:color="auto" w:fill="F2F5FA"/>
            <w:vAlign w:val="center"/>
          </w:tcPr>
          <w:p>
            <w:pPr>
              <w:spacing w:after="0"/>
              <w:jc w:val="center"/>
            </w:pPr>
            <w:r>
              <w:rPr>
                <w:rFonts w:ascii="游ゴシック" w:hAnsi="游ゴシック" w:eastAsia="游ゴシック"/>
                <w:b w:val="0"/>
                <w:sz w:val="18"/>
              </w:rPr>
              <w:t>R8.9</w:t>
            </w:r>
          </w:p>
        </w:tc>
      </w:tr>
      <w:tr>
        <w:trPr>
          <w:cantSplit/>
        </w:trPr>
        <w:tc>
          <w:tcPr>
            <w:tcW w:type="dxa" w:w="794"/>
            <w:vAlign w:val="center"/>
          </w:tcPr>
          <w:p>
            <w:pPr>
              <w:spacing w:after="0"/>
              <w:jc w:val="center"/>
            </w:pPr>
            <w:r>
              <w:rPr>
                <w:rFonts w:ascii="游ゴシック" w:hAnsi="游ゴシック" w:eastAsia="游ゴシック"/>
                <w:b w:val="0"/>
                <w:sz w:val="18"/>
              </w:rPr>
              <w:t>No.96</w:t>
            </w:r>
          </w:p>
        </w:tc>
        <w:tc>
          <w:tcPr>
            <w:tcW w:type="dxa" w:w="2948"/>
            <w:vAlign w:val="center"/>
          </w:tcPr>
          <w:p>
            <w:pPr>
              <w:spacing w:after="0"/>
            </w:pPr>
            <w:r>
              <w:rPr>
                <w:rFonts w:ascii="游ゴシック" w:hAnsi="游ゴシック" w:eastAsia="游ゴシック"/>
                <w:b w:val="0"/>
                <w:sz w:val="18"/>
              </w:rPr>
              <w:t>認知症対応型共同生活介護の共同生活住居数と、くるみの郷の定員</w:t>
            </w:r>
          </w:p>
        </w:tc>
        <w:tc>
          <w:tcPr>
            <w:tcW w:type="dxa" w:w="4876"/>
            <w:vAlign w:val="center"/>
          </w:tcPr>
          <w:p>
            <w:pPr>
              <w:spacing w:after="0"/>
            </w:pPr>
            <w:r>
              <w:rPr>
                <w:rFonts w:ascii="游ゴシック" w:hAnsi="游ゴシック" w:eastAsia="游ゴシック"/>
                <w:b w:val="0"/>
                <w:sz w:val="18"/>
              </w:rPr>
              <w:t>認知症対応型共同生活介護の定員は99人＋［要確認］のまま掲げる</w:t>
            </w:r>
          </w:p>
        </w:tc>
        <w:tc>
          <w:tcPr>
            <w:tcW w:type="dxa" w:w="1134"/>
            <w:vAlign w:val="center"/>
          </w:tcPr>
          <w:p>
            <w:pPr>
              <w:spacing w:after="0"/>
              <w:jc w:val="center"/>
            </w:pPr>
            <w:r>
              <w:rPr>
                <w:rFonts w:ascii="游ゴシック" w:hAnsi="游ゴシック" w:eastAsia="游ゴシック"/>
                <w:b w:val="0"/>
                <w:sz w:val="18"/>
              </w:rPr>
              <w:t>R8.9</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No.107</w:t>
            </w:r>
          </w:p>
        </w:tc>
        <w:tc>
          <w:tcPr>
            <w:tcW w:type="dxa" w:w="2948"/>
            <w:shd w:val="clear" w:color="auto" w:fill="F2F5FA"/>
            <w:vAlign w:val="center"/>
          </w:tcPr>
          <w:p>
            <w:pPr>
              <w:spacing w:after="0"/>
            </w:pPr>
            <w:r>
              <w:rPr>
                <w:rFonts w:ascii="游ゴシック" w:hAnsi="游ゴシック" w:eastAsia="游ゴシック"/>
                <w:b w:val="0"/>
                <w:sz w:val="18"/>
              </w:rPr>
              <w:t>施設・居住系の実績の減少を将来へ延長するか</w:t>
            </w:r>
          </w:p>
        </w:tc>
        <w:tc>
          <w:tcPr>
            <w:tcW w:type="dxa" w:w="4876"/>
            <w:shd w:val="clear" w:color="auto" w:fill="F2F5FA"/>
            <w:vAlign w:val="center"/>
          </w:tcPr>
          <w:p>
            <w:pPr>
              <w:spacing w:after="0"/>
            </w:pPr>
            <w:r>
              <w:rPr>
                <w:rFonts w:ascii="游ゴシック" w:hAnsi="游ゴシック" w:eastAsia="游ゴシック"/>
                <w:b w:val="0"/>
                <w:sz w:val="18"/>
              </w:rPr>
              <w:t>施設・居住系の実績の減少を将来へ延長しないまま概算する</w:t>
            </w:r>
          </w:p>
        </w:tc>
        <w:tc>
          <w:tcPr>
            <w:tcW w:type="dxa" w:w="1134"/>
            <w:shd w:val="clear" w:color="auto" w:fill="F2F5FA"/>
            <w:vAlign w:val="center"/>
          </w:tcPr>
          <w:p>
            <w:pPr>
              <w:spacing w:after="0"/>
              <w:jc w:val="center"/>
            </w:pPr>
            <w:r>
              <w:rPr>
                <w:rFonts w:ascii="游ゴシック" w:hAnsi="游ゴシック" w:eastAsia="游ゴシック"/>
                <w:b w:val="0"/>
                <w:sz w:val="18"/>
              </w:rPr>
              <w:t>R8.9</w:t>
            </w:r>
          </w:p>
        </w:tc>
      </w:tr>
      <w:tr>
        <w:trPr>
          <w:cantSplit/>
        </w:trPr>
        <w:tc>
          <w:tcPr>
            <w:tcW w:type="dxa" w:w="794"/>
            <w:vAlign w:val="center"/>
          </w:tcPr>
          <w:p>
            <w:pPr>
              <w:spacing w:after="0"/>
              <w:jc w:val="center"/>
            </w:pPr>
            <w:r>
              <w:rPr>
                <w:rFonts w:ascii="游ゴシック" w:hAnsi="游ゴシック" w:eastAsia="游ゴシック"/>
                <w:b w:val="0"/>
                <w:sz w:val="18"/>
              </w:rPr>
              <w:t>No.130</w:t>
            </w:r>
          </w:p>
        </w:tc>
        <w:tc>
          <w:tcPr>
            <w:tcW w:type="dxa" w:w="2948"/>
            <w:vAlign w:val="center"/>
          </w:tcPr>
          <w:p>
            <w:pPr>
              <w:spacing w:after="0"/>
            </w:pPr>
            <w:r>
              <w:rPr>
                <w:rFonts w:ascii="游ゴシック" w:hAnsi="游ゴシック" w:eastAsia="游ゴシック"/>
                <w:b w:val="0"/>
                <w:sz w:val="18"/>
              </w:rPr>
              <w:t>認知症基本法第13条の市町村認知症施策推進計画をどう扱うか</w:t>
            </w:r>
          </w:p>
        </w:tc>
        <w:tc>
          <w:tcPr>
            <w:tcW w:type="dxa" w:w="4876"/>
            <w:vAlign w:val="center"/>
          </w:tcPr>
          <w:p>
            <w:pPr>
              <w:spacing w:after="0"/>
            </w:pPr>
            <w:r>
              <w:rPr>
                <w:rFonts w:ascii="游ゴシック" w:hAnsi="游ゴシック" w:eastAsia="游ゴシック"/>
                <w:b w:val="0"/>
                <w:sz w:val="18"/>
              </w:rPr>
              <w:t>案B（3町がそれぞれ市町村計画を策定する）のまま素案に反映する</w:t>
            </w:r>
          </w:p>
        </w:tc>
        <w:tc>
          <w:tcPr>
            <w:tcW w:type="dxa" w:w="1134"/>
            <w:vAlign w:val="center"/>
          </w:tcPr>
          <w:p>
            <w:pPr>
              <w:spacing w:after="0"/>
              <w:jc w:val="center"/>
            </w:pPr>
            <w:r>
              <w:rPr>
                <w:rFonts w:ascii="游ゴシック" w:hAnsi="游ゴシック" w:eastAsia="游ゴシック"/>
                <w:b w:val="0"/>
                <w:sz w:val="18"/>
              </w:rPr>
              <w:t>R8.9</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No.13</w:t>
            </w:r>
          </w:p>
        </w:tc>
        <w:tc>
          <w:tcPr>
            <w:tcW w:type="dxa" w:w="2948"/>
            <w:shd w:val="clear" w:color="auto" w:fill="F2F5FA"/>
            <w:vAlign w:val="center"/>
          </w:tcPr>
          <w:p>
            <w:pPr>
              <w:spacing w:after="0"/>
            </w:pPr>
            <w:r>
              <w:rPr>
                <w:rFonts w:ascii="游ゴシック" w:hAnsi="游ゴシック" w:eastAsia="游ゴシック"/>
                <w:b w:val="0"/>
                <w:sz w:val="18"/>
              </w:rPr>
              <w:t>訪問・通所困難地域の判定資料</w:t>
            </w:r>
          </w:p>
        </w:tc>
        <w:tc>
          <w:tcPr>
            <w:tcW w:type="dxa" w:w="4876"/>
            <w:shd w:val="clear" w:color="auto" w:fill="F2F5FA"/>
            <w:vAlign w:val="center"/>
          </w:tcPr>
          <w:p>
            <w:pPr>
              <w:spacing w:after="0"/>
            </w:pPr>
            <w:r>
              <w:rPr>
                <w:rFonts w:ascii="游ゴシック" w:hAnsi="游ゴシック" w:eastAsia="游ゴシック"/>
                <w:b w:val="0"/>
                <w:sz w:val="18"/>
              </w:rPr>
              <w:t>北海道の指定事業所一覧の「通常の事業の実施地域」により判定する</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794"/>
            <w:vAlign w:val="center"/>
          </w:tcPr>
          <w:p>
            <w:pPr>
              <w:spacing w:after="0"/>
              <w:jc w:val="center"/>
            </w:pPr>
            <w:r>
              <w:rPr>
                <w:rFonts w:ascii="游ゴシック" w:hAnsi="游ゴシック" w:eastAsia="游ゴシック"/>
                <w:b w:val="0"/>
                <w:sz w:val="18"/>
              </w:rPr>
              <w:t>No.17</w:t>
            </w:r>
          </w:p>
        </w:tc>
        <w:tc>
          <w:tcPr>
            <w:tcW w:type="dxa" w:w="2948"/>
            <w:vAlign w:val="center"/>
          </w:tcPr>
          <w:p>
            <w:pPr>
              <w:spacing w:after="0"/>
            </w:pPr>
            <w:r>
              <w:rPr>
                <w:rFonts w:ascii="游ゴシック" w:hAnsi="游ゴシック" w:eastAsia="游ゴシック"/>
                <w:b w:val="0"/>
                <w:sz w:val="18"/>
              </w:rPr>
              <w:t>3町計画への共通指標の掲載</w:t>
            </w:r>
          </w:p>
        </w:tc>
        <w:tc>
          <w:tcPr>
            <w:tcW w:type="dxa" w:w="4876"/>
            <w:vAlign w:val="center"/>
          </w:tcPr>
          <w:p>
            <w:pPr>
              <w:spacing w:after="0"/>
            </w:pPr>
            <w:r>
              <w:rPr>
                <w:rFonts w:ascii="游ゴシック" w:hAnsi="游ゴシック" w:eastAsia="游ゴシック"/>
                <w:b w:val="0"/>
                <w:sz w:val="18"/>
              </w:rPr>
              <w:t>広域連合の代表KPI16項目を掲げ、3町計画への掲載は求めない</w:t>
            </w:r>
          </w:p>
        </w:tc>
        <w:tc>
          <w:tcPr>
            <w:tcW w:type="dxa" w:w="1134"/>
            <w:vAlign w:val="center"/>
          </w:tcPr>
          <w:p>
            <w:pPr>
              <w:spacing w:after="0"/>
              <w:jc w:val="center"/>
            </w:pPr>
            <w:r>
              <w:rPr>
                <w:rFonts w:ascii="游ゴシック" w:hAnsi="游ゴシック" w:eastAsia="游ゴシック"/>
                <w:b w:val="0"/>
                <w:sz w:val="18"/>
              </w:rPr>
              <w:t>R8.10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No.23</w:t>
            </w:r>
          </w:p>
        </w:tc>
        <w:tc>
          <w:tcPr>
            <w:tcW w:type="dxa" w:w="2948"/>
            <w:shd w:val="clear" w:color="auto" w:fill="F2F5FA"/>
            <w:vAlign w:val="center"/>
          </w:tcPr>
          <w:p>
            <w:pPr>
              <w:spacing w:after="0"/>
            </w:pPr>
            <w:r>
              <w:rPr>
                <w:rFonts w:ascii="游ゴシック" w:hAnsi="游ゴシック" w:eastAsia="游ゴシック"/>
                <w:b w:val="0"/>
                <w:sz w:val="18"/>
              </w:rPr>
              <w:t>事業所の定員・稼働率データ</w:t>
            </w:r>
          </w:p>
        </w:tc>
        <w:tc>
          <w:tcPr>
            <w:tcW w:type="dxa" w:w="4876"/>
            <w:shd w:val="clear" w:color="auto" w:fill="F2F5FA"/>
            <w:vAlign w:val="center"/>
          </w:tcPr>
          <w:p>
            <w:pPr>
              <w:spacing w:after="0"/>
            </w:pPr>
            <w:r>
              <w:rPr>
                <w:rFonts w:ascii="游ゴシック" w:hAnsi="游ゴシック" w:eastAsia="游ゴシック"/>
                <w:b w:val="0"/>
                <w:sz w:val="18"/>
              </w:rPr>
              <w:t>北海道の各名簿及び介護サービス情報公表システムの定員による</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794"/>
            <w:vAlign w:val="center"/>
          </w:tcPr>
          <w:p>
            <w:pPr>
              <w:spacing w:after="0"/>
              <w:jc w:val="center"/>
            </w:pPr>
            <w:r>
              <w:rPr>
                <w:rFonts w:ascii="游ゴシック" w:hAnsi="游ゴシック" w:eastAsia="游ゴシック"/>
                <w:b w:val="0"/>
                <w:sz w:val="18"/>
              </w:rPr>
              <w:t>No.26</w:t>
            </w:r>
          </w:p>
        </w:tc>
        <w:tc>
          <w:tcPr>
            <w:tcW w:type="dxa" w:w="2948"/>
            <w:vAlign w:val="center"/>
          </w:tcPr>
          <w:p>
            <w:pPr>
              <w:spacing w:after="0"/>
            </w:pPr>
            <w:r>
              <w:rPr>
                <w:rFonts w:ascii="游ゴシック" w:hAnsi="游ゴシック" w:eastAsia="游ゴシック"/>
                <w:b w:val="0"/>
                <w:sz w:val="18"/>
              </w:rPr>
              <w:t>認知症・医療介護連携の実績データ</w:t>
            </w:r>
          </w:p>
        </w:tc>
        <w:tc>
          <w:tcPr>
            <w:tcW w:type="dxa" w:w="4876"/>
            <w:vAlign w:val="center"/>
          </w:tcPr>
          <w:p>
            <w:pPr>
              <w:spacing w:after="0"/>
            </w:pPr>
            <w:r>
              <w:rPr>
                <w:rFonts w:ascii="游ゴシック" w:hAnsi="游ゴシック" w:eastAsia="游ゴシック"/>
                <w:b w:val="0"/>
                <w:sz w:val="18"/>
              </w:rPr>
              <w:t>現に受領している交付金評価結果と実施報告書の範囲で記述する</w:t>
            </w:r>
          </w:p>
        </w:tc>
        <w:tc>
          <w:tcPr>
            <w:tcW w:type="dxa" w:w="1134"/>
            <w:vAlign w:val="center"/>
          </w:tcPr>
          <w:p>
            <w:pPr>
              <w:spacing w:after="0"/>
              <w:jc w:val="center"/>
            </w:pPr>
            <w:r>
              <w:rPr>
                <w:rFonts w:ascii="游ゴシック" w:hAnsi="游ゴシック" w:eastAsia="游ゴシック"/>
                <w:b w:val="0"/>
                <w:sz w:val="18"/>
              </w:rPr>
              <w:t>R8.10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No.108</w:t>
            </w:r>
          </w:p>
        </w:tc>
        <w:tc>
          <w:tcPr>
            <w:tcW w:type="dxa" w:w="2948"/>
            <w:shd w:val="clear" w:color="auto" w:fill="F2F5FA"/>
            <w:vAlign w:val="center"/>
          </w:tcPr>
          <w:p>
            <w:pPr>
              <w:spacing w:after="0"/>
            </w:pPr>
            <w:r>
              <w:rPr>
                <w:rFonts w:ascii="游ゴシック" w:hAnsi="游ゴシック" w:eastAsia="游ゴシック"/>
                <w:b w:val="0"/>
                <w:sz w:val="18"/>
              </w:rPr>
              <w:t>補正しても外れるサービス6件の理由</w:t>
            </w:r>
          </w:p>
        </w:tc>
        <w:tc>
          <w:tcPr>
            <w:tcW w:type="dxa" w:w="4876"/>
            <w:shd w:val="clear" w:color="auto" w:fill="F2F5FA"/>
            <w:vAlign w:val="center"/>
          </w:tcPr>
          <w:p>
            <w:pPr>
              <w:spacing w:after="0"/>
            </w:pPr>
            <w:r>
              <w:rPr>
                <w:rFonts w:ascii="游ゴシック" w:hAnsi="游ゴシック" w:eastAsia="游ゴシック"/>
                <w:b w:val="0"/>
                <w:sz w:val="18"/>
              </w:rPr>
              <w:t>補正しても外れる6件は趨勢ではなく供給・制度の問題として注記する</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794"/>
            <w:vAlign w:val="center"/>
          </w:tcPr>
          <w:p>
            <w:pPr>
              <w:spacing w:after="0"/>
              <w:jc w:val="center"/>
            </w:pPr>
            <w:r>
              <w:rPr>
                <w:rFonts w:ascii="游ゴシック" w:hAnsi="游ゴシック" w:eastAsia="游ゴシック"/>
                <w:b w:val="0"/>
                <w:sz w:val="18"/>
              </w:rPr>
              <w:t>No.111</w:t>
            </w:r>
          </w:p>
        </w:tc>
        <w:tc>
          <w:tcPr>
            <w:tcW w:type="dxa" w:w="2948"/>
            <w:vAlign w:val="center"/>
          </w:tcPr>
          <w:p>
            <w:pPr>
              <w:spacing w:after="0"/>
            </w:pPr>
            <w:r>
              <w:rPr>
                <w:rFonts w:ascii="游ゴシック" w:hAnsi="游ゴシック" w:eastAsia="游ゴシック"/>
                <w:b w:val="0"/>
                <w:sz w:val="18"/>
              </w:rPr>
              <w:t>過年度の趨勢に現れない要因の扱い（認知症施策・高齢者向け住まいほか）</w:t>
            </w:r>
          </w:p>
        </w:tc>
        <w:tc>
          <w:tcPr>
            <w:tcW w:type="dxa" w:w="4876"/>
            <w:vAlign w:val="center"/>
          </w:tcPr>
          <w:p>
            <w:pPr>
              <w:spacing w:after="0"/>
            </w:pPr>
            <w:r>
              <w:rPr>
                <w:rFonts w:ascii="游ゴシック" w:hAnsi="游ゴシック" w:eastAsia="游ゴシック"/>
                <w:b w:val="0"/>
                <w:sz w:val="18"/>
              </w:rPr>
              <w:t>趨勢に現れない要因は向きのみを注記し、数値には織り込まない</w:t>
            </w:r>
          </w:p>
        </w:tc>
        <w:tc>
          <w:tcPr>
            <w:tcW w:type="dxa" w:w="1134"/>
            <w:vAlign w:val="center"/>
          </w:tcPr>
          <w:p>
            <w:pPr>
              <w:spacing w:after="0"/>
              <w:jc w:val="center"/>
            </w:pPr>
            <w:r>
              <w:rPr>
                <w:rFonts w:ascii="游ゴシック" w:hAnsi="游ゴシック" w:eastAsia="游ゴシック"/>
                <w:b w:val="0"/>
                <w:sz w:val="18"/>
              </w:rPr>
              <w:t>R8.10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No.119</w:t>
            </w:r>
          </w:p>
        </w:tc>
        <w:tc>
          <w:tcPr>
            <w:tcW w:type="dxa" w:w="2948"/>
            <w:shd w:val="clear" w:color="auto" w:fill="F2F5FA"/>
            <w:vAlign w:val="center"/>
          </w:tcPr>
          <w:p>
            <w:pPr>
              <w:spacing w:after="0"/>
            </w:pPr>
            <w:r>
              <w:rPr>
                <w:rFonts w:ascii="游ゴシック" w:hAnsi="游ゴシック" w:eastAsia="游ゴシック"/>
                <w:b w:val="0"/>
                <w:sz w:val="18"/>
              </w:rPr>
              <w:t>地域ケア会議の3町共通の記録様式を整えてよいか</w:t>
            </w:r>
          </w:p>
        </w:tc>
        <w:tc>
          <w:tcPr>
            <w:tcW w:type="dxa" w:w="4876"/>
            <w:shd w:val="clear" w:color="auto" w:fill="F2F5FA"/>
            <w:vAlign w:val="center"/>
          </w:tcPr>
          <w:p>
            <w:pPr>
              <w:spacing w:after="0"/>
            </w:pPr>
            <w:r>
              <w:rPr>
                <w:rFonts w:ascii="游ゴシック" w:hAnsi="游ゴシック" w:eastAsia="游ゴシック"/>
                <w:b w:val="0"/>
                <w:sz w:val="18"/>
              </w:rPr>
              <w:t>地域ケア会議の記録様式は協議資料にとどめ、令和9年度に整える</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794"/>
            <w:vAlign w:val="center"/>
          </w:tcPr>
          <w:p>
            <w:pPr>
              <w:spacing w:after="0"/>
              <w:jc w:val="center"/>
            </w:pPr>
            <w:r>
              <w:rPr>
                <w:rFonts w:ascii="游ゴシック" w:hAnsi="游ゴシック" w:eastAsia="游ゴシック"/>
                <w:b w:val="0"/>
                <w:sz w:val="18"/>
              </w:rPr>
              <w:t>No.120</w:t>
            </w:r>
          </w:p>
        </w:tc>
        <w:tc>
          <w:tcPr>
            <w:tcW w:type="dxa" w:w="2948"/>
            <w:vAlign w:val="center"/>
          </w:tcPr>
          <w:p>
            <w:pPr>
              <w:spacing w:after="0"/>
            </w:pPr>
            <w:r>
              <w:rPr>
                <w:rFonts w:ascii="游ゴシック" w:hAnsi="游ゴシック" w:eastAsia="游ゴシック"/>
                <w:b w:val="0"/>
                <w:sz w:val="18"/>
              </w:rPr>
              <w:t>地域ケア個別会議と地域ケア推進会議を分けて計数するか</w:t>
            </w:r>
          </w:p>
        </w:tc>
        <w:tc>
          <w:tcPr>
            <w:tcW w:type="dxa" w:w="4876"/>
            <w:vAlign w:val="center"/>
          </w:tcPr>
          <w:p>
            <w:pPr>
              <w:spacing w:after="0"/>
            </w:pPr>
            <w:r>
              <w:rPr>
                <w:rFonts w:ascii="游ゴシック" w:hAnsi="游ゴシック" w:eastAsia="游ゴシック"/>
                <w:b w:val="0"/>
                <w:sz w:val="18"/>
              </w:rPr>
              <w:t>地域ケア個別会議と地域ケア推進会議を分けずに計数する</w:t>
            </w:r>
          </w:p>
        </w:tc>
        <w:tc>
          <w:tcPr>
            <w:tcW w:type="dxa" w:w="1134"/>
            <w:vAlign w:val="center"/>
          </w:tcPr>
          <w:p>
            <w:pPr>
              <w:spacing w:after="0"/>
              <w:jc w:val="center"/>
            </w:pPr>
            <w:r>
              <w:rPr>
                <w:rFonts w:ascii="游ゴシック" w:hAnsi="游ゴシック" w:eastAsia="游ゴシック"/>
                <w:b w:val="0"/>
                <w:sz w:val="18"/>
              </w:rPr>
              <w:t>R8.10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No.121</w:t>
            </w:r>
          </w:p>
        </w:tc>
        <w:tc>
          <w:tcPr>
            <w:tcW w:type="dxa" w:w="2948"/>
            <w:shd w:val="clear" w:color="auto" w:fill="F2F5FA"/>
            <w:vAlign w:val="center"/>
          </w:tcPr>
          <w:p>
            <w:pPr>
              <w:spacing w:after="0"/>
            </w:pPr>
            <w:r>
              <w:rPr>
                <w:rFonts w:ascii="游ゴシック" w:hAnsi="游ゴシック" w:eastAsia="游ゴシック"/>
                <w:b w:val="0"/>
                <w:sz w:val="18"/>
              </w:rPr>
              <w:t>3町の地域ケア会議の実績（令和6〜8年度）のご提供</w:t>
            </w:r>
          </w:p>
        </w:tc>
        <w:tc>
          <w:tcPr>
            <w:tcW w:type="dxa" w:w="4876"/>
            <w:shd w:val="clear" w:color="auto" w:fill="F2F5FA"/>
            <w:vAlign w:val="center"/>
          </w:tcPr>
          <w:p>
            <w:pPr>
              <w:spacing w:after="0"/>
            </w:pPr>
            <w:r>
              <w:rPr>
                <w:rFonts w:ascii="游ゴシック" w:hAnsi="游ゴシック" w:eastAsia="游ゴシック"/>
                <w:b w:val="0"/>
                <w:sz w:val="18"/>
              </w:rPr>
              <w:t>令和7年度の実施報告書により把握できる範囲で記述する</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r>
        <w:trPr>
          <w:cantSplit/>
        </w:trPr>
        <w:tc>
          <w:tcPr>
            <w:tcW w:type="dxa" w:w="794"/>
            <w:vAlign w:val="center"/>
          </w:tcPr>
          <w:p>
            <w:pPr>
              <w:spacing w:after="0"/>
              <w:jc w:val="center"/>
            </w:pPr>
            <w:r>
              <w:rPr>
                <w:rFonts w:ascii="游ゴシック" w:hAnsi="游ゴシック" w:eastAsia="游ゴシック"/>
                <w:b w:val="0"/>
                <w:sz w:val="18"/>
              </w:rPr>
              <w:t>No.169</w:t>
            </w:r>
          </w:p>
        </w:tc>
        <w:tc>
          <w:tcPr>
            <w:tcW w:type="dxa" w:w="2948"/>
            <w:vAlign w:val="center"/>
          </w:tcPr>
          <w:p>
            <w:pPr>
              <w:spacing w:after="0"/>
            </w:pPr>
            <w:r>
              <w:rPr>
                <w:rFonts w:ascii="游ゴシック" w:hAnsi="游ゴシック" w:eastAsia="游ゴシック"/>
                <w:b w:val="0"/>
                <w:sz w:val="18"/>
              </w:rPr>
              <w:t>構成町により得点が分かれている項目の区域内での取扱い</w:t>
            </w:r>
          </w:p>
        </w:tc>
        <w:tc>
          <w:tcPr>
            <w:tcW w:type="dxa" w:w="4876"/>
            <w:vAlign w:val="center"/>
          </w:tcPr>
          <w:p>
            <w:pPr>
              <w:spacing w:after="0"/>
            </w:pPr>
            <w:r>
              <w:rPr>
                <w:rFonts w:ascii="游ゴシック" w:hAnsi="游ゴシック" w:eastAsia="游ゴシック"/>
                <w:b w:val="0"/>
                <w:sz w:val="18"/>
              </w:rPr>
              <w:t>町ごとの取組の状況をそのまま記述し、区域内での統一は計画に位置づけない。第10期の施策に位置づけるかどうかは取組の必要性から判断するものであり、得点のみを理由とするものではない</w:t>
            </w:r>
          </w:p>
        </w:tc>
        <w:tc>
          <w:tcPr>
            <w:tcW w:type="dxa" w:w="1134"/>
            <w:vAlign w:val="center"/>
          </w:tcPr>
          <w:p>
            <w:pPr>
              <w:spacing w:after="0"/>
              <w:jc w:val="center"/>
            </w:pPr>
            <w:r>
              <w:rPr>
                <w:rFonts w:ascii="游ゴシック" w:hAnsi="游ゴシック" w:eastAsia="游ゴシック"/>
                <w:b w:val="0"/>
                <w:sz w:val="18"/>
              </w:rPr>
              <w:t>R8.10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No.175</w:t>
            </w:r>
          </w:p>
        </w:tc>
        <w:tc>
          <w:tcPr>
            <w:tcW w:type="dxa" w:w="2948"/>
            <w:shd w:val="clear" w:color="auto" w:fill="F2F5FA"/>
            <w:vAlign w:val="center"/>
          </w:tcPr>
          <w:p>
            <w:pPr>
              <w:spacing w:after="0"/>
            </w:pPr>
            <w:r>
              <w:rPr>
                <w:rFonts w:ascii="游ゴシック" w:hAnsi="游ゴシック" w:eastAsia="游ゴシック"/>
                <w:b w:val="0"/>
                <w:sz w:val="18"/>
              </w:rPr>
              <w:t>介護情報基盤及びケアプランデータ連携への対応の工程</w:t>
            </w:r>
          </w:p>
        </w:tc>
        <w:tc>
          <w:tcPr>
            <w:tcW w:type="dxa" w:w="4876"/>
            <w:shd w:val="clear" w:color="auto" w:fill="F2F5FA"/>
            <w:vAlign w:val="center"/>
          </w:tcPr>
          <w:p>
            <w:pPr>
              <w:spacing w:after="0"/>
            </w:pPr>
            <w:r>
              <w:rPr>
                <w:rFonts w:ascii="游ゴシック" w:hAnsi="游ゴシック" w:eastAsia="游ゴシック"/>
                <w:b w:val="0"/>
                <w:sz w:val="18"/>
              </w:rPr>
              <w:t>国が示す本格運用開始日（令和10年4月1日）までに完了することを前提として計画素案に記載し、年度ごとの工程は［要確認］として残す。事業所への周知は広域連合と3町が共同で行うものとして記載する</w:t>
            </w:r>
          </w:p>
        </w:tc>
        <w:tc>
          <w:tcPr>
            <w:tcW w:type="dxa" w:w="1134"/>
            <w:shd w:val="clear" w:color="auto" w:fill="F2F5FA"/>
            <w:vAlign w:val="center"/>
          </w:tcPr>
          <w:p>
            <w:pPr>
              <w:spacing w:after="0"/>
              <w:jc w:val="center"/>
            </w:pPr>
            <w:r>
              <w:rPr>
                <w:rFonts w:ascii="游ゴシック" w:hAnsi="游ゴシック" w:eastAsia="游ゴシック"/>
                <w:b w:val="0"/>
                <w:sz w:val="18"/>
              </w:rPr>
              <w:t>R8.11</w:t>
            </w:r>
          </w:p>
        </w:tc>
      </w:tr>
      <w:tr>
        <w:trPr>
          <w:cantSplit/>
        </w:trPr>
        <w:tc>
          <w:tcPr>
            <w:tcW w:type="dxa" w:w="794"/>
            <w:vAlign w:val="center"/>
          </w:tcPr>
          <w:p>
            <w:pPr>
              <w:spacing w:after="0"/>
              <w:jc w:val="center"/>
            </w:pPr>
            <w:r>
              <w:rPr>
                <w:rFonts w:ascii="游ゴシック" w:hAnsi="游ゴシック" w:eastAsia="游ゴシック"/>
                <w:b w:val="0"/>
                <w:sz w:val="18"/>
              </w:rPr>
              <w:t>No.178</w:t>
            </w:r>
          </w:p>
        </w:tc>
        <w:tc>
          <w:tcPr>
            <w:tcW w:type="dxa" w:w="2948"/>
            <w:vAlign w:val="center"/>
          </w:tcPr>
          <w:p>
            <w:pPr>
              <w:spacing w:after="0"/>
            </w:pPr>
            <w:r>
              <w:rPr>
                <w:rFonts w:ascii="游ゴシック" w:hAnsi="游ゴシック" w:eastAsia="游ゴシック"/>
                <w:b w:val="0"/>
                <w:sz w:val="18"/>
              </w:rPr>
              <w:t>構成3町の高齢者福祉計画と市町村老人福祉計画の関係</w:t>
            </w:r>
          </w:p>
        </w:tc>
        <w:tc>
          <w:tcPr>
            <w:tcW w:type="dxa" w:w="4876"/>
            <w:vAlign w:val="center"/>
          </w:tcPr>
          <w:p>
            <w:pPr>
              <w:spacing w:after="0"/>
            </w:pPr>
            <w:r>
              <w:rPr>
                <w:rFonts w:ascii="游ゴシック" w:hAnsi="游ゴシック" w:eastAsia="游ゴシック"/>
                <w:b w:val="0"/>
                <w:sz w:val="18"/>
              </w:rPr>
              <w:t>構成3町の高齢者福祉計画が市町村老人福祉計画に当たることを計画素案に記載し、一体のものとして作成する方法は共通KPIと役割分担表による接続とする旨を［要協議］として残す。老人福祉事業の量の目標は3町の計画に委ね、本計画には掲げない</w:t>
            </w:r>
          </w:p>
        </w:tc>
        <w:tc>
          <w:tcPr>
            <w:tcW w:type="dxa" w:w="1134"/>
            <w:vAlign w:val="center"/>
          </w:tcPr>
          <w:p>
            <w:pPr>
              <w:spacing w:after="0"/>
              <w:jc w:val="center"/>
            </w:pPr>
            <w:r>
              <w:rPr>
                <w:rFonts w:ascii="游ゴシック" w:hAnsi="游ゴシック" w:eastAsia="游ゴシック"/>
                <w:b w:val="0"/>
                <w:sz w:val="18"/>
              </w:rPr>
              <w:t>R8.11</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No.179</w:t>
            </w:r>
          </w:p>
        </w:tc>
        <w:tc>
          <w:tcPr>
            <w:tcW w:type="dxa" w:w="2948"/>
            <w:shd w:val="clear" w:color="auto" w:fill="F2F5FA"/>
            <w:vAlign w:val="center"/>
          </w:tcPr>
          <w:p>
            <w:pPr>
              <w:spacing w:after="0"/>
            </w:pPr>
            <w:r>
              <w:rPr>
                <w:rFonts w:ascii="游ゴシック" w:hAnsi="游ゴシック" w:eastAsia="游ゴシック"/>
                <w:b w:val="0"/>
                <w:sz w:val="18"/>
              </w:rPr>
              <w:t>成年後見制度の利用の促進に関する施策についての基本的な計画の策定状況</w:t>
            </w:r>
          </w:p>
        </w:tc>
        <w:tc>
          <w:tcPr>
            <w:tcW w:type="dxa" w:w="4876"/>
            <w:shd w:val="clear" w:color="auto" w:fill="F2F5FA"/>
            <w:vAlign w:val="center"/>
          </w:tcPr>
          <w:p>
            <w:pPr>
              <w:spacing w:after="0"/>
            </w:pPr>
            <w:r>
              <w:rPr>
                <w:rFonts w:ascii="游ゴシック" w:hAnsi="游ゴシック" w:eastAsia="游ゴシック"/>
                <w:b w:val="0"/>
                <w:sz w:val="18"/>
              </w:rPr>
              <w:t>同計画は構成3町が定めるものとして計画素案に記載し、本計画は介護保険法第117条第3項による権利擁護の施策（第5章 基本目標1）をもって接続する。中核機関の整備の状況は［要確認］として残す</w:t>
            </w:r>
          </w:p>
        </w:tc>
        <w:tc>
          <w:tcPr>
            <w:tcW w:type="dxa" w:w="1134"/>
            <w:shd w:val="clear" w:color="auto" w:fill="F2F5FA"/>
            <w:vAlign w:val="center"/>
          </w:tcPr>
          <w:p>
            <w:pPr>
              <w:spacing w:after="0"/>
              <w:jc w:val="center"/>
            </w:pPr>
            <w:r>
              <w:rPr>
                <w:rFonts w:ascii="游ゴシック" w:hAnsi="游ゴシック" w:eastAsia="游ゴシック"/>
                <w:b w:val="0"/>
                <w:sz w:val="18"/>
              </w:rPr>
              <w:t>R8.11</w:t>
            </w:r>
          </w:p>
        </w:tc>
      </w:tr>
      <w:tr>
        <w:trPr>
          <w:cantSplit/>
        </w:trPr>
        <w:tc>
          <w:tcPr>
            <w:tcW w:type="dxa" w:w="794"/>
            <w:vAlign w:val="center"/>
          </w:tcPr>
          <w:p>
            <w:pPr>
              <w:spacing w:after="0"/>
              <w:jc w:val="center"/>
            </w:pPr>
            <w:r>
              <w:rPr>
                <w:rFonts w:ascii="游ゴシック" w:hAnsi="游ゴシック" w:eastAsia="游ゴシック"/>
                <w:b w:val="0"/>
                <w:sz w:val="18"/>
              </w:rPr>
              <w:t>No.180</w:t>
            </w:r>
          </w:p>
        </w:tc>
        <w:tc>
          <w:tcPr>
            <w:tcW w:type="dxa" w:w="2948"/>
            <w:vAlign w:val="center"/>
          </w:tcPr>
          <w:p>
            <w:pPr>
              <w:spacing w:after="0"/>
            </w:pPr>
            <w:r>
              <w:rPr>
                <w:rFonts w:ascii="游ゴシック" w:hAnsi="游ゴシック" w:eastAsia="游ゴシック"/>
                <w:b w:val="0"/>
                <w:sz w:val="18"/>
              </w:rPr>
              <w:t>要配慮者利用施設の避難確保計画の対象施設と作成状況</w:t>
            </w:r>
          </w:p>
        </w:tc>
        <w:tc>
          <w:tcPr>
            <w:tcW w:type="dxa" w:w="4876"/>
            <w:vAlign w:val="center"/>
          </w:tcPr>
          <w:p>
            <w:pPr>
              <w:spacing w:after="0"/>
            </w:pPr>
            <w:r>
              <w:rPr>
                <w:rFonts w:ascii="游ゴシック" w:hAnsi="游ゴシック" w:eastAsia="游ゴシック"/>
                <w:b w:val="0"/>
                <w:sz w:val="18"/>
              </w:rPr>
              <w:t>対象施設及び作成の状況を［要確認］として残し、第5章 基本目標5の主な事業に作成及び避難訓練の確認を置くにとどめ、達成目標に数値を掲げない。避難確保計画はBCPとは別の計画であり、BCPの策定率をもって作成の状況としない</w:t>
            </w:r>
          </w:p>
        </w:tc>
        <w:tc>
          <w:tcPr>
            <w:tcW w:type="dxa" w:w="1134"/>
            <w:vAlign w:val="center"/>
          </w:tcPr>
          <w:p>
            <w:pPr>
              <w:spacing w:after="0"/>
              <w:jc w:val="center"/>
            </w:pPr>
            <w:r>
              <w:rPr>
                <w:rFonts w:ascii="游ゴシック" w:hAnsi="游ゴシック" w:eastAsia="游ゴシック"/>
                <w:b w:val="0"/>
                <w:sz w:val="18"/>
              </w:rPr>
              <w:t>R8.11</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No.184</w:t>
            </w:r>
          </w:p>
        </w:tc>
        <w:tc>
          <w:tcPr>
            <w:tcW w:type="dxa" w:w="2948"/>
            <w:shd w:val="clear" w:color="auto" w:fill="F2F5FA"/>
            <w:vAlign w:val="center"/>
          </w:tcPr>
          <w:p>
            <w:pPr>
              <w:spacing w:after="0"/>
            </w:pPr>
            <w:r>
              <w:rPr>
                <w:rFonts w:ascii="游ゴシック" w:hAnsi="游ゴシック" w:eastAsia="游ゴシック"/>
                <w:b w:val="0"/>
                <w:sz w:val="18"/>
              </w:rPr>
              <w:t>短期入所生活介護の季節利用及び長期利用の実態</w:t>
            </w:r>
          </w:p>
        </w:tc>
        <w:tc>
          <w:tcPr>
            <w:tcW w:type="dxa" w:w="4876"/>
            <w:shd w:val="clear" w:color="auto" w:fill="F2F5FA"/>
            <w:vAlign w:val="center"/>
          </w:tcPr>
          <w:p>
            <w:pPr>
              <w:spacing w:after="0"/>
            </w:pPr>
            <w:r>
              <w:rPr>
                <w:rFonts w:ascii="游ゴシック" w:hAnsi="游ゴシック" w:eastAsia="游ゴシック"/>
                <w:b w:val="0"/>
                <w:sz w:val="18"/>
              </w:rPr>
              <w:t>令和7年度（12か月の完結年度）の実績により短期入所生活介護の見込量を算定し、季節補正を行わない（基準年度が完結年度であるため年度換算係数は1.0000となり効きは0円である）。季節利用の例外が示された時点で利用日数の置き方を確かめる</w:t>
            </w:r>
          </w:p>
        </w:tc>
        <w:tc>
          <w:tcPr>
            <w:tcW w:type="dxa" w:w="1134"/>
            <w:shd w:val="clear" w:color="auto" w:fill="F2F5FA"/>
            <w:vAlign w:val="center"/>
          </w:tcPr>
          <w:p>
            <w:pPr>
              <w:spacing w:after="0"/>
              <w:jc w:val="center"/>
            </w:pPr>
            <w:r>
              <w:rPr>
                <w:rFonts w:ascii="游ゴシック" w:hAnsi="游ゴシック" w:eastAsia="游ゴシック"/>
                <w:b w:val="0"/>
                <w:sz w:val="18"/>
              </w:rPr>
              <w:t>R8.12</w:t>
            </w:r>
          </w:p>
        </w:tc>
      </w:tr>
    </w:tbl>
    <w:p>
      <w:pPr>
        <w:spacing w:after="80"/>
      </w:pPr>
      <w:r>
        <w:rPr>
          <w:rFonts w:ascii="游ゴシック" w:hAnsi="游ゴシック" w:eastAsia="游ゴシック"/>
          <w:b w:val="0"/>
          <w:sz w:val="17"/>
        </w:rPr>
        <w:t>資料：業務工程管理表 03_確認事項一覧</w:t>
      </w:r>
    </w:p>
    <w:p>
      <w:pPr>
        <w:ind w:left="227"/>
      </w:pPr>
      <w:r>
        <w:rPr>
          <w:rFonts w:ascii="游ゴシック" w:hAnsi="游ゴシック" w:eastAsia="游ゴシック"/>
          <w:b w:val="0"/>
          <w:sz w:val="18"/>
        </w:rPr>
        <w:t>※ 介護保険法第117条第2項第1号の記載事項である日常生活圏域ごとの必要利用定員総数（No.88）は、記載を落とすことができません。3町の整備方針が確定するまで［要協議］のまま残します。</w:t>
      </w:r>
    </w:p>
    <w:p>
      <w:pPr>
        <w:keepNext/>
        <w:spacing w:before="180" w:after="60"/>
      </w:pPr>
      <w:r>
        <w:rPr>
          <w:rFonts w:ascii="游ゴシック" w:hAnsi="游ゴシック" w:eastAsia="游ゴシック"/>
          <w:b/>
          <w:sz w:val="22"/>
        </w:rPr>
        <w:t>6　受託者が仮置きにより進めた事項（164件）</w:t>
      </w:r>
    </w:p>
    <w:p>
      <w:pPr>
        <w:spacing w:after="80"/>
      </w:pPr>
      <w:r>
        <w:rPr>
          <w:rFonts w:ascii="游ゴシック" w:hAnsi="游ゴシック" w:eastAsia="游ゴシック"/>
          <w:b w:val="0"/>
          <w:sz w:val="20"/>
        </w:rPr>
        <w:t>ご決定をお待ちしているもののうち、仮置きのとおり計画素案へ反映した事項です。掲げないこととしたものを含みます。</w:t>
      </w:r>
      <w:r>
        <w:rPr>
          <w:rFonts w:ascii="游ゴシック" w:hAnsi="游ゴシック" w:eastAsia="游ゴシック"/>
          <w:b/>
          <w:sz w:val="20"/>
        </w:rPr>
        <w:t>反映した内容でよいかをご確認ください。</w:t>
      </w:r>
      <w:r>
        <w:rPr>
          <w:rFonts w:ascii="游ゴシック" w:hAnsi="游ゴシック" w:eastAsia="游ゴシック"/>
          <w:b w:val="0"/>
          <w:sz w:val="20"/>
        </w:rPr>
        <w:t xml:space="preserve"> ご決定の内容が異なる場合は、その内容により置き直します。</w:t>
      </w:r>
    </w:p>
    <w:p>
      <w:pPr>
        <w:spacing w:after="80"/>
      </w:pPr>
      <w:r>
        <w:rPr>
          <w:rFonts w:ascii="游ゴシック" w:hAnsi="游ゴシック" w:eastAsia="游ゴシック"/>
          <w:b w:val="0"/>
          <w:sz w:val="20"/>
        </w:rPr>
        <w:t>このうち混合型特定施設入居者生活介護に係る必要利用定員総数（No.113）は、介護保険法第117条第3項が勘案事項として挙げるものです。本計画では定めないこととして記載しています。区域内の事業所の類型（混合型・介護専用型）は［要確認］であり、北海道の指定事業所一覧による確認をお願いしています。</w:t>
      </w:r>
    </w:p>
    <w:p>
      <w:pPr>
        <w:keepNext/>
        <w:spacing w:before="160" w:after="40"/>
      </w:pPr>
      <w:r>
        <w:rPr>
          <w:rFonts w:ascii="游ゴシック" w:hAnsi="游ゴシック" w:eastAsia="游ゴシック"/>
          <w:b/>
          <w:sz w:val="20"/>
        </w:rPr>
        <w:t>表23　仮置きにより計画素案へ反映した事項</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6"/>
              </w:rPr>
              <w:t>No.</w:t>
            </w:r>
          </w:p>
        </w:tc>
        <w:tc>
          <w:tcPr>
            <w:tcW w:type="dxa" w:w="2608"/>
            <w:shd w:val="clear" w:color="auto" w:fill="1F3864"/>
            <w:vAlign w:val="center"/>
          </w:tcPr>
          <w:p>
            <w:pPr>
              <w:spacing w:after="0"/>
              <w:jc w:val="center"/>
            </w:pPr>
            <w:r>
              <w:rPr>
                <w:rFonts w:ascii="游ゴシック" w:hAnsi="游ゴシック" w:eastAsia="游ゴシック"/>
                <w:b/>
                <w:color w:val="FFFFFF"/>
                <w:sz w:val="16"/>
              </w:rPr>
              <w:t>確認事項</w:t>
            </w:r>
          </w:p>
        </w:tc>
        <w:tc>
          <w:tcPr>
            <w:tcW w:type="dxa" w:w="4649"/>
            <w:shd w:val="clear" w:color="auto" w:fill="1F3864"/>
            <w:vAlign w:val="center"/>
          </w:tcPr>
          <w:p>
            <w:pPr>
              <w:spacing w:after="0"/>
              <w:jc w:val="center"/>
            </w:pPr>
            <w:r>
              <w:rPr>
                <w:rFonts w:ascii="游ゴシック" w:hAnsi="游ゴシック" w:eastAsia="游ゴシック"/>
                <w:b/>
                <w:color w:val="FFFFFF"/>
                <w:sz w:val="16"/>
              </w:rPr>
              <w:t>反映した内容</w:t>
            </w:r>
          </w:p>
        </w:tc>
        <w:tc>
          <w:tcPr>
            <w:tcW w:type="dxa" w:w="1701"/>
            <w:shd w:val="clear" w:color="auto" w:fill="1F3864"/>
            <w:vAlign w:val="center"/>
          </w:tcPr>
          <w:p>
            <w:pPr>
              <w:spacing w:after="0"/>
              <w:jc w:val="center"/>
            </w:pPr>
            <w:r>
              <w:rPr>
                <w:rFonts w:ascii="游ゴシック" w:hAnsi="游ゴシック" w:eastAsia="游ゴシック"/>
                <w:b/>
                <w:color w:val="FFFFFF"/>
                <w:sz w:val="16"/>
              </w:rPr>
              <w:t>計画素案</w:t>
            </w:r>
          </w:p>
        </w:tc>
      </w:tr>
      <w:tr>
        <w:trPr>
          <w:cantSplit/>
        </w:trPr>
        <w:tc>
          <w:tcPr>
            <w:tcW w:type="dxa" w:w="794"/>
            <w:vAlign w:val="center"/>
          </w:tcPr>
          <w:p>
            <w:pPr>
              <w:spacing w:after="0"/>
              <w:jc w:val="center"/>
            </w:pPr>
            <w:r>
              <w:rPr>
                <w:rFonts w:ascii="游ゴシック" w:hAnsi="游ゴシック" w:eastAsia="游ゴシック"/>
                <w:b w:val="0"/>
                <w:sz w:val="16"/>
              </w:rPr>
              <w:t>No.88</w:t>
            </w:r>
          </w:p>
        </w:tc>
        <w:tc>
          <w:tcPr>
            <w:tcW w:type="dxa" w:w="2608"/>
            <w:vAlign w:val="center"/>
          </w:tcPr>
          <w:p>
            <w:pPr>
              <w:spacing w:after="0"/>
            </w:pPr>
            <w:r>
              <w:rPr>
                <w:rFonts w:ascii="游ゴシック" w:hAnsi="游ゴシック" w:eastAsia="游ゴシック"/>
                <w:b w:val="0"/>
                <w:sz w:val="16"/>
              </w:rPr>
              <w:t>日常生活圏域ごとの必要利用定員総数（法定記載事項）</w:t>
            </w:r>
          </w:p>
        </w:tc>
        <w:tc>
          <w:tcPr>
            <w:tcW w:type="dxa" w:w="4649"/>
            <w:vAlign w:val="center"/>
          </w:tcPr>
          <w:p>
            <w:pPr>
              <w:spacing w:after="0"/>
            </w:pPr>
            <w:r>
              <w:rPr>
                <w:rFonts w:ascii="游ゴシック" w:hAnsi="游ゴシック" w:eastAsia="游ゴシック"/>
                <w:b w:val="0"/>
                <w:sz w:val="16"/>
              </w:rPr>
              <w:t>3町（3圏域）を基盤整備単位とし、必要利用定員総数は［要協議］のまま残した</w:t>
            </w:r>
          </w:p>
        </w:tc>
        <w:tc>
          <w:tcPr>
            <w:tcW w:type="dxa" w:w="1701"/>
            <w:vAlign w:val="center"/>
          </w:tcPr>
          <w:p>
            <w:pPr>
              <w:spacing w:after="0"/>
            </w:pPr>
            <w:r>
              <w:rPr>
                <w:rFonts w:ascii="游ゴシック" w:hAnsi="游ゴシック" w:eastAsia="游ゴシック"/>
                <w:b w:val="0"/>
                <w:sz w:val="16"/>
              </w:rPr>
              <w:t>第6章第4節4</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No.113</w:t>
            </w:r>
          </w:p>
        </w:tc>
        <w:tc>
          <w:tcPr>
            <w:tcW w:type="dxa" w:w="2608"/>
            <w:shd w:val="clear" w:color="auto" w:fill="F2F5FA"/>
            <w:vAlign w:val="center"/>
          </w:tcPr>
          <w:p>
            <w:pPr>
              <w:spacing w:after="0"/>
            </w:pPr>
            <w:r>
              <w:rPr>
                <w:rFonts w:ascii="游ゴシック" w:hAnsi="游ゴシック" w:eastAsia="游ゴシック"/>
                <w:b w:val="0"/>
                <w:sz w:val="16"/>
              </w:rPr>
              <w:t>混合型特定施設の必要利用定員総数を定めるか</w:t>
            </w:r>
          </w:p>
        </w:tc>
        <w:tc>
          <w:tcPr>
            <w:tcW w:type="dxa" w:w="4649"/>
            <w:shd w:val="clear" w:color="auto" w:fill="F2F5FA"/>
            <w:vAlign w:val="center"/>
          </w:tcPr>
          <w:p>
            <w:pPr>
              <w:spacing w:after="0"/>
            </w:pPr>
            <w:r>
              <w:rPr>
                <w:rFonts w:ascii="游ゴシック" w:hAnsi="游ゴシック" w:eastAsia="游ゴシック"/>
                <w:b w:val="0"/>
                <w:sz w:val="16"/>
              </w:rPr>
              <w:t>混合型特定施設入居者生活介護に係る必要利用定員総数は定めないこととした</w:t>
            </w:r>
          </w:p>
        </w:tc>
        <w:tc>
          <w:tcPr>
            <w:tcW w:type="dxa" w:w="1701"/>
            <w:shd w:val="clear" w:color="auto" w:fill="F2F5FA"/>
            <w:vAlign w:val="center"/>
          </w:tcPr>
          <w:p>
            <w:pPr>
              <w:spacing w:after="0"/>
            </w:pPr>
            <w:r>
              <w:rPr>
                <w:rFonts w:ascii="游ゴシック" w:hAnsi="游ゴシック" w:eastAsia="游ゴシック"/>
                <w:b w:val="0"/>
                <w:sz w:val="16"/>
              </w:rPr>
              <w:t>第6章第4節4</w:t>
            </w:r>
          </w:p>
        </w:tc>
      </w:tr>
      <w:tr>
        <w:trPr>
          <w:cantSplit/>
        </w:trPr>
        <w:tc>
          <w:tcPr>
            <w:tcW w:type="dxa" w:w="794"/>
            <w:vAlign w:val="center"/>
          </w:tcPr>
          <w:p>
            <w:pPr>
              <w:spacing w:after="0"/>
              <w:jc w:val="center"/>
            </w:pPr>
            <w:r>
              <w:rPr>
                <w:rFonts w:ascii="游ゴシック" w:hAnsi="游ゴシック" w:eastAsia="游ゴシック"/>
                <w:b w:val="0"/>
                <w:sz w:val="16"/>
              </w:rPr>
              <w:t>No.131</w:t>
            </w:r>
          </w:p>
        </w:tc>
        <w:tc>
          <w:tcPr>
            <w:tcW w:type="dxa" w:w="2608"/>
            <w:vAlign w:val="center"/>
          </w:tcPr>
          <w:p>
            <w:pPr>
              <w:spacing w:after="0"/>
            </w:pPr>
            <w:r>
              <w:rPr>
                <w:rFonts w:ascii="游ゴシック" w:hAnsi="游ゴシック" w:eastAsia="游ゴシック"/>
                <w:b w:val="0"/>
                <w:sz w:val="16"/>
              </w:rPr>
              <w:t>第6章第2節の見込量の表に何を掲げるか</w:t>
            </w:r>
          </w:p>
        </w:tc>
        <w:tc>
          <w:tcPr>
            <w:tcW w:type="dxa" w:w="4649"/>
            <w:vAlign w:val="center"/>
          </w:tcPr>
          <w:p>
            <w:pPr>
              <w:spacing w:after="0"/>
            </w:pPr>
            <w:r>
              <w:rPr>
                <w:rFonts w:ascii="游ゴシック" w:hAnsi="游ゴシック" w:eastAsia="游ゴシック"/>
                <w:b w:val="0"/>
                <w:sz w:val="16"/>
              </w:rPr>
              <w:t>利用回（日）数と、介護予防・日常生活支援総合事業及び一般介護予防事業の量の見込みを掲げた</w:t>
            </w:r>
          </w:p>
        </w:tc>
        <w:tc>
          <w:tcPr>
            <w:tcW w:type="dxa" w:w="1701"/>
            <w:vAlign w:val="center"/>
          </w:tcPr>
          <w:p>
            <w:pPr>
              <w:spacing w:after="0"/>
            </w:pPr>
            <w:r>
              <w:rPr>
                <w:rFonts w:ascii="游ゴシック" w:hAnsi="游ゴシック" w:eastAsia="游ゴシック"/>
                <w:b w:val="0"/>
                <w:sz w:val="16"/>
              </w:rPr>
              <w:t>第6章第2節・第3節2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No.112</w:t>
            </w:r>
          </w:p>
        </w:tc>
        <w:tc>
          <w:tcPr>
            <w:tcW w:type="dxa" w:w="2608"/>
            <w:shd w:val="clear" w:color="auto" w:fill="F2F5FA"/>
            <w:vAlign w:val="center"/>
          </w:tcPr>
          <w:p>
            <w:pPr>
              <w:spacing w:after="0"/>
            </w:pPr>
            <w:r>
              <w:rPr>
                <w:rFonts w:ascii="游ゴシック" w:hAnsi="游ゴシック" w:eastAsia="游ゴシック"/>
                <w:b w:val="0"/>
                <w:sz w:val="16"/>
              </w:rPr>
              <w:t>地域支援事業の量の見込みを算定してよいか</w:t>
            </w:r>
          </w:p>
        </w:tc>
        <w:tc>
          <w:tcPr>
            <w:tcW w:type="dxa" w:w="4649"/>
            <w:shd w:val="clear" w:color="auto" w:fill="F2F5FA"/>
            <w:vAlign w:val="center"/>
          </w:tcPr>
          <w:p>
            <w:pPr>
              <w:spacing w:after="0"/>
            </w:pPr>
            <w:r>
              <w:rPr>
                <w:rFonts w:ascii="游ゴシック" w:hAnsi="游ゴシック" w:eastAsia="游ゴシック"/>
                <w:b w:val="0"/>
                <w:sz w:val="16"/>
              </w:rPr>
              <w:t>令和6年度の利用者実人数を基礎として量の見込みを掲げ、令和7年度の実施状況は単位が異なるため別に示した</w:t>
            </w:r>
          </w:p>
        </w:tc>
        <w:tc>
          <w:tcPr>
            <w:tcW w:type="dxa" w:w="1701"/>
            <w:shd w:val="clear" w:color="auto" w:fill="F2F5FA"/>
            <w:vAlign w:val="center"/>
          </w:tcPr>
          <w:p>
            <w:pPr>
              <w:spacing w:after="0"/>
            </w:pPr>
            <w:r>
              <w:rPr>
                <w:rFonts w:ascii="游ゴシック" w:hAnsi="游ゴシック" w:eastAsia="游ゴシック"/>
                <w:b w:val="0"/>
                <w:sz w:val="16"/>
              </w:rPr>
              <w:t>第6章第3節2</w:t>
            </w:r>
          </w:p>
        </w:tc>
      </w:tr>
      <w:tr>
        <w:trPr>
          <w:cantSplit/>
        </w:trPr>
        <w:tc>
          <w:tcPr>
            <w:tcW w:type="dxa" w:w="794"/>
            <w:vAlign w:val="center"/>
          </w:tcPr>
          <w:p>
            <w:pPr>
              <w:spacing w:after="0"/>
              <w:jc w:val="center"/>
            </w:pPr>
            <w:r>
              <w:rPr>
                <w:rFonts w:ascii="游ゴシック" w:hAnsi="游ゴシック" w:eastAsia="游ゴシック"/>
                <w:b w:val="0"/>
                <w:sz w:val="16"/>
              </w:rPr>
              <w:t>No.106</w:t>
            </w:r>
          </w:p>
        </w:tc>
        <w:tc>
          <w:tcPr>
            <w:tcW w:type="dxa" w:w="2608"/>
            <w:vAlign w:val="center"/>
          </w:tcPr>
          <w:p>
            <w:pPr>
              <w:spacing w:after="0"/>
            </w:pPr>
            <w:r>
              <w:rPr>
                <w:rFonts w:ascii="游ゴシック" w:hAnsi="游ゴシック" w:eastAsia="游ゴシック"/>
                <w:b w:val="0"/>
                <w:sz w:val="16"/>
              </w:rPr>
              <w:t>見込量の伸びを一律からサービス別の趨勢を半分反映する置き方に改めるか</w:t>
            </w:r>
          </w:p>
        </w:tc>
        <w:tc>
          <w:tcPr>
            <w:tcW w:type="dxa" w:w="4649"/>
            <w:vAlign w:val="center"/>
          </w:tcPr>
          <w:p>
            <w:pPr>
              <w:spacing w:after="0"/>
            </w:pPr>
            <w:r>
              <w:rPr>
                <w:rFonts w:ascii="游ゴシック" w:hAnsi="游ゴシック" w:eastAsia="游ゴシック"/>
                <w:b w:val="0"/>
                <w:sz w:val="16"/>
              </w:rPr>
              <w:t>サービス別の趨勢を反映する補正は行わず、補正した場合の月額への効きを併記した</w:t>
            </w:r>
          </w:p>
        </w:tc>
        <w:tc>
          <w:tcPr>
            <w:tcW w:type="dxa" w:w="1701"/>
            <w:vAlign w:val="center"/>
          </w:tcPr>
          <w:p>
            <w:pPr>
              <w:spacing w:after="0"/>
            </w:pPr>
            <w:r>
              <w:rPr>
                <w:rFonts w:ascii="游ゴシック" w:hAnsi="游ゴシック" w:eastAsia="游ゴシック"/>
                <w:b w:val="0"/>
                <w:sz w:val="16"/>
              </w:rPr>
              <w:t>第6章第6節2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No.105</w:t>
            </w:r>
          </w:p>
        </w:tc>
        <w:tc>
          <w:tcPr>
            <w:tcW w:type="dxa" w:w="2608"/>
            <w:shd w:val="clear" w:color="auto" w:fill="F2F5FA"/>
            <w:vAlign w:val="center"/>
          </w:tcPr>
          <w:p>
            <w:pPr>
              <w:spacing w:after="0"/>
            </w:pPr>
            <w:r>
              <w:rPr>
                <w:rFonts w:ascii="游ゴシック" w:hAnsi="游ゴシック" w:eastAsia="游ゴシック"/>
                <w:b w:val="0"/>
                <w:sz w:val="16"/>
              </w:rPr>
              <w:t>施策反映を行うか。行う場合の対象と歯止め</w:t>
            </w:r>
          </w:p>
        </w:tc>
        <w:tc>
          <w:tcPr>
            <w:tcW w:type="dxa" w:w="4649"/>
            <w:shd w:val="clear" w:color="auto" w:fill="F2F5FA"/>
            <w:vAlign w:val="center"/>
          </w:tcPr>
          <w:p>
            <w:pPr>
              <w:spacing w:after="0"/>
            </w:pPr>
            <w:r>
              <w:rPr>
                <w:rFonts w:ascii="游ゴシック" w:hAnsi="游ゴシック" w:eastAsia="游ゴシック"/>
                <w:b w:val="0"/>
                <w:sz w:val="16"/>
              </w:rPr>
              <w:t>施策による見込量の増減を織り込まなかった（自然体）</w:t>
            </w:r>
          </w:p>
        </w:tc>
        <w:tc>
          <w:tcPr>
            <w:tcW w:type="dxa" w:w="1701"/>
            <w:shd w:val="clear" w:color="auto" w:fill="F2F5FA"/>
            <w:vAlign w:val="center"/>
          </w:tcPr>
          <w:p>
            <w:pPr>
              <w:spacing w:after="0"/>
            </w:pPr>
            <w:r>
              <w:rPr>
                <w:rFonts w:ascii="游ゴシック" w:hAnsi="游ゴシック" w:eastAsia="游ゴシック"/>
                <w:b w:val="0"/>
                <w:sz w:val="16"/>
              </w:rPr>
              <w:t>第6章第2節</w:t>
            </w:r>
          </w:p>
        </w:tc>
      </w:tr>
      <w:tr>
        <w:trPr>
          <w:cantSplit/>
        </w:trPr>
        <w:tc>
          <w:tcPr>
            <w:tcW w:type="dxa" w:w="794"/>
            <w:vAlign w:val="center"/>
          </w:tcPr>
          <w:p>
            <w:pPr>
              <w:spacing w:after="0"/>
              <w:jc w:val="center"/>
            </w:pPr>
            <w:r>
              <w:rPr>
                <w:rFonts w:ascii="游ゴシック" w:hAnsi="游ゴシック" w:eastAsia="游ゴシック"/>
                <w:b w:val="0"/>
                <w:sz w:val="16"/>
              </w:rPr>
              <w:t>No.137</w:t>
            </w:r>
          </w:p>
        </w:tc>
        <w:tc>
          <w:tcPr>
            <w:tcW w:type="dxa" w:w="2608"/>
            <w:vAlign w:val="center"/>
          </w:tcPr>
          <w:p>
            <w:pPr>
              <w:spacing w:after="0"/>
            </w:pPr>
            <w:r>
              <w:rPr>
                <w:rFonts w:ascii="游ゴシック" w:hAnsi="游ゴシック" w:eastAsia="游ゴシック"/>
                <w:b w:val="0"/>
                <w:sz w:val="16"/>
              </w:rPr>
              <w:t>1人1月あたり給付費の実績値をどの年度にするか</w:t>
            </w:r>
          </w:p>
        </w:tc>
        <w:tc>
          <w:tcPr>
            <w:tcW w:type="dxa" w:w="4649"/>
            <w:vAlign w:val="center"/>
          </w:tcPr>
          <w:p>
            <w:pPr>
              <w:spacing w:after="0"/>
            </w:pPr>
            <w:r>
              <w:rPr>
                <w:rFonts w:ascii="游ゴシック" w:hAnsi="游ゴシック" w:eastAsia="游ゴシック"/>
                <w:b w:val="0"/>
                <w:sz w:val="16"/>
              </w:rPr>
              <w:t>単価を令和7年度で固定し、実績の趨勢を織り込んだ場合の月額への効きを併記した</w:t>
            </w:r>
          </w:p>
        </w:tc>
        <w:tc>
          <w:tcPr>
            <w:tcW w:type="dxa" w:w="1701"/>
            <w:vAlign w:val="center"/>
          </w:tcPr>
          <w:p>
            <w:pPr>
              <w:spacing w:after="0"/>
            </w:pPr>
            <w:r>
              <w:rPr>
                <w:rFonts w:ascii="游ゴシック" w:hAnsi="游ゴシック" w:eastAsia="游ゴシック"/>
                <w:b w:val="0"/>
                <w:sz w:val="16"/>
              </w:rPr>
              <w:t>第6章第6節2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No.110</w:t>
            </w:r>
          </w:p>
        </w:tc>
        <w:tc>
          <w:tcPr>
            <w:tcW w:type="dxa" w:w="2608"/>
            <w:shd w:val="clear" w:color="auto" w:fill="F2F5FA"/>
            <w:vAlign w:val="center"/>
          </w:tcPr>
          <w:p>
            <w:pPr>
              <w:spacing w:after="0"/>
            </w:pPr>
            <w:r>
              <w:rPr>
                <w:rFonts w:ascii="游ゴシック" w:hAnsi="游ゴシック" w:eastAsia="游ゴシック"/>
                <w:b w:val="0"/>
                <w:sz w:val="16"/>
              </w:rPr>
              <w:t>給付適正化の効果を見込量に織り込まないことでよいか</w:t>
            </w:r>
          </w:p>
        </w:tc>
        <w:tc>
          <w:tcPr>
            <w:tcW w:type="dxa" w:w="4649"/>
            <w:shd w:val="clear" w:color="auto" w:fill="F2F5FA"/>
            <w:vAlign w:val="center"/>
          </w:tcPr>
          <w:p>
            <w:pPr>
              <w:spacing w:after="0"/>
            </w:pPr>
            <w:r>
              <w:rPr>
                <w:rFonts w:ascii="游ゴシック" w:hAnsi="游ゴシック" w:eastAsia="游ゴシック"/>
                <w:b w:val="0"/>
                <w:sz w:val="16"/>
              </w:rPr>
              <w:t>給付の適正化による抑制を織り込まず、対象サービスの割合と10％抑制した場合の効きを併記した</w:t>
            </w:r>
          </w:p>
        </w:tc>
        <w:tc>
          <w:tcPr>
            <w:tcW w:type="dxa" w:w="1701"/>
            <w:shd w:val="clear" w:color="auto" w:fill="F2F5FA"/>
            <w:vAlign w:val="center"/>
          </w:tcPr>
          <w:p>
            <w:pPr>
              <w:spacing w:after="0"/>
            </w:pPr>
            <w:r>
              <w:rPr>
                <w:rFonts w:ascii="游ゴシック" w:hAnsi="游ゴシック" w:eastAsia="游ゴシック"/>
                <w:b w:val="0"/>
                <w:sz w:val="16"/>
              </w:rPr>
              <w:t>第6章第6節2</w:t>
            </w:r>
          </w:p>
        </w:tc>
      </w:tr>
      <w:tr>
        <w:trPr>
          <w:cantSplit/>
        </w:trPr>
        <w:tc>
          <w:tcPr>
            <w:tcW w:type="dxa" w:w="794"/>
            <w:vAlign w:val="center"/>
          </w:tcPr>
          <w:p>
            <w:pPr>
              <w:spacing w:after="0"/>
              <w:jc w:val="center"/>
            </w:pPr>
            <w:r>
              <w:rPr>
                <w:rFonts w:ascii="游ゴシック" w:hAnsi="游ゴシック" w:eastAsia="游ゴシック"/>
                <w:b w:val="0"/>
                <w:sz w:val="16"/>
              </w:rPr>
              <w:t>No.150</w:t>
            </w:r>
          </w:p>
        </w:tc>
        <w:tc>
          <w:tcPr>
            <w:tcW w:type="dxa" w:w="2608"/>
            <w:vAlign w:val="center"/>
          </w:tcPr>
          <w:p>
            <w:pPr>
              <w:spacing w:after="0"/>
            </w:pPr>
            <w:r>
              <w:rPr>
                <w:rFonts w:ascii="游ゴシック" w:hAnsi="游ゴシック" w:eastAsia="游ゴシック"/>
                <w:b w:val="0"/>
                <w:sz w:val="16"/>
              </w:rPr>
              <w:t>認知症総合支援事業の実績のご提供</w:t>
            </w:r>
          </w:p>
        </w:tc>
        <w:tc>
          <w:tcPr>
            <w:tcW w:type="dxa" w:w="4649"/>
            <w:vAlign w:val="center"/>
          </w:tcPr>
          <w:p>
            <w:pPr>
              <w:spacing w:after="0"/>
            </w:pPr>
            <w:r>
              <w:rPr>
                <w:rFonts w:ascii="游ゴシック" w:hAnsi="游ゴシック" w:eastAsia="游ゴシック"/>
                <w:b w:val="0"/>
                <w:sz w:val="16"/>
              </w:rPr>
              <w:t>量の見込みは掲げず、構成3町の認知症総合支援事業の実施状況を掲げた</w:t>
            </w:r>
          </w:p>
        </w:tc>
        <w:tc>
          <w:tcPr>
            <w:tcW w:type="dxa" w:w="1701"/>
            <w:vAlign w:val="center"/>
          </w:tcPr>
          <w:p>
            <w:pPr>
              <w:spacing w:after="0"/>
            </w:pPr>
            <w:r>
              <w:rPr>
                <w:rFonts w:ascii="游ゴシック" w:hAnsi="游ゴシック" w:eastAsia="游ゴシック"/>
                <w:b w:val="0"/>
                <w:sz w:val="16"/>
              </w:rPr>
              <w:t>第6章第3節2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No.98</w:t>
            </w:r>
          </w:p>
        </w:tc>
        <w:tc>
          <w:tcPr>
            <w:tcW w:type="dxa" w:w="2608"/>
            <w:shd w:val="clear" w:color="auto" w:fill="F2F5FA"/>
            <w:vAlign w:val="center"/>
          </w:tcPr>
          <w:p>
            <w:pPr>
              <w:spacing w:after="0"/>
            </w:pPr>
            <w:r>
              <w:rPr>
                <w:rFonts w:ascii="游ゴシック" w:hAnsi="游ゴシック" w:eastAsia="游ゴシック"/>
                <w:b w:val="0"/>
                <w:sz w:val="16"/>
              </w:rPr>
              <w:t>基盤整備の選択肢として省令上の類型を計画に掲げるか</w:t>
            </w:r>
          </w:p>
        </w:tc>
        <w:tc>
          <w:tcPr>
            <w:tcW w:type="dxa" w:w="4649"/>
            <w:shd w:val="clear" w:color="auto" w:fill="F2F5FA"/>
            <w:vAlign w:val="center"/>
          </w:tcPr>
          <w:p>
            <w:pPr>
              <w:spacing w:after="0"/>
            </w:pPr>
            <w:r>
              <w:rPr>
                <w:rFonts w:ascii="游ゴシック" w:hAnsi="游ゴシック" w:eastAsia="游ゴシック"/>
                <w:b w:val="0"/>
                <w:sz w:val="16"/>
              </w:rPr>
              <w:t>省令上の類型は計画に掲げていない</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No.100</w:t>
            </w:r>
          </w:p>
        </w:tc>
        <w:tc>
          <w:tcPr>
            <w:tcW w:type="dxa" w:w="2608"/>
            <w:vAlign w:val="center"/>
          </w:tcPr>
          <w:p>
            <w:pPr>
              <w:spacing w:after="0"/>
            </w:pPr>
            <w:r>
              <w:rPr>
                <w:rFonts w:ascii="游ゴシック" w:hAnsi="游ゴシック" w:eastAsia="游ゴシック"/>
                <w:b w:val="0"/>
                <w:sz w:val="16"/>
              </w:rPr>
              <w:t>サービス見込量及び給付費の算定に用いる基準年度と出所</w:t>
            </w:r>
          </w:p>
        </w:tc>
        <w:tc>
          <w:tcPr>
            <w:tcW w:type="dxa" w:w="4649"/>
            <w:vAlign w:val="center"/>
          </w:tcPr>
          <w:p>
            <w:pPr>
              <w:spacing w:after="0"/>
            </w:pPr>
            <w:r>
              <w:rPr>
                <w:rFonts w:ascii="游ゴシック" w:hAnsi="游ゴシック" w:eastAsia="游ゴシック"/>
                <w:b w:val="0"/>
                <w:sz w:val="16"/>
              </w:rPr>
              <w:t>令和7年度を基準年度とし、総括表の単価により要介護度別の伸びで算定した</w:t>
            </w:r>
          </w:p>
        </w:tc>
        <w:tc>
          <w:tcPr>
            <w:tcW w:type="dxa" w:w="1701"/>
            <w:vAlign w:val="center"/>
          </w:tcPr>
          <w:p>
            <w:pPr>
              <w:spacing w:after="0"/>
            </w:pPr>
            <w:r>
              <w:rPr>
                <w:rFonts w:ascii="游ゴシック" w:hAnsi="游ゴシック" w:eastAsia="游ゴシック"/>
                <w:b w:val="0"/>
                <w:sz w:val="16"/>
              </w:rPr>
              <w:t>第6章第2節・第3節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No.101</w:t>
            </w:r>
          </w:p>
        </w:tc>
        <w:tc>
          <w:tcPr>
            <w:tcW w:type="dxa" w:w="2608"/>
            <w:shd w:val="clear" w:color="auto" w:fill="F2F5FA"/>
            <w:vAlign w:val="center"/>
          </w:tcPr>
          <w:p>
            <w:pPr>
              <w:spacing w:after="0"/>
            </w:pPr>
            <w:r>
              <w:rPr>
                <w:rFonts w:ascii="游ゴシック" w:hAnsi="游ゴシック" w:eastAsia="游ゴシック"/>
                <w:b w:val="0"/>
                <w:sz w:val="16"/>
              </w:rPr>
              <w:t>計画素案 第6章第2節2の見込量の表の数値の差し替え</w:t>
            </w:r>
          </w:p>
        </w:tc>
        <w:tc>
          <w:tcPr>
            <w:tcW w:type="dxa" w:w="4649"/>
            <w:shd w:val="clear" w:color="auto" w:fill="F2F5FA"/>
            <w:vAlign w:val="center"/>
          </w:tcPr>
          <w:p>
            <w:pPr>
              <w:spacing w:after="0"/>
            </w:pPr>
            <w:r>
              <w:rPr>
                <w:rFonts w:ascii="游ゴシック" w:hAnsi="游ゴシック" w:eastAsia="游ゴシック"/>
                <w:b w:val="0"/>
                <w:sz w:val="16"/>
              </w:rPr>
              <w:t>第6章第2節の表は当方の算定による値とし、見える化システムの自然体推計による値は第6節2に対比として掲げた</w:t>
            </w:r>
          </w:p>
        </w:tc>
        <w:tc>
          <w:tcPr>
            <w:tcW w:type="dxa" w:w="1701"/>
            <w:shd w:val="clear" w:color="auto" w:fill="F2F5FA"/>
            <w:vAlign w:val="center"/>
          </w:tcPr>
          <w:p>
            <w:pPr>
              <w:spacing w:after="0"/>
            </w:pPr>
            <w:r>
              <w:rPr>
                <w:rFonts w:ascii="游ゴシック" w:hAnsi="游ゴシック" w:eastAsia="游ゴシック"/>
                <w:b w:val="0"/>
                <w:sz w:val="16"/>
              </w:rPr>
              <w:t>第6章第2節・第6節2</w:t>
            </w:r>
          </w:p>
        </w:tc>
      </w:tr>
      <w:tr>
        <w:trPr>
          <w:cantSplit/>
        </w:trPr>
        <w:tc>
          <w:tcPr>
            <w:tcW w:type="dxa" w:w="794"/>
            <w:vAlign w:val="center"/>
          </w:tcPr>
          <w:p>
            <w:pPr>
              <w:spacing w:after="0"/>
              <w:jc w:val="center"/>
            </w:pPr>
            <w:r>
              <w:rPr>
                <w:rFonts w:ascii="游ゴシック" w:hAnsi="游ゴシック" w:eastAsia="游ゴシック"/>
                <w:b w:val="0"/>
                <w:sz w:val="16"/>
              </w:rPr>
              <w:t>No.103</w:t>
            </w:r>
          </w:p>
        </w:tc>
        <w:tc>
          <w:tcPr>
            <w:tcW w:type="dxa" w:w="2608"/>
            <w:vAlign w:val="center"/>
          </w:tcPr>
          <w:p>
            <w:pPr>
              <w:spacing w:after="0"/>
            </w:pPr>
            <w:r>
              <w:rPr>
                <w:rFonts w:ascii="游ゴシック" w:hAnsi="游ゴシック" w:eastAsia="游ゴシック"/>
                <w:b w:val="0"/>
                <w:sz w:val="16"/>
              </w:rPr>
              <w:t>令和8年度を基準年度に用いず、季節を理由とする補正も行わないこと</w:t>
            </w:r>
          </w:p>
        </w:tc>
        <w:tc>
          <w:tcPr>
            <w:tcW w:type="dxa" w:w="4649"/>
            <w:vAlign w:val="center"/>
          </w:tcPr>
          <w:p>
            <w:pPr>
              <w:spacing w:after="0"/>
            </w:pPr>
            <w:r>
              <w:rPr>
                <w:rFonts w:ascii="游ゴシック" w:hAnsi="游ゴシック" w:eastAsia="游ゴシック"/>
                <w:b w:val="0"/>
                <w:sz w:val="16"/>
              </w:rPr>
              <w:t>令和8年度（4か月）を基準年度に用いず、季節による補正も行わない旨を注に明示した</w:t>
            </w:r>
          </w:p>
        </w:tc>
        <w:tc>
          <w:tcPr>
            <w:tcW w:type="dxa" w:w="1701"/>
            <w:vAlign w:val="center"/>
          </w:tcPr>
          <w:p>
            <w:pPr>
              <w:spacing w:after="0"/>
            </w:pPr>
            <w:r>
              <w:rPr>
                <w:rFonts w:ascii="游ゴシック" w:hAnsi="游ゴシック" w:eastAsia="游ゴシック"/>
                <w:b w:val="0"/>
                <w:sz w:val="16"/>
              </w:rPr>
              <w:t>第6章第2節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No.107</w:t>
            </w:r>
          </w:p>
        </w:tc>
        <w:tc>
          <w:tcPr>
            <w:tcW w:type="dxa" w:w="2608"/>
            <w:shd w:val="clear" w:color="auto" w:fill="F2F5FA"/>
            <w:vAlign w:val="center"/>
          </w:tcPr>
          <w:p>
            <w:pPr>
              <w:spacing w:after="0"/>
            </w:pPr>
            <w:r>
              <w:rPr>
                <w:rFonts w:ascii="游ゴシック" w:hAnsi="游ゴシック" w:eastAsia="游ゴシック"/>
                <w:b w:val="0"/>
                <w:sz w:val="16"/>
              </w:rPr>
              <w:t>施設・居住系の実績の減少を将来へ延長するか</w:t>
            </w:r>
          </w:p>
        </w:tc>
        <w:tc>
          <w:tcPr>
            <w:tcW w:type="dxa" w:w="4649"/>
            <w:shd w:val="clear" w:color="auto" w:fill="F2F5FA"/>
            <w:vAlign w:val="center"/>
          </w:tcPr>
          <w:p>
            <w:pPr>
              <w:spacing w:after="0"/>
            </w:pPr>
            <w:r>
              <w:rPr>
                <w:rFonts w:ascii="游ゴシック" w:hAnsi="游ゴシック" w:eastAsia="游ゴシック"/>
                <w:b w:val="0"/>
                <w:sz w:val="16"/>
              </w:rPr>
              <w:t>施設及び居住系サービスの定員の縮小の趨勢を将来へ延長しない旨を注に明示した</w:t>
            </w:r>
          </w:p>
        </w:tc>
        <w:tc>
          <w:tcPr>
            <w:tcW w:type="dxa" w:w="1701"/>
            <w:shd w:val="clear" w:color="auto" w:fill="F2F5FA"/>
            <w:vAlign w:val="center"/>
          </w:tcPr>
          <w:p>
            <w:pPr>
              <w:spacing w:after="0"/>
            </w:pPr>
            <w:r>
              <w:rPr>
                <w:rFonts w:ascii="游ゴシック" w:hAnsi="游ゴシック" w:eastAsia="游ゴシック"/>
                <w:b w:val="0"/>
                <w:sz w:val="16"/>
              </w:rPr>
              <w:t>第6章第2節</w:t>
            </w:r>
          </w:p>
        </w:tc>
      </w:tr>
      <w:tr>
        <w:trPr>
          <w:cantSplit/>
        </w:trPr>
        <w:tc>
          <w:tcPr>
            <w:tcW w:type="dxa" w:w="794"/>
            <w:vAlign w:val="center"/>
          </w:tcPr>
          <w:p>
            <w:pPr>
              <w:spacing w:after="0"/>
              <w:jc w:val="center"/>
            </w:pPr>
            <w:r>
              <w:rPr>
                <w:rFonts w:ascii="游ゴシック" w:hAnsi="游ゴシック" w:eastAsia="游ゴシック"/>
                <w:b w:val="0"/>
                <w:sz w:val="16"/>
              </w:rPr>
              <w:t>No.141</w:t>
            </w:r>
          </w:p>
        </w:tc>
        <w:tc>
          <w:tcPr>
            <w:tcW w:type="dxa" w:w="2608"/>
            <w:vAlign w:val="center"/>
          </w:tcPr>
          <w:p>
            <w:pPr>
              <w:spacing w:after="0"/>
            </w:pPr>
            <w:r>
              <w:rPr>
                <w:rFonts w:ascii="游ゴシック" w:hAnsi="游ゴシック" w:eastAsia="游ゴシック"/>
                <w:b w:val="0"/>
                <w:sz w:val="16"/>
              </w:rPr>
              <w:t>区域を越えた施設利用の扱い</w:t>
            </w:r>
          </w:p>
        </w:tc>
        <w:tc>
          <w:tcPr>
            <w:tcW w:type="dxa" w:w="4649"/>
            <w:vAlign w:val="center"/>
          </w:tcPr>
          <w:p>
            <w:pPr>
              <w:spacing w:after="0"/>
            </w:pPr>
            <w:r>
              <w:rPr>
                <w:rFonts w:ascii="游ゴシック" w:hAnsi="游ゴシック" w:eastAsia="游ゴシック"/>
                <w:b w:val="0"/>
                <w:sz w:val="16"/>
              </w:rPr>
              <w:t>必要利用定員総数は現に指定を受けている定員を基礎とするもので、第2節の見込量（当連合の被保険者の受給者数）とは数える対象が異なる旨を注に明示した</w:t>
            </w:r>
          </w:p>
        </w:tc>
        <w:tc>
          <w:tcPr>
            <w:tcW w:type="dxa" w:w="1701"/>
            <w:vAlign w:val="center"/>
          </w:tcPr>
          <w:p>
            <w:pPr>
              <w:spacing w:after="0"/>
            </w:pPr>
            <w:r>
              <w:rPr>
                <w:rFonts w:ascii="游ゴシック" w:hAnsi="游ゴシック" w:eastAsia="游ゴシック"/>
                <w:b w:val="0"/>
                <w:sz w:val="16"/>
              </w:rPr>
              <w:t>第6章第4節4</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No.146</w:t>
            </w:r>
          </w:p>
        </w:tc>
        <w:tc>
          <w:tcPr>
            <w:tcW w:type="dxa" w:w="2608"/>
            <w:shd w:val="clear" w:color="auto" w:fill="F2F5FA"/>
            <w:vAlign w:val="center"/>
          </w:tcPr>
          <w:p>
            <w:pPr>
              <w:spacing w:after="0"/>
            </w:pPr>
            <w:r>
              <w:rPr>
                <w:rFonts w:ascii="游ゴシック" w:hAnsi="游ゴシック" w:eastAsia="游ゴシック"/>
                <w:b w:val="0"/>
                <w:sz w:val="16"/>
              </w:rPr>
              <w:t>見込量の伸びを要介護度別に改めてよいか</w:t>
            </w:r>
          </w:p>
        </w:tc>
        <w:tc>
          <w:tcPr>
            <w:tcW w:type="dxa" w:w="4649"/>
            <w:shd w:val="clear" w:color="auto" w:fill="F2F5FA"/>
            <w:vAlign w:val="center"/>
          </w:tcPr>
          <w:p>
            <w:pPr>
              <w:spacing w:after="0"/>
            </w:pPr>
            <w:r>
              <w:rPr>
                <w:rFonts w:ascii="游ゴシック" w:hAnsi="游ゴシック" w:eastAsia="游ゴシック"/>
                <w:b w:val="0"/>
                <w:sz w:val="16"/>
              </w:rPr>
              <w:t>要介護度別の伸びによる算定を採り、一律の伸びによる値との差を併記した</w:t>
            </w:r>
          </w:p>
        </w:tc>
        <w:tc>
          <w:tcPr>
            <w:tcW w:type="dxa" w:w="1701"/>
            <w:shd w:val="clear" w:color="auto" w:fill="F2F5FA"/>
            <w:vAlign w:val="center"/>
          </w:tcPr>
          <w:p>
            <w:pPr>
              <w:spacing w:after="0"/>
            </w:pPr>
            <w:r>
              <w:rPr>
                <w:rFonts w:ascii="游ゴシック" w:hAnsi="游ゴシック" w:eastAsia="游ゴシック"/>
                <w:b w:val="0"/>
                <w:sz w:val="16"/>
              </w:rPr>
              <w:t>第6章第6節2</w:t>
            </w:r>
          </w:p>
        </w:tc>
      </w:tr>
      <w:tr>
        <w:trPr>
          <w:cantSplit/>
        </w:trPr>
        <w:tc>
          <w:tcPr>
            <w:tcW w:type="dxa" w:w="794"/>
            <w:vAlign w:val="center"/>
          </w:tcPr>
          <w:p>
            <w:pPr>
              <w:spacing w:after="0"/>
              <w:jc w:val="center"/>
            </w:pPr>
            <w:r>
              <w:rPr>
                <w:rFonts w:ascii="游ゴシック" w:hAnsi="游ゴシック" w:eastAsia="游ゴシック"/>
                <w:b w:val="0"/>
                <w:sz w:val="16"/>
              </w:rPr>
              <w:t>No.151</w:t>
            </w:r>
          </w:p>
        </w:tc>
        <w:tc>
          <w:tcPr>
            <w:tcW w:type="dxa" w:w="2608"/>
            <w:vAlign w:val="center"/>
          </w:tcPr>
          <w:p>
            <w:pPr>
              <w:spacing w:after="0"/>
            </w:pPr>
            <w:r>
              <w:rPr>
                <w:rFonts w:ascii="游ゴシック" w:hAnsi="游ゴシック" w:eastAsia="游ゴシック"/>
                <w:b w:val="0"/>
                <w:sz w:val="16"/>
              </w:rPr>
              <w:t>認知症対応型共同生活介護を対計画比の補正の対象から外してよいか</w:t>
            </w:r>
          </w:p>
        </w:tc>
        <w:tc>
          <w:tcPr>
            <w:tcW w:type="dxa" w:w="4649"/>
            <w:vAlign w:val="center"/>
          </w:tcPr>
          <w:p>
            <w:pPr>
              <w:spacing w:after="0"/>
            </w:pPr>
            <w:r>
              <w:rPr>
                <w:rFonts w:ascii="游ゴシック" w:hAnsi="游ゴシック" w:eastAsia="游ゴシック"/>
                <w:b w:val="0"/>
                <w:sz w:val="16"/>
              </w:rPr>
              <w:t>認知症対応型共同生活介護及び介護老人福祉施設は、実績の減少が定員の縮小によるものであるため、補正を行う場合でも対象から外す扱いとする旨を明示した</w:t>
            </w:r>
          </w:p>
        </w:tc>
        <w:tc>
          <w:tcPr>
            <w:tcW w:type="dxa" w:w="1701"/>
            <w:vAlign w:val="center"/>
          </w:tcPr>
          <w:p>
            <w:pPr>
              <w:spacing w:after="0"/>
            </w:pPr>
            <w:r>
              <w:rPr>
                <w:rFonts w:ascii="游ゴシック" w:hAnsi="游ゴシック" w:eastAsia="游ゴシック"/>
                <w:b w:val="0"/>
                <w:sz w:val="16"/>
              </w:rPr>
              <w:t>第6章第6節2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No.93</w:t>
            </w:r>
          </w:p>
        </w:tc>
        <w:tc>
          <w:tcPr>
            <w:tcW w:type="dxa" w:w="2608"/>
            <w:shd w:val="clear" w:color="auto" w:fill="F2F5FA"/>
            <w:vAlign w:val="center"/>
          </w:tcPr>
          <w:p>
            <w:pPr>
              <w:spacing w:after="0"/>
            </w:pPr>
            <w:r>
              <w:rPr>
                <w:rFonts w:ascii="游ゴシック" w:hAnsi="游ゴシック" w:eastAsia="游ゴシック"/>
                <w:b w:val="0"/>
                <w:sz w:val="16"/>
              </w:rPr>
              <w:t>財政調整交付金の算定における給付適正化主要3事業の取組状況の勘案</w:t>
            </w:r>
          </w:p>
        </w:tc>
        <w:tc>
          <w:tcPr>
            <w:tcW w:type="dxa" w:w="4649"/>
            <w:shd w:val="clear" w:color="auto" w:fill="F2F5FA"/>
            <w:vAlign w:val="center"/>
          </w:tcPr>
          <w:p>
            <w:pPr>
              <w:spacing w:after="0"/>
            </w:pPr>
            <w:r>
              <w:rPr>
                <w:rFonts w:ascii="游ゴシック" w:hAnsi="游ゴシック" w:eastAsia="游ゴシック"/>
                <w:b w:val="0"/>
                <w:sz w:val="16"/>
              </w:rPr>
              <w:t>主要3事業の取組状況が調整交付金の算定に勘案されることと、本計画がその減額を織り込んでいないことを明示した</w:t>
            </w:r>
          </w:p>
        </w:tc>
        <w:tc>
          <w:tcPr>
            <w:tcW w:type="dxa" w:w="1701"/>
            <w:shd w:val="clear" w:color="auto" w:fill="F2F5FA"/>
            <w:vAlign w:val="center"/>
          </w:tcPr>
          <w:p>
            <w:pPr>
              <w:spacing w:after="0"/>
            </w:pPr>
            <w:r>
              <w:rPr>
                <w:rFonts w:ascii="游ゴシック" w:hAnsi="游ゴシック" w:eastAsia="游ゴシック"/>
                <w:b w:val="0"/>
                <w:sz w:val="16"/>
              </w:rPr>
              <w:t>第5章 基本目標5・第6章第6節4</w:t>
            </w:r>
          </w:p>
        </w:tc>
      </w:tr>
      <w:tr>
        <w:trPr>
          <w:cantSplit/>
        </w:trPr>
        <w:tc>
          <w:tcPr>
            <w:tcW w:type="dxa" w:w="794"/>
            <w:vAlign w:val="center"/>
          </w:tcPr>
          <w:p>
            <w:pPr>
              <w:spacing w:after="0"/>
              <w:jc w:val="center"/>
            </w:pPr>
            <w:r>
              <w:rPr>
                <w:rFonts w:ascii="游ゴシック" w:hAnsi="游ゴシック" w:eastAsia="游ゴシック"/>
                <w:b w:val="0"/>
                <w:sz w:val="16"/>
              </w:rPr>
              <w:t>No.82</w:t>
            </w:r>
          </w:p>
        </w:tc>
        <w:tc>
          <w:tcPr>
            <w:tcW w:type="dxa" w:w="2608"/>
            <w:vAlign w:val="center"/>
          </w:tcPr>
          <w:p>
            <w:pPr>
              <w:spacing w:after="0"/>
            </w:pPr>
            <w:r>
              <w:rPr>
                <w:rFonts w:ascii="游ゴシック" w:hAnsi="游ゴシック" w:eastAsia="游ゴシック"/>
                <w:b w:val="0"/>
                <w:sz w:val="16"/>
              </w:rPr>
              <w:t>構成町の一般会計繰入金の町別按分の方法</w:t>
            </w:r>
          </w:p>
        </w:tc>
        <w:tc>
          <w:tcPr>
            <w:tcW w:type="dxa" w:w="4649"/>
            <w:vAlign w:val="center"/>
          </w:tcPr>
          <w:p>
            <w:pPr>
              <w:spacing w:after="0"/>
            </w:pPr>
            <w:r>
              <w:rPr>
                <w:rFonts w:ascii="游ゴシック" w:hAnsi="游ゴシック" w:eastAsia="游ゴシック"/>
                <w:b w:val="0"/>
                <w:sz w:val="16"/>
              </w:rPr>
              <w:t>町別への按分は規約によるため算定できないものとして、構成町の一般会計繰入金は3町計の概算のみを示した</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No.123</w:t>
            </w:r>
          </w:p>
        </w:tc>
        <w:tc>
          <w:tcPr>
            <w:tcW w:type="dxa" w:w="2608"/>
            <w:shd w:val="clear" w:color="auto" w:fill="F2F5FA"/>
            <w:vAlign w:val="center"/>
          </w:tcPr>
          <w:p>
            <w:pPr>
              <w:spacing w:after="0"/>
            </w:pPr>
            <w:r>
              <w:rPr>
                <w:rFonts w:ascii="游ゴシック" w:hAnsi="游ゴシック" w:eastAsia="游ゴシック"/>
                <w:b w:val="0"/>
                <w:sz w:val="16"/>
              </w:rPr>
              <w:t>見える化システムの施設・居住系の画面から先へ進めない件</w:t>
            </w:r>
          </w:p>
        </w:tc>
        <w:tc>
          <w:tcPr>
            <w:tcW w:type="dxa" w:w="4649"/>
            <w:shd w:val="clear" w:color="auto" w:fill="F2F5FA"/>
            <w:vAlign w:val="center"/>
          </w:tcPr>
          <w:p>
            <w:pPr>
              <w:spacing w:after="0"/>
            </w:pPr>
            <w:r>
              <w:rPr>
                <w:rFonts w:ascii="游ゴシック" w:hAnsi="游ゴシック" w:eastAsia="游ゴシック"/>
                <w:b w:val="0"/>
                <w:sz w:val="16"/>
              </w:rPr>
              <w:t>見える化システムの推計値は現行の自然体推計のまま、給付費の置き方の対比（③）として掲げた</w:t>
            </w:r>
          </w:p>
        </w:tc>
        <w:tc>
          <w:tcPr>
            <w:tcW w:type="dxa" w:w="1701"/>
            <w:shd w:val="clear" w:color="auto" w:fill="F2F5FA"/>
            <w:vAlign w:val="center"/>
          </w:tcPr>
          <w:p>
            <w:pPr>
              <w:spacing w:after="0"/>
            </w:pPr>
            <w:r>
              <w:rPr>
                <w:rFonts w:ascii="游ゴシック" w:hAnsi="游ゴシック" w:eastAsia="游ゴシック"/>
                <w:b w:val="0"/>
                <w:sz w:val="16"/>
              </w:rPr>
              <w:t>第6章第6節2</w:t>
            </w:r>
          </w:p>
        </w:tc>
      </w:tr>
      <w:tr>
        <w:trPr>
          <w:cantSplit/>
        </w:trPr>
        <w:tc>
          <w:tcPr>
            <w:tcW w:type="dxa" w:w="794"/>
            <w:vAlign w:val="center"/>
          </w:tcPr>
          <w:p>
            <w:pPr>
              <w:spacing w:after="0"/>
              <w:jc w:val="center"/>
            </w:pPr>
            <w:r>
              <w:rPr>
                <w:rFonts w:ascii="游ゴシック" w:hAnsi="游ゴシック" w:eastAsia="游ゴシック"/>
                <w:b w:val="0"/>
                <w:sz w:val="16"/>
              </w:rPr>
              <w:t>No.126</w:t>
            </w:r>
          </w:p>
        </w:tc>
        <w:tc>
          <w:tcPr>
            <w:tcW w:type="dxa" w:w="2608"/>
            <w:vAlign w:val="center"/>
          </w:tcPr>
          <w:p>
            <w:pPr>
              <w:spacing w:after="0"/>
            </w:pPr>
            <w:r>
              <w:rPr>
                <w:rFonts w:ascii="游ゴシック" w:hAnsi="游ゴシック" w:eastAsia="游ゴシック"/>
                <w:b w:val="0"/>
                <w:sz w:val="16"/>
              </w:rPr>
              <w:t>見える化システムの推計方式は基本推計でよいか</w:t>
            </w:r>
          </w:p>
        </w:tc>
        <w:tc>
          <w:tcPr>
            <w:tcW w:type="dxa" w:w="4649"/>
            <w:vAlign w:val="center"/>
          </w:tcPr>
          <w:p>
            <w:pPr>
              <w:spacing w:after="0"/>
            </w:pPr>
            <w:r>
              <w:rPr>
                <w:rFonts w:ascii="游ゴシック" w:hAnsi="游ゴシック" w:eastAsia="游ゴシック"/>
                <w:b w:val="0"/>
                <w:sz w:val="16"/>
              </w:rPr>
              <w:t>年齢階級別の人口に階級別・要介護度別の認定率を乗じる方法（見える化システムの基本推計に近いもの）により算定した</w:t>
            </w:r>
          </w:p>
        </w:tc>
        <w:tc>
          <w:tcPr>
            <w:tcW w:type="dxa" w:w="1701"/>
            <w:vAlign w:val="center"/>
          </w:tcPr>
          <w:p>
            <w:pPr>
              <w:spacing w:after="0"/>
            </w:pPr>
            <w:r>
              <w:rPr>
                <w:rFonts w:ascii="游ゴシック" w:hAnsi="游ゴシック" w:eastAsia="游ゴシック"/>
                <w:b w:val="0"/>
                <w:sz w:val="16"/>
              </w:rPr>
              <w:t>第6章第1節・第2節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No.130</w:t>
            </w:r>
          </w:p>
        </w:tc>
        <w:tc>
          <w:tcPr>
            <w:tcW w:type="dxa" w:w="2608"/>
            <w:shd w:val="clear" w:color="auto" w:fill="F2F5FA"/>
            <w:vAlign w:val="center"/>
          </w:tcPr>
          <w:p>
            <w:pPr>
              <w:spacing w:after="0"/>
            </w:pPr>
            <w:r>
              <w:rPr>
                <w:rFonts w:ascii="游ゴシック" w:hAnsi="游ゴシック" w:eastAsia="游ゴシック"/>
                <w:b w:val="0"/>
                <w:sz w:val="16"/>
              </w:rPr>
              <w:t>認知症基本法第13条の市町村認知症施策推進計画をどう扱うか</w:t>
            </w:r>
          </w:p>
        </w:tc>
        <w:tc>
          <w:tcPr>
            <w:tcW w:type="dxa" w:w="4649"/>
            <w:shd w:val="clear" w:color="auto" w:fill="F2F5FA"/>
            <w:vAlign w:val="center"/>
          </w:tcPr>
          <w:p>
            <w:pPr>
              <w:spacing w:after="0"/>
            </w:pPr>
            <w:r>
              <w:rPr>
                <w:rFonts w:ascii="游ゴシック" w:hAnsi="游ゴシック" w:eastAsia="游ゴシック"/>
                <w:b w:val="0"/>
                <w:sz w:val="16"/>
              </w:rPr>
              <w:t>認知症基本法第13条の市町村認知症施策推進計画は構成3町がそれぞれ策定するものとして反映した</w:t>
            </w:r>
          </w:p>
        </w:tc>
        <w:tc>
          <w:tcPr>
            <w:tcW w:type="dxa" w:w="1701"/>
            <w:shd w:val="clear" w:color="auto" w:fill="F2F5FA"/>
            <w:vAlign w:val="center"/>
          </w:tcPr>
          <w:p>
            <w:pPr>
              <w:spacing w:after="0"/>
            </w:pPr>
            <w:r>
              <w:rPr>
                <w:rFonts w:ascii="游ゴシック" w:hAnsi="游ゴシック" w:eastAsia="游ゴシック"/>
                <w:b w:val="0"/>
                <w:sz w:val="16"/>
              </w:rPr>
              <w:t>第1章第2節・第8節・第5章 基本目標2・資料2</w:t>
            </w:r>
          </w:p>
        </w:tc>
      </w:tr>
      <w:tr>
        <w:trPr>
          <w:cantSplit/>
        </w:trPr>
        <w:tc>
          <w:tcPr>
            <w:tcW w:type="dxa" w:w="794"/>
            <w:vAlign w:val="center"/>
          </w:tcPr>
          <w:p>
            <w:pPr>
              <w:spacing w:after="0"/>
              <w:jc w:val="center"/>
            </w:pPr>
            <w:r>
              <w:rPr>
                <w:rFonts w:ascii="游ゴシック" w:hAnsi="游ゴシック" w:eastAsia="游ゴシック"/>
                <w:b w:val="0"/>
                <w:sz w:val="16"/>
              </w:rPr>
              <w:t>No.104</w:t>
            </w:r>
          </w:p>
        </w:tc>
        <w:tc>
          <w:tcPr>
            <w:tcW w:type="dxa" w:w="2608"/>
            <w:vAlign w:val="center"/>
          </w:tcPr>
          <w:p>
            <w:pPr>
              <w:spacing w:after="0"/>
            </w:pPr>
            <w:r>
              <w:rPr>
                <w:rFonts w:ascii="游ゴシック" w:hAnsi="游ゴシック" w:eastAsia="游ゴシック"/>
                <w:b w:val="0"/>
                <w:sz w:val="16"/>
              </w:rPr>
              <w:t>第10期の単価を令和7年度で固定するか、令和8年度の水準を反映するか</w:t>
            </w:r>
          </w:p>
        </w:tc>
        <w:tc>
          <w:tcPr>
            <w:tcW w:type="dxa" w:w="4649"/>
            <w:vAlign w:val="center"/>
          </w:tcPr>
          <w:p>
            <w:pPr>
              <w:spacing w:after="0"/>
            </w:pPr>
            <w:r>
              <w:rPr>
                <w:rFonts w:ascii="游ゴシック" w:hAnsi="游ゴシック" w:eastAsia="游ゴシック"/>
                <w:b w:val="0"/>
                <w:sz w:val="16"/>
              </w:rPr>
              <w:t>単価を令和7年度で固定し、令和8年度の水準（残差）に置いた場合の月額への効きを据え置きの一覧に示した</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No.109</w:t>
            </w:r>
          </w:p>
        </w:tc>
        <w:tc>
          <w:tcPr>
            <w:tcW w:type="dxa" w:w="2608"/>
            <w:shd w:val="clear" w:color="auto" w:fill="F2F5FA"/>
            <w:vAlign w:val="center"/>
          </w:tcPr>
          <w:p>
            <w:pPr>
              <w:spacing w:after="0"/>
            </w:pPr>
            <w:r>
              <w:rPr>
                <w:rFonts w:ascii="游ゴシック" w:hAnsi="游ゴシック" w:eastAsia="游ゴシック"/>
                <w:b w:val="0"/>
                <w:sz w:val="16"/>
              </w:rPr>
              <w:t>第10期の単価を令和7年度で固定するか、実績の趨勢を置くか</w:t>
            </w:r>
          </w:p>
        </w:tc>
        <w:tc>
          <w:tcPr>
            <w:tcW w:type="dxa" w:w="4649"/>
            <w:shd w:val="clear" w:color="auto" w:fill="F2F5FA"/>
            <w:vAlign w:val="center"/>
          </w:tcPr>
          <w:p>
            <w:pPr>
              <w:spacing w:after="0"/>
            </w:pPr>
            <w:r>
              <w:rPr>
                <w:rFonts w:ascii="游ゴシック" w:hAnsi="游ゴシック" w:eastAsia="游ゴシック"/>
                <w:b w:val="0"/>
                <w:sz w:val="16"/>
              </w:rPr>
              <w:t>単価を令和7年度で固定し、実績の趨勢を置いた場合の月額への効きを併記した</w:t>
            </w:r>
          </w:p>
        </w:tc>
        <w:tc>
          <w:tcPr>
            <w:tcW w:type="dxa" w:w="1701"/>
            <w:shd w:val="clear" w:color="auto" w:fill="F2F5FA"/>
            <w:vAlign w:val="center"/>
          </w:tcPr>
          <w:p>
            <w:pPr>
              <w:spacing w:after="0"/>
            </w:pPr>
            <w:r>
              <w:rPr>
                <w:rFonts w:ascii="游ゴシック" w:hAnsi="游ゴシック" w:eastAsia="游ゴシック"/>
                <w:b w:val="0"/>
                <w:sz w:val="16"/>
              </w:rPr>
              <w:t>第6章第6節2</w:t>
            </w:r>
          </w:p>
        </w:tc>
      </w:tr>
      <w:tr>
        <w:trPr>
          <w:cantSplit/>
        </w:trPr>
        <w:tc>
          <w:tcPr>
            <w:tcW w:type="dxa" w:w="794"/>
            <w:vAlign w:val="center"/>
          </w:tcPr>
          <w:p>
            <w:pPr>
              <w:spacing w:after="0"/>
              <w:jc w:val="center"/>
            </w:pPr>
            <w:r>
              <w:rPr>
                <w:rFonts w:ascii="游ゴシック" w:hAnsi="游ゴシック" w:eastAsia="游ゴシック"/>
                <w:b w:val="0"/>
                <w:sz w:val="16"/>
              </w:rPr>
              <w:t>No.114</w:t>
            </w:r>
          </w:p>
        </w:tc>
        <w:tc>
          <w:tcPr>
            <w:tcW w:type="dxa" w:w="2608"/>
            <w:vAlign w:val="center"/>
          </w:tcPr>
          <w:p>
            <w:pPr>
              <w:spacing w:after="0"/>
            </w:pPr>
            <w:r>
              <w:rPr>
                <w:rFonts w:ascii="游ゴシック" w:hAnsi="游ゴシック" w:eastAsia="游ゴシック"/>
                <w:b w:val="0"/>
                <w:sz w:val="16"/>
              </w:rPr>
              <w:t>令和22年度までの中長期推計をどこまで算定するか</w:t>
            </w:r>
          </w:p>
        </w:tc>
        <w:tc>
          <w:tcPr>
            <w:tcW w:type="dxa" w:w="4649"/>
            <w:vAlign w:val="center"/>
          </w:tcPr>
          <w:p>
            <w:pPr>
              <w:spacing w:after="0"/>
            </w:pPr>
            <w:r>
              <w:rPr>
                <w:rFonts w:ascii="游ゴシック" w:hAnsi="游ゴシック" w:eastAsia="游ゴシック"/>
                <w:b w:val="0"/>
                <w:sz w:val="16"/>
              </w:rPr>
              <w:t>計画本文に掲げる中長期推計は令和17年度・令和22年度とし、見込量・給付費・保険料のいずれも単価を令和7年度で固定して算定した</w:t>
            </w:r>
          </w:p>
        </w:tc>
        <w:tc>
          <w:tcPr>
            <w:tcW w:type="dxa" w:w="1701"/>
            <w:vAlign w:val="center"/>
          </w:tcPr>
          <w:p>
            <w:pPr>
              <w:spacing w:after="0"/>
            </w:pPr>
            <w:r>
              <w:rPr>
                <w:rFonts w:ascii="游ゴシック" w:hAnsi="游ゴシック" w:eastAsia="游ゴシック"/>
                <w:b w:val="0"/>
                <w:sz w:val="16"/>
              </w:rPr>
              <w:t>第6章第1節・第3節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No.132</w:t>
            </w:r>
          </w:p>
        </w:tc>
        <w:tc>
          <w:tcPr>
            <w:tcW w:type="dxa" w:w="2608"/>
            <w:shd w:val="clear" w:color="auto" w:fill="F2F5FA"/>
            <w:vAlign w:val="center"/>
          </w:tcPr>
          <w:p>
            <w:pPr>
              <w:spacing w:after="0"/>
            </w:pPr>
            <w:r>
              <w:rPr>
                <w:rFonts w:ascii="游ゴシック" w:hAnsi="游ゴシック" w:eastAsia="游ゴシック"/>
                <w:b w:val="0"/>
                <w:sz w:val="16"/>
              </w:rPr>
              <w:t>在宅サービスの実績見込み値の編集画面の現在値のご提供</w:t>
            </w:r>
          </w:p>
        </w:tc>
        <w:tc>
          <w:tcPr>
            <w:tcW w:type="dxa" w:w="4649"/>
            <w:shd w:val="clear" w:color="auto" w:fill="F2F5FA"/>
            <w:vAlign w:val="center"/>
          </w:tcPr>
          <w:p>
            <w:pPr>
              <w:spacing w:after="0"/>
            </w:pPr>
            <w:r>
              <w:rPr>
                <w:rFonts w:ascii="游ゴシック" w:hAnsi="游ゴシック" w:eastAsia="游ゴシック"/>
                <w:b w:val="0"/>
                <w:sz w:val="16"/>
              </w:rPr>
              <w:t>在宅サービスの実績見込み値は当方の入力案のまま置いた</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No.142</w:t>
            </w:r>
          </w:p>
        </w:tc>
        <w:tc>
          <w:tcPr>
            <w:tcW w:type="dxa" w:w="2608"/>
            <w:vAlign w:val="center"/>
          </w:tcPr>
          <w:p>
            <w:pPr>
              <w:spacing w:after="0"/>
            </w:pPr>
            <w:r>
              <w:rPr>
                <w:rFonts w:ascii="游ゴシック" w:hAnsi="游ゴシック" w:eastAsia="游ゴシック"/>
                <w:b w:val="0"/>
                <w:sz w:val="16"/>
              </w:rPr>
              <w:t>第1次概算を既定値のまま出してよいか</w:t>
            </w:r>
          </w:p>
        </w:tc>
        <w:tc>
          <w:tcPr>
            <w:tcW w:type="dxa" w:w="4649"/>
            <w:vAlign w:val="center"/>
          </w:tcPr>
          <w:p>
            <w:pPr>
              <w:spacing w:after="0"/>
            </w:pPr>
            <w:r>
              <w:rPr>
                <w:rFonts w:ascii="游ゴシック" w:hAnsi="游ゴシック" w:eastAsia="游ゴシック"/>
                <w:b w:val="0"/>
                <w:sz w:val="16"/>
              </w:rPr>
              <w:t>ご決定をお待ちしている事項は既定値によって算定していることを算定の冒頭に明示した</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No.145</w:t>
            </w:r>
          </w:p>
        </w:tc>
        <w:tc>
          <w:tcPr>
            <w:tcW w:type="dxa" w:w="2608"/>
            <w:shd w:val="clear" w:color="auto" w:fill="F2F5FA"/>
            <w:vAlign w:val="center"/>
          </w:tcPr>
          <w:p>
            <w:pPr>
              <w:spacing w:after="0"/>
            </w:pPr>
            <w:r>
              <w:rPr>
                <w:rFonts w:ascii="游ゴシック" w:hAnsi="游ゴシック" w:eastAsia="游ゴシック"/>
                <w:b w:val="0"/>
                <w:sz w:val="16"/>
              </w:rPr>
              <w:t>計画作成支援ツールと年報のどちらを町別の値に用いるか</w:t>
            </w:r>
          </w:p>
        </w:tc>
        <w:tc>
          <w:tcPr>
            <w:tcW w:type="dxa" w:w="4649"/>
            <w:shd w:val="clear" w:color="auto" w:fill="F2F5FA"/>
            <w:vAlign w:val="center"/>
          </w:tcPr>
          <w:p>
            <w:pPr>
              <w:spacing w:after="0"/>
            </w:pPr>
            <w:r>
              <w:rPr>
                <w:rFonts w:ascii="游ゴシック" w:hAnsi="游ゴシック" w:eastAsia="游ゴシック"/>
                <w:b w:val="0"/>
                <w:sz w:val="16"/>
              </w:rPr>
              <w:t>サービス見込量・給付費・保険料は年報（保険者単位）により算定し、町別データシートは計画作成支援ツールの値のまま示したうえで、3町を足しても年報の値にならない旨を注記した</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No.147</w:t>
            </w:r>
          </w:p>
        </w:tc>
        <w:tc>
          <w:tcPr>
            <w:tcW w:type="dxa" w:w="2608"/>
            <w:vAlign w:val="center"/>
          </w:tcPr>
          <w:p>
            <w:pPr>
              <w:spacing w:after="0"/>
            </w:pPr>
            <w:r>
              <w:rPr>
                <w:rFonts w:ascii="游ゴシック" w:hAnsi="游ゴシック" w:eastAsia="游ゴシック"/>
                <w:b w:val="0"/>
                <w:sz w:val="16"/>
              </w:rPr>
              <w:t>見える化システムの伸びの選択肢をどれとするか</w:t>
            </w:r>
          </w:p>
        </w:tc>
        <w:tc>
          <w:tcPr>
            <w:tcW w:type="dxa" w:w="4649"/>
            <w:vAlign w:val="center"/>
          </w:tcPr>
          <w:p>
            <w:pPr>
              <w:spacing w:after="0"/>
            </w:pPr>
            <w:r>
              <w:rPr>
                <w:rFonts w:ascii="游ゴシック" w:hAnsi="游ゴシック" w:eastAsia="游ゴシック"/>
                <w:b w:val="0"/>
                <w:sz w:val="16"/>
              </w:rPr>
              <w:t>見える化システムの伸びは令和8年度を含まない（令和6年度→令和7年度）を採ったものとして入力値を示した</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No.84</w:t>
            </w:r>
          </w:p>
        </w:tc>
        <w:tc>
          <w:tcPr>
            <w:tcW w:type="dxa" w:w="2608"/>
            <w:shd w:val="clear" w:color="auto" w:fill="F2F5FA"/>
            <w:vAlign w:val="center"/>
          </w:tcPr>
          <w:p>
            <w:pPr>
              <w:spacing w:after="0"/>
            </w:pPr>
            <w:r>
              <w:rPr>
                <w:rFonts w:ascii="游ゴシック" w:hAnsi="游ゴシック" w:eastAsia="游ゴシック"/>
                <w:b w:val="0"/>
                <w:sz w:val="16"/>
              </w:rPr>
              <w:t>東川町の施設整備・サービス提供方針</w:t>
            </w:r>
          </w:p>
        </w:tc>
        <w:tc>
          <w:tcPr>
            <w:tcW w:type="dxa" w:w="4649"/>
            <w:shd w:val="clear" w:color="auto" w:fill="F2F5FA"/>
            <w:vAlign w:val="center"/>
          </w:tcPr>
          <w:p>
            <w:pPr>
              <w:spacing w:after="0"/>
            </w:pPr>
            <w:r>
              <w:rPr>
                <w:rFonts w:ascii="游ゴシック" w:hAnsi="游ゴシック" w:eastAsia="游ゴシック"/>
                <w:b w:val="0"/>
                <w:sz w:val="16"/>
              </w:rPr>
              <w:t>現定員の据え置き案を掲げ、本文は［要協議］のまま残した</w:t>
            </w:r>
          </w:p>
        </w:tc>
        <w:tc>
          <w:tcPr>
            <w:tcW w:type="dxa" w:w="1701"/>
            <w:shd w:val="clear" w:color="auto" w:fill="F2F5FA"/>
            <w:vAlign w:val="center"/>
          </w:tcPr>
          <w:p>
            <w:pPr>
              <w:spacing w:after="0"/>
            </w:pPr>
            <w:r>
              <w:rPr>
                <w:rFonts w:ascii="游ゴシック" w:hAnsi="游ゴシック" w:eastAsia="游ゴシック"/>
                <w:b w:val="0"/>
                <w:sz w:val="16"/>
              </w:rPr>
              <w:t>第6章第4節4</w:t>
            </w:r>
          </w:p>
        </w:tc>
      </w:tr>
      <w:tr>
        <w:trPr>
          <w:cantSplit/>
        </w:trPr>
        <w:tc>
          <w:tcPr>
            <w:tcW w:type="dxa" w:w="794"/>
            <w:vAlign w:val="center"/>
          </w:tcPr>
          <w:p>
            <w:pPr>
              <w:spacing w:after="0"/>
              <w:jc w:val="center"/>
            </w:pPr>
            <w:r>
              <w:rPr>
                <w:rFonts w:ascii="游ゴシック" w:hAnsi="游ゴシック" w:eastAsia="游ゴシック"/>
                <w:b w:val="0"/>
                <w:sz w:val="16"/>
              </w:rPr>
              <w:t>No.116</w:t>
            </w:r>
          </w:p>
        </w:tc>
        <w:tc>
          <w:tcPr>
            <w:tcW w:type="dxa" w:w="2608"/>
            <w:vAlign w:val="center"/>
          </w:tcPr>
          <w:p>
            <w:pPr>
              <w:spacing w:after="0"/>
            </w:pPr>
            <w:r>
              <w:rPr>
                <w:rFonts w:ascii="游ゴシック" w:hAnsi="游ゴシック" w:eastAsia="游ゴシック"/>
                <w:b w:val="0"/>
                <w:sz w:val="16"/>
              </w:rPr>
              <w:t>介護人材の確保状況を供給の制約として見込量に反映するか</w:t>
            </w:r>
          </w:p>
        </w:tc>
        <w:tc>
          <w:tcPr>
            <w:tcW w:type="dxa" w:w="4649"/>
            <w:vAlign w:val="center"/>
          </w:tcPr>
          <w:p>
            <w:pPr>
              <w:spacing w:after="0"/>
            </w:pPr>
            <w:r>
              <w:rPr>
                <w:rFonts w:ascii="游ゴシック" w:hAnsi="游ゴシック" w:eastAsia="游ゴシック"/>
                <w:b w:val="0"/>
                <w:sz w:val="16"/>
              </w:rPr>
              <w:t>供給の制約（人材）を見込量に反映せず、需要のみで算定した旨を注に明示した</w:t>
            </w:r>
          </w:p>
        </w:tc>
        <w:tc>
          <w:tcPr>
            <w:tcW w:type="dxa" w:w="1701"/>
            <w:vAlign w:val="center"/>
          </w:tcPr>
          <w:p>
            <w:pPr>
              <w:spacing w:after="0"/>
            </w:pPr>
            <w:r>
              <w:rPr>
                <w:rFonts w:ascii="游ゴシック" w:hAnsi="游ゴシック" w:eastAsia="游ゴシック"/>
                <w:b w:val="0"/>
                <w:sz w:val="16"/>
              </w:rPr>
              <w:t>第6章第2節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No.152</w:t>
            </w:r>
          </w:p>
        </w:tc>
        <w:tc>
          <w:tcPr>
            <w:tcW w:type="dxa" w:w="2608"/>
            <w:shd w:val="clear" w:color="auto" w:fill="F2F5FA"/>
            <w:vAlign w:val="center"/>
          </w:tcPr>
          <w:p>
            <w:pPr>
              <w:spacing w:after="0"/>
            </w:pPr>
            <w:r>
              <w:rPr>
                <w:rFonts w:ascii="游ゴシック" w:hAnsi="游ゴシック" w:eastAsia="游ゴシック"/>
                <w:b w:val="0"/>
                <w:sz w:val="16"/>
              </w:rPr>
              <w:t>町別の人口の将来推計を計画本文に掲げるか</w:t>
            </w:r>
          </w:p>
        </w:tc>
        <w:tc>
          <w:tcPr>
            <w:tcW w:type="dxa" w:w="4649"/>
            <w:shd w:val="clear" w:color="auto" w:fill="F2F5FA"/>
            <w:vAlign w:val="center"/>
          </w:tcPr>
          <w:p>
            <w:pPr>
              <w:spacing w:after="0"/>
            </w:pPr>
            <w:r>
              <w:rPr>
                <w:rFonts w:ascii="游ゴシック" w:hAnsi="游ゴシック" w:eastAsia="游ゴシック"/>
                <w:b w:val="0"/>
                <w:sz w:val="16"/>
              </w:rPr>
              <w:t>町別の人口の将来推計は計画本文に掲げていない</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No.153</w:t>
            </w:r>
          </w:p>
        </w:tc>
        <w:tc>
          <w:tcPr>
            <w:tcW w:type="dxa" w:w="2608"/>
            <w:vAlign w:val="center"/>
          </w:tcPr>
          <w:p>
            <w:pPr>
              <w:spacing w:after="0"/>
            </w:pPr>
            <w:r>
              <w:rPr>
                <w:rFonts w:ascii="游ゴシック" w:hAnsi="游ゴシック" w:eastAsia="游ゴシック"/>
                <w:b w:val="0"/>
                <w:sz w:val="16"/>
              </w:rPr>
              <w:t>人口の将来推計の方法を案Cからコーホート変化率法に改めるか</w:t>
            </w:r>
          </w:p>
        </w:tc>
        <w:tc>
          <w:tcPr>
            <w:tcW w:type="dxa" w:w="4649"/>
            <w:vAlign w:val="center"/>
          </w:tcPr>
          <w:p>
            <w:pPr>
              <w:spacing w:after="0"/>
            </w:pPr>
            <w:r>
              <w:rPr>
                <w:rFonts w:ascii="游ゴシック" w:hAnsi="游ゴシック" w:eastAsia="游ゴシック"/>
                <w:b w:val="0"/>
                <w:sz w:val="16"/>
              </w:rPr>
              <w:t>人口の将来推計は案C（地方創生総合戦略と住民基本台帳の実績趨勢）によった</w:t>
            </w:r>
          </w:p>
        </w:tc>
        <w:tc>
          <w:tcPr>
            <w:tcW w:type="dxa" w:w="1701"/>
            <w:vAlign w:val="center"/>
          </w:tcPr>
          <w:p>
            <w:pPr>
              <w:spacing w:after="0"/>
            </w:pPr>
            <w:r>
              <w:rPr>
                <w:rFonts w:ascii="游ゴシック" w:hAnsi="游ゴシック" w:eastAsia="游ゴシック"/>
                <w:b w:val="0"/>
                <w:sz w:val="16"/>
              </w:rPr>
              <w:t>第2章第1節・第6章第1節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No.7</w:t>
            </w:r>
          </w:p>
        </w:tc>
        <w:tc>
          <w:tcPr>
            <w:tcW w:type="dxa" w:w="2608"/>
            <w:shd w:val="clear" w:color="auto" w:fill="F2F5FA"/>
            <w:vAlign w:val="center"/>
          </w:tcPr>
          <w:p>
            <w:pPr>
              <w:spacing w:after="0"/>
            </w:pPr>
            <w:r>
              <w:rPr>
                <w:rFonts w:ascii="游ゴシック" w:hAnsi="游ゴシック" w:eastAsia="游ゴシック"/>
                <w:b w:val="0"/>
                <w:sz w:val="16"/>
              </w:rPr>
              <w:t>第9期の自己評価と北海道への報告の実績</w:t>
            </w:r>
          </w:p>
        </w:tc>
        <w:tc>
          <w:tcPr>
            <w:tcW w:type="dxa" w:w="4649"/>
            <w:shd w:val="clear" w:color="auto" w:fill="F2F5FA"/>
            <w:vAlign w:val="center"/>
          </w:tcPr>
          <w:p>
            <w:pPr>
              <w:spacing w:after="0"/>
            </w:pPr>
            <w:r>
              <w:rPr>
                <w:rFonts w:ascii="游ゴシック" w:hAnsi="游ゴシック" w:eastAsia="游ゴシック"/>
                <w:b w:val="0"/>
                <w:sz w:val="16"/>
              </w:rPr>
              <w:t>第9期の自己評価及び北海道への報告の実績は確認できないものとして、毎年度の自己評価の結果を策定委員会へ報告し北海道への報告にも用いることを置いた</w:t>
            </w:r>
          </w:p>
        </w:tc>
        <w:tc>
          <w:tcPr>
            <w:tcW w:type="dxa" w:w="1701"/>
            <w:shd w:val="clear" w:color="auto" w:fill="F2F5FA"/>
            <w:vAlign w:val="center"/>
          </w:tcPr>
          <w:p>
            <w:pPr>
              <w:spacing w:after="0"/>
            </w:pPr>
            <w:r>
              <w:rPr>
                <w:rFonts w:ascii="游ゴシック" w:hAnsi="游ゴシック" w:eastAsia="游ゴシック"/>
                <w:b w:val="0"/>
                <w:sz w:val="16"/>
              </w:rPr>
              <w:t>第1章第6節</w:t>
            </w:r>
          </w:p>
        </w:tc>
      </w:tr>
      <w:tr>
        <w:trPr>
          <w:cantSplit/>
        </w:trPr>
        <w:tc>
          <w:tcPr>
            <w:tcW w:type="dxa" w:w="794"/>
            <w:vAlign w:val="center"/>
          </w:tcPr>
          <w:p>
            <w:pPr>
              <w:spacing w:after="0"/>
              <w:jc w:val="center"/>
            </w:pPr>
            <w:r>
              <w:rPr>
                <w:rFonts w:ascii="游ゴシック" w:hAnsi="游ゴシック" w:eastAsia="游ゴシック"/>
                <w:b w:val="0"/>
                <w:sz w:val="16"/>
              </w:rPr>
              <w:t>No.86</w:t>
            </w:r>
          </w:p>
        </w:tc>
        <w:tc>
          <w:tcPr>
            <w:tcW w:type="dxa" w:w="2608"/>
            <w:vAlign w:val="center"/>
          </w:tcPr>
          <w:p>
            <w:pPr>
              <w:spacing w:after="0"/>
            </w:pPr>
            <w:r>
              <w:rPr>
                <w:rFonts w:ascii="游ゴシック" w:hAnsi="游ゴシック" w:eastAsia="游ゴシック"/>
                <w:b w:val="0"/>
                <w:sz w:val="16"/>
              </w:rPr>
              <w:t>保険者機能強化推進交付金等の交付見込額の保険料収納必要額からの控除</w:t>
            </w:r>
          </w:p>
        </w:tc>
        <w:tc>
          <w:tcPr>
            <w:tcW w:type="dxa" w:w="4649"/>
            <w:vAlign w:val="center"/>
          </w:tcPr>
          <w:p>
            <w:pPr>
              <w:spacing w:after="0"/>
            </w:pPr>
            <w:r>
              <w:rPr>
                <w:rFonts w:ascii="游ゴシック" w:hAnsi="游ゴシック" w:eastAsia="游ゴシック"/>
                <w:b w:val="0"/>
                <w:sz w:val="16"/>
              </w:rPr>
              <w:t>地域支援事業費（B）から交付金を財源とする2事業を除く方法により、保険料収納必要額からの控除は行わない旨（二重控除を避ける）を明示した</w:t>
            </w:r>
          </w:p>
        </w:tc>
        <w:tc>
          <w:tcPr>
            <w:tcW w:type="dxa" w:w="1701"/>
            <w:vAlign w:val="center"/>
          </w:tcPr>
          <w:p>
            <w:pPr>
              <w:spacing w:after="0"/>
            </w:pPr>
            <w:r>
              <w:rPr>
                <w:rFonts w:ascii="游ゴシック" w:hAnsi="游ゴシック" w:eastAsia="游ゴシック"/>
                <w:b w:val="0"/>
                <w:sz w:val="16"/>
              </w:rPr>
              <w:t>第6章第6節2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No.94</w:t>
            </w:r>
          </w:p>
        </w:tc>
        <w:tc>
          <w:tcPr>
            <w:tcW w:type="dxa" w:w="2608"/>
            <w:shd w:val="clear" w:color="auto" w:fill="F2F5FA"/>
            <w:vAlign w:val="center"/>
          </w:tcPr>
          <w:p>
            <w:pPr>
              <w:spacing w:after="0"/>
            </w:pPr>
            <w:r>
              <w:rPr>
                <w:rFonts w:ascii="游ゴシック" w:hAnsi="游ゴシック" w:eastAsia="游ゴシック"/>
                <w:b w:val="0"/>
                <w:sz w:val="16"/>
              </w:rPr>
              <w:t>給付適正化計画の位置づけ（案Bの採用）と毎年度の目標の記載場所</w:t>
            </w:r>
          </w:p>
        </w:tc>
        <w:tc>
          <w:tcPr>
            <w:tcW w:type="dxa" w:w="4649"/>
            <w:shd w:val="clear" w:color="auto" w:fill="F2F5FA"/>
            <w:vAlign w:val="center"/>
          </w:tcPr>
          <w:p>
            <w:pPr>
              <w:spacing w:after="0"/>
            </w:pPr>
            <w:r>
              <w:rPr>
                <w:rFonts w:ascii="游ゴシック" w:hAnsi="游ゴシック" w:eastAsia="游ゴシック"/>
                <w:b w:val="0"/>
                <w:sz w:val="16"/>
              </w:rPr>
              <w:t>給付適正化計画は第9期と同じく施策として置き、施策名のかっこ書きで第7期給付適正化計画であることを示した</w:t>
            </w:r>
          </w:p>
        </w:tc>
        <w:tc>
          <w:tcPr>
            <w:tcW w:type="dxa" w:w="1701"/>
            <w:shd w:val="clear" w:color="auto" w:fill="F2F5FA"/>
            <w:vAlign w:val="center"/>
          </w:tcPr>
          <w:p>
            <w:pPr>
              <w:spacing w:after="0"/>
            </w:pPr>
            <w:r>
              <w:rPr>
                <w:rFonts w:ascii="游ゴシック" w:hAnsi="游ゴシック" w:eastAsia="游ゴシック"/>
                <w:b w:val="0"/>
                <w:sz w:val="16"/>
              </w:rPr>
              <w:t>第1章第2節・第5章 基本目標5・資料5</w:t>
            </w:r>
          </w:p>
        </w:tc>
      </w:tr>
      <w:tr>
        <w:trPr>
          <w:cantSplit/>
        </w:trPr>
        <w:tc>
          <w:tcPr>
            <w:tcW w:type="dxa" w:w="794"/>
            <w:vAlign w:val="center"/>
          </w:tcPr>
          <w:p>
            <w:pPr>
              <w:spacing w:after="0"/>
              <w:jc w:val="center"/>
            </w:pPr>
            <w:r>
              <w:rPr>
                <w:rFonts w:ascii="游ゴシック" w:hAnsi="游ゴシック" w:eastAsia="游ゴシック"/>
                <w:b w:val="0"/>
                <w:sz w:val="16"/>
              </w:rPr>
              <w:t>No.128</w:t>
            </w:r>
          </w:p>
        </w:tc>
        <w:tc>
          <w:tcPr>
            <w:tcW w:type="dxa" w:w="2608"/>
            <w:vAlign w:val="center"/>
          </w:tcPr>
          <w:p>
            <w:pPr>
              <w:spacing w:after="0"/>
            </w:pPr>
            <w:r>
              <w:rPr>
                <w:rFonts w:ascii="游ゴシック" w:hAnsi="游ゴシック" w:eastAsia="游ゴシック"/>
                <w:b w:val="0"/>
                <w:sz w:val="16"/>
              </w:rPr>
              <w:t>令和8年度の実績見込み値を編集するか</w:t>
            </w:r>
          </w:p>
        </w:tc>
        <w:tc>
          <w:tcPr>
            <w:tcW w:type="dxa" w:w="4649"/>
            <w:vAlign w:val="center"/>
          </w:tcPr>
          <w:p>
            <w:pPr>
              <w:spacing w:after="0"/>
            </w:pPr>
            <w:r>
              <w:rPr>
                <w:rFonts w:ascii="游ゴシック" w:hAnsi="游ゴシック" w:eastAsia="游ゴシック"/>
                <w:b w:val="0"/>
                <w:sz w:val="16"/>
              </w:rPr>
              <w:t>見える化システムの令和8年度の実績見込み値は編集しないものとして入力値を示し、当方の算定（令和7年度基準）との差として残した</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No.129</w:t>
            </w:r>
          </w:p>
        </w:tc>
        <w:tc>
          <w:tcPr>
            <w:tcW w:type="dxa" w:w="2608"/>
            <w:shd w:val="clear" w:color="auto" w:fill="F2F5FA"/>
            <w:vAlign w:val="center"/>
          </w:tcPr>
          <w:p>
            <w:pPr>
              <w:spacing w:after="0"/>
            </w:pPr>
            <w:r>
              <w:rPr>
                <w:rFonts w:ascii="游ゴシック" w:hAnsi="游ゴシック" w:eastAsia="游ゴシック"/>
                <w:b w:val="0"/>
                <w:sz w:val="16"/>
              </w:rPr>
              <w:t>見える化システムの利用率等の伸びの選択</w:t>
            </w:r>
          </w:p>
        </w:tc>
        <w:tc>
          <w:tcPr>
            <w:tcW w:type="dxa" w:w="4649"/>
            <w:shd w:val="clear" w:color="auto" w:fill="F2F5FA"/>
            <w:vAlign w:val="center"/>
          </w:tcPr>
          <w:p>
            <w:pPr>
              <w:spacing w:after="0"/>
            </w:pPr>
            <w:r>
              <w:rPr>
                <w:rFonts w:ascii="游ゴシック" w:hAnsi="游ゴシック" w:eastAsia="游ゴシック"/>
                <w:b w:val="0"/>
                <w:sz w:val="16"/>
              </w:rPr>
              <w:t>見える化システムの利用率等の伸びは令和8年度を含まない（令和6年度→令和7年度）を選んだものとして入力値を示した</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No.33</w:t>
            </w:r>
          </w:p>
        </w:tc>
        <w:tc>
          <w:tcPr>
            <w:tcW w:type="dxa" w:w="2608"/>
            <w:vAlign w:val="center"/>
          </w:tcPr>
          <w:p>
            <w:pPr>
              <w:spacing w:after="0"/>
            </w:pPr>
            <w:r>
              <w:rPr>
                <w:rFonts w:ascii="游ゴシック" w:hAnsi="游ゴシック" w:eastAsia="游ゴシック"/>
                <w:b w:val="0"/>
                <w:sz w:val="16"/>
              </w:rPr>
              <w:t>第10期の政令改正の内容（所得段階）</w:t>
            </w:r>
          </w:p>
        </w:tc>
        <w:tc>
          <w:tcPr>
            <w:tcW w:type="dxa" w:w="4649"/>
            <w:vAlign w:val="center"/>
          </w:tcPr>
          <w:p>
            <w:pPr>
              <w:spacing w:after="0"/>
            </w:pPr>
            <w:r>
              <w:rPr>
                <w:rFonts w:ascii="游ゴシック" w:hAnsi="游ゴシック" w:eastAsia="游ゴシック"/>
                <w:b w:val="0"/>
                <w:sz w:val="16"/>
              </w:rPr>
              <w:t>所得段階は第9期の条例による16段階と公費による軽減前の割合を据え置いて算定し、政令の公布後に再算定する旨を明示した</w:t>
            </w:r>
          </w:p>
        </w:tc>
        <w:tc>
          <w:tcPr>
            <w:tcW w:type="dxa" w:w="1701"/>
            <w:vAlign w:val="center"/>
          </w:tcPr>
          <w:p>
            <w:pPr>
              <w:spacing w:after="0"/>
            </w:pPr>
            <w:r>
              <w:rPr>
                <w:rFonts w:ascii="游ゴシック" w:hAnsi="游ゴシック" w:eastAsia="游ゴシック"/>
                <w:b w:val="0"/>
                <w:sz w:val="16"/>
              </w:rPr>
              <w:t>第6章第6節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No.39</w:t>
            </w:r>
          </w:p>
        </w:tc>
        <w:tc>
          <w:tcPr>
            <w:tcW w:type="dxa" w:w="2608"/>
            <w:shd w:val="clear" w:color="auto" w:fill="F2F5FA"/>
            <w:vAlign w:val="center"/>
          </w:tcPr>
          <w:p>
            <w:pPr>
              <w:spacing w:after="0"/>
            </w:pPr>
            <w:r>
              <w:rPr>
                <w:rFonts w:ascii="游ゴシック" w:hAnsi="游ゴシック" w:eastAsia="游ゴシック"/>
                <w:b w:val="0"/>
                <w:sz w:val="16"/>
              </w:rPr>
              <w:t>中間報告・施策体系新旧対照表・骨子案のご確認</w:t>
            </w:r>
          </w:p>
        </w:tc>
        <w:tc>
          <w:tcPr>
            <w:tcW w:type="dxa" w:w="4649"/>
            <w:shd w:val="clear" w:color="auto" w:fill="F2F5FA"/>
            <w:vAlign w:val="center"/>
          </w:tcPr>
          <w:p>
            <w:pPr>
              <w:spacing w:after="0"/>
            </w:pPr>
            <w:r>
              <w:rPr>
                <w:rFonts w:ascii="游ゴシック" w:hAnsi="游ゴシック" w:eastAsia="游ゴシック"/>
                <w:b w:val="0"/>
                <w:sz w:val="16"/>
              </w:rPr>
              <w:t>代表KPIは第9期計画の目標指標を引き継ぎ、別の指標を新たに起こしていないこと及び改称により第9期の系列と接続しないことを明示した</w:t>
            </w:r>
          </w:p>
        </w:tc>
        <w:tc>
          <w:tcPr>
            <w:tcW w:type="dxa" w:w="1701"/>
            <w:shd w:val="clear" w:color="auto" w:fill="F2F5FA"/>
            <w:vAlign w:val="center"/>
          </w:tcPr>
          <w:p>
            <w:pPr>
              <w:spacing w:after="0"/>
            </w:pPr>
            <w:r>
              <w:rPr>
                <w:rFonts w:ascii="游ゴシック" w:hAnsi="游ゴシック" w:eastAsia="游ゴシック"/>
                <w:b w:val="0"/>
                <w:sz w:val="16"/>
              </w:rPr>
              <w:t>第4章第3節</w:t>
            </w:r>
          </w:p>
        </w:tc>
      </w:tr>
      <w:tr>
        <w:trPr>
          <w:cantSplit/>
        </w:trPr>
        <w:tc>
          <w:tcPr>
            <w:tcW w:type="dxa" w:w="794"/>
            <w:vAlign w:val="center"/>
          </w:tcPr>
          <w:p>
            <w:pPr>
              <w:spacing w:after="0"/>
              <w:jc w:val="center"/>
            </w:pPr>
            <w:r>
              <w:rPr>
                <w:rFonts w:ascii="游ゴシック" w:hAnsi="游ゴシック" w:eastAsia="游ゴシック"/>
                <w:b w:val="0"/>
                <w:sz w:val="16"/>
              </w:rPr>
              <w:t>No.40</w:t>
            </w:r>
          </w:p>
        </w:tc>
        <w:tc>
          <w:tcPr>
            <w:tcW w:type="dxa" w:w="2608"/>
            <w:vAlign w:val="center"/>
          </w:tcPr>
          <w:p>
            <w:pPr>
              <w:spacing w:after="0"/>
            </w:pPr>
            <w:r>
              <w:rPr>
                <w:rFonts w:ascii="游ゴシック" w:hAnsi="游ゴシック" w:eastAsia="游ゴシック"/>
                <w:b w:val="0"/>
                <w:sz w:val="16"/>
              </w:rPr>
              <w:t>社会資源一覧の従業員数の重複計上の扱い</w:t>
            </w:r>
          </w:p>
        </w:tc>
        <w:tc>
          <w:tcPr>
            <w:tcW w:type="dxa" w:w="4649"/>
            <w:vAlign w:val="center"/>
          </w:tcPr>
          <w:p>
            <w:pPr>
              <w:spacing w:after="0"/>
            </w:pPr>
            <w:r>
              <w:rPr>
                <w:rFonts w:ascii="游ゴシック" w:hAnsi="游ゴシック" w:eastAsia="游ゴシック"/>
                <w:b w:val="0"/>
                <w:sz w:val="16"/>
              </w:rPr>
              <w:t>社会資源一覧の従業員数は延べの値となるため、供給の担い手の分析には施設単位の実人数を用いる旨を注に明示した</w:t>
            </w:r>
          </w:p>
        </w:tc>
        <w:tc>
          <w:tcPr>
            <w:tcW w:type="dxa" w:w="1701"/>
            <w:vAlign w:val="center"/>
          </w:tcPr>
          <w:p>
            <w:pPr>
              <w:spacing w:after="0"/>
            </w:pPr>
            <w:r>
              <w:rPr>
                <w:rFonts w:ascii="游ゴシック" w:hAnsi="游ゴシック" w:eastAsia="游ゴシック"/>
                <w:b w:val="0"/>
                <w:sz w:val="16"/>
              </w:rPr>
              <w:t>第2章第3節5</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No.43</w:t>
            </w:r>
          </w:p>
        </w:tc>
        <w:tc>
          <w:tcPr>
            <w:tcW w:type="dxa" w:w="2608"/>
            <w:shd w:val="clear" w:color="auto" w:fill="F2F5FA"/>
            <w:vAlign w:val="center"/>
          </w:tcPr>
          <w:p>
            <w:pPr>
              <w:spacing w:after="0"/>
            </w:pPr>
            <w:r>
              <w:rPr>
                <w:rFonts w:ascii="游ゴシック" w:hAnsi="游ゴシック" w:eastAsia="游ゴシック"/>
                <w:b w:val="0"/>
                <w:sz w:val="16"/>
              </w:rPr>
              <w:t>認定に要する日数の扱い</w:t>
            </w:r>
          </w:p>
        </w:tc>
        <w:tc>
          <w:tcPr>
            <w:tcW w:type="dxa" w:w="4649"/>
            <w:shd w:val="clear" w:color="auto" w:fill="F2F5FA"/>
            <w:vAlign w:val="center"/>
          </w:tcPr>
          <w:p>
            <w:pPr>
              <w:spacing w:after="0"/>
            </w:pPr>
            <w:r>
              <w:rPr>
                <w:rFonts w:ascii="游ゴシック" w:hAnsi="游ゴシック" w:eastAsia="游ゴシック"/>
                <w:b w:val="0"/>
                <w:sz w:val="16"/>
              </w:rPr>
              <w:t>申請から二次判定までの平均所要日数が法定の30日を上回っていることを掲げ、期間の短縮を要介護認定の適正化の取組に加えた</w:t>
            </w:r>
          </w:p>
        </w:tc>
        <w:tc>
          <w:tcPr>
            <w:tcW w:type="dxa" w:w="1701"/>
            <w:shd w:val="clear" w:color="auto" w:fill="F2F5FA"/>
            <w:vAlign w:val="center"/>
          </w:tcPr>
          <w:p>
            <w:pPr>
              <w:spacing w:after="0"/>
            </w:pPr>
            <w:r>
              <w:rPr>
                <w:rFonts w:ascii="游ゴシック" w:hAnsi="游ゴシック" w:eastAsia="游ゴシック"/>
                <w:b w:val="0"/>
                <w:sz w:val="16"/>
              </w:rPr>
              <w:t>第2章第1節3・第5章 基本目標5</w:t>
            </w:r>
          </w:p>
        </w:tc>
      </w:tr>
      <w:tr>
        <w:trPr>
          <w:cantSplit/>
        </w:trPr>
        <w:tc>
          <w:tcPr>
            <w:tcW w:type="dxa" w:w="794"/>
            <w:vAlign w:val="center"/>
          </w:tcPr>
          <w:p>
            <w:pPr>
              <w:spacing w:after="0"/>
              <w:jc w:val="center"/>
            </w:pPr>
            <w:r>
              <w:rPr>
                <w:rFonts w:ascii="游ゴシック" w:hAnsi="游ゴシック" w:eastAsia="游ゴシック"/>
                <w:b w:val="0"/>
                <w:sz w:val="16"/>
              </w:rPr>
              <w:t>No.45</w:t>
            </w:r>
          </w:p>
        </w:tc>
        <w:tc>
          <w:tcPr>
            <w:tcW w:type="dxa" w:w="2608"/>
            <w:vAlign w:val="center"/>
          </w:tcPr>
          <w:p>
            <w:pPr>
              <w:spacing w:after="0"/>
            </w:pPr>
            <w:r>
              <w:rPr>
                <w:rFonts w:ascii="游ゴシック" w:hAnsi="游ゴシック" w:eastAsia="游ゴシック"/>
                <w:b w:val="0"/>
                <w:sz w:val="16"/>
              </w:rPr>
              <w:t>代表KPI H15の分母の定義</w:t>
            </w:r>
          </w:p>
        </w:tc>
        <w:tc>
          <w:tcPr>
            <w:tcW w:type="dxa" w:w="4649"/>
            <w:vAlign w:val="center"/>
          </w:tcPr>
          <w:p>
            <w:pPr>
              <w:spacing w:after="0"/>
            </w:pPr>
            <w:r>
              <w:rPr>
                <w:rFonts w:ascii="游ゴシック" w:hAnsi="游ゴシック" w:eastAsia="游ゴシック"/>
                <w:b w:val="0"/>
                <w:sz w:val="16"/>
              </w:rPr>
              <w:t>代表KPI H15の分母を計画の標準給付費見込額とし、実績側は介護保険特別会計決算の保険給付費によることとした</w:t>
            </w:r>
          </w:p>
        </w:tc>
        <w:tc>
          <w:tcPr>
            <w:tcW w:type="dxa" w:w="1701"/>
            <w:vAlign w:val="center"/>
          </w:tcPr>
          <w:p>
            <w:pPr>
              <w:spacing w:after="0"/>
            </w:pPr>
            <w:r>
              <w:rPr>
                <w:rFonts w:ascii="游ゴシック" w:hAnsi="游ゴシック" w:eastAsia="游ゴシック"/>
                <w:b w:val="0"/>
                <w:sz w:val="16"/>
              </w:rPr>
              <w:t>第4章第3節・第5章 基本目標5・資料1</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No.57</w:t>
            </w:r>
          </w:p>
        </w:tc>
        <w:tc>
          <w:tcPr>
            <w:tcW w:type="dxa" w:w="2608"/>
            <w:shd w:val="clear" w:color="auto" w:fill="F2F5FA"/>
            <w:vAlign w:val="center"/>
          </w:tcPr>
          <w:p>
            <w:pPr>
              <w:spacing w:after="0"/>
            </w:pPr>
            <w:r>
              <w:rPr>
                <w:rFonts w:ascii="游ゴシック" w:hAnsi="游ゴシック" w:eastAsia="游ゴシック"/>
                <w:b w:val="0"/>
                <w:sz w:val="16"/>
              </w:rPr>
              <w:t>計画値を0としたサービスに実績がある2件</w:t>
            </w:r>
          </w:p>
        </w:tc>
        <w:tc>
          <w:tcPr>
            <w:tcW w:type="dxa" w:w="4649"/>
            <w:shd w:val="clear" w:color="auto" w:fill="F2F5FA"/>
            <w:vAlign w:val="center"/>
          </w:tcPr>
          <w:p>
            <w:pPr>
              <w:spacing w:after="0"/>
            </w:pPr>
            <w:r>
              <w:rPr>
                <w:rFonts w:ascii="游ゴシック" w:hAnsi="游ゴシック" w:eastAsia="游ゴシック"/>
                <w:b w:val="0"/>
                <w:sz w:val="16"/>
              </w:rPr>
              <w:t>第9期に計画値を0としていた認知症対応型通所介護は算定値を置き、介護療養型医療施設は計上しないこととした</w:t>
            </w:r>
          </w:p>
        </w:tc>
        <w:tc>
          <w:tcPr>
            <w:tcW w:type="dxa" w:w="1701"/>
            <w:shd w:val="clear" w:color="auto" w:fill="F2F5FA"/>
            <w:vAlign w:val="center"/>
          </w:tcPr>
          <w:p>
            <w:pPr>
              <w:spacing w:after="0"/>
            </w:pPr>
            <w:r>
              <w:rPr>
                <w:rFonts w:ascii="游ゴシック" w:hAnsi="游ゴシック" w:eastAsia="游ゴシック"/>
                <w:b w:val="0"/>
                <w:sz w:val="16"/>
              </w:rPr>
              <w:t>第6章第2節</w:t>
            </w:r>
          </w:p>
        </w:tc>
      </w:tr>
      <w:tr>
        <w:trPr>
          <w:cantSplit/>
        </w:trPr>
        <w:tc>
          <w:tcPr>
            <w:tcW w:type="dxa" w:w="794"/>
            <w:vAlign w:val="center"/>
          </w:tcPr>
          <w:p>
            <w:pPr>
              <w:spacing w:after="0"/>
              <w:jc w:val="center"/>
            </w:pPr>
            <w:r>
              <w:rPr>
                <w:rFonts w:ascii="游ゴシック" w:hAnsi="游ゴシック" w:eastAsia="游ゴシック"/>
                <w:b w:val="0"/>
                <w:sz w:val="16"/>
              </w:rPr>
              <w:t>No.58</w:t>
            </w:r>
          </w:p>
        </w:tc>
        <w:tc>
          <w:tcPr>
            <w:tcW w:type="dxa" w:w="2608"/>
            <w:vAlign w:val="center"/>
          </w:tcPr>
          <w:p>
            <w:pPr>
              <w:spacing w:after="0"/>
            </w:pPr>
            <w:r>
              <w:rPr>
                <w:rFonts w:ascii="游ゴシック" w:hAnsi="游ゴシック" w:eastAsia="游ゴシック"/>
                <w:b w:val="0"/>
                <w:sz w:val="16"/>
              </w:rPr>
              <w:t>定期巡回・随時対応型訪問介護看護の第10期の取扱い</w:t>
            </w:r>
          </w:p>
        </w:tc>
        <w:tc>
          <w:tcPr>
            <w:tcW w:type="dxa" w:w="4649"/>
            <w:vAlign w:val="center"/>
          </w:tcPr>
          <w:p>
            <w:pPr>
              <w:spacing w:after="0"/>
            </w:pPr>
            <w:r>
              <w:rPr>
                <w:rFonts w:ascii="游ゴシック" w:hAnsi="游ゴシック" w:eastAsia="游ゴシック"/>
                <w:b w:val="0"/>
                <w:sz w:val="16"/>
              </w:rPr>
              <w:t>定期巡回・随時対応型訪問介護看護及び看護小規模多機能型居宅介護は自然体の算定値を置き、整備又は事業の実施による上乗せは含めないこととした</w:t>
            </w:r>
          </w:p>
        </w:tc>
        <w:tc>
          <w:tcPr>
            <w:tcW w:type="dxa" w:w="1701"/>
            <w:vAlign w:val="center"/>
          </w:tcPr>
          <w:p>
            <w:pPr>
              <w:spacing w:after="0"/>
            </w:pPr>
            <w:r>
              <w:rPr>
                <w:rFonts w:ascii="游ゴシック" w:hAnsi="游ゴシック" w:eastAsia="游ゴシック"/>
                <w:b w:val="0"/>
                <w:sz w:val="16"/>
              </w:rPr>
              <w:t>第6章第2節・第4節1</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No.63</w:t>
            </w:r>
          </w:p>
        </w:tc>
        <w:tc>
          <w:tcPr>
            <w:tcW w:type="dxa" w:w="2608"/>
            <w:shd w:val="clear" w:color="auto" w:fill="F2F5FA"/>
            <w:vAlign w:val="center"/>
          </w:tcPr>
          <w:p>
            <w:pPr>
              <w:spacing w:after="0"/>
            </w:pPr>
            <w:r>
              <w:rPr>
                <w:rFonts w:ascii="游ゴシック" w:hAnsi="游ゴシック" w:eastAsia="游ゴシック"/>
                <w:b w:val="0"/>
                <w:sz w:val="16"/>
              </w:rPr>
              <w:t>人口推計の基礎を総合戦略とするご指示への対応</w:t>
            </w:r>
          </w:p>
        </w:tc>
        <w:tc>
          <w:tcPr>
            <w:tcW w:type="dxa" w:w="4649"/>
            <w:shd w:val="clear" w:color="auto" w:fill="F2F5FA"/>
            <w:vAlign w:val="center"/>
          </w:tcPr>
          <w:p>
            <w:pPr>
              <w:spacing w:after="0"/>
            </w:pPr>
            <w:r>
              <w:rPr>
                <w:rFonts w:ascii="游ゴシック" w:hAnsi="游ゴシック" w:eastAsia="游ゴシック"/>
                <w:b w:val="0"/>
                <w:sz w:val="16"/>
              </w:rPr>
              <w:t>人口の基礎は案C（地方創生総合戦略と住民基本台帳の実績趨勢）のままとし、3町の人口目標を一律に用いられない理由を注に明示した</w:t>
            </w:r>
          </w:p>
        </w:tc>
        <w:tc>
          <w:tcPr>
            <w:tcW w:type="dxa" w:w="1701"/>
            <w:shd w:val="clear" w:color="auto" w:fill="F2F5FA"/>
            <w:vAlign w:val="center"/>
          </w:tcPr>
          <w:p>
            <w:pPr>
              <w:spacing w:after="0"/>
            </w:pPr>
            <w:r>
              <w:rPr>
                <w:rFonts w:ascii="游ゴシック" w:hAnsi="游ゴシック" w:eastAsia="游ゴシック"/>
                <w:b w:val="0"/>
                <w:sz w:val="16"/>
              </w:rPr>
              <w:t>第2章第1節・第6章第1節</w:t>
            </w:r>
          </w:p>
        </w:tc>
      </w:tr>
      <w:tr>
        <w:trPr>
          <w:cantSplit/>
        </w:trPr>
        <w:tc>
          <w:tcPr>
            <w:tcW w:type="dxa" w:w="794"/>
            <w:vAlign w:val="center"/>
          </w:tcPr>
          <w:p>
            <w:pPr>
              <w:spacing w:after="0"/>
              <w:jc w:val="center"/>
            </w:pPr>
            <w:r>
              <w:rPr>
                <w:rFonts w:ascii="游ゴシック" w:hAnsi="游ゴシック" w:eastAsia="游ゴシック"/>
                <w:b w:val="0"/>
                <w:sz w:val="16"/>
              </w:rPr>
              <w:t>No.65</w:t>
            </w:r>
          </w:p>
        </w:tc>
        <w:tc>
          <w:tcPr>
            <w:tcW w:type="dxa" w:w="2608"/>
            <w:vAlign w:val="center"/>
          </w:tcPr>
          <w:p>
            <w:pPr>
              <w:spacing w:after="0"/>
            </w:pPr>
            <w:r>
              <w:rPr>
                <w:rFonts w:ascii="游ゴシック" w:hAnsi="游ゴシック" w:eastAsia="游ゴシック"/>
                <w:b w:val="0"/>
                <w:sz w:val="16"/>
              </w:rPr>
              <w:t>広域連合において行うべき事業の優先順位</w:t>
            </w:r>
          </w:p>
        </w:tc>
        <w:tc>
          <w:tcPr>
            <w:tcW w:type="dxa" w:w="4649"/>
            <w:vAlign w:val="center"/>
          </w:tcPr>
          <w:p>
            <w:pPr>
              <w:spacing w:after="0"/>
            </w:pPr>
            <w:r>
              <w:rPr>
                <w:rFonts w:ascii="游ゴシック" w:hAnsi="游ゴシック" w:eastAsia="游ゴシック"/>
                <w:b w:val="0"/>
                <w:sz w:val="16"/>
              </w:rPr>
              <w:t>広域連合において行うべき事業の優先順位は当方の案のままとし、計画には優先順位そのものを掲げていない</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No.66</w:t>
            </w:r>
          </w:p>
        </w:tc>
        <w:tc>
          <w:tcPr>
            <w:tcW w:type="dxa" w:w="2608"/>
            <w:shd w:val="clear" w:color="auto" w:fill="F2F5FA"/>
            <w:vAlign w:val="center"/>
          </w:tcPr>
          <w:p>
            <w:pPr>
              <w:spacing w:after="0"/>
            </w:pPr>
            <w:r>
              <w:rPr>
                <w:rFonts w:ascii="游ゴシック" w:hAnsi="游ゴシック" w:eastAsia="游ゴシック"/>
                <w:b w:val="0"/>
                <w:sz w:val="16"/>
              </w:rPr>
              <w:t>サービスガイドに掲載する事業所の範囲</w:t>
            </w:r>
          </w:p>
        </w:tc>
        <w:tc>
          <w:tcPr>
            <w:tcW w:type="dxa" w:w="4649"/>
            <w:shd w:val="clear" w:color="auto" w:fill="F2F5FA"/>
            <w:vAlign w:val="center"/>
          </w:tcPr>
          <w:p>
            <w:pPr>
              <w:spacing w:after="0"/>
            </w:pPr>
            <w:r>
              <w:rPr>
                <w:rFonts w:ascii="游ゴシック" w:hAnsi="游ゴシック" w:eastAsia="游ゴシック"/>
                <w:b w:val="0"/>
                <w:sz w:val="16"/>
              </w:rPr>
              <w:t>掲載する事業所の範囲は北海道の指定事業所一覧（最新のもの）によることとし、出所により事業所数が異なることは時点と把握の範囲の違いによる旨を注に明示した</w:t>
            </w:r>
          </w:p>
        </w:tc>
        <w:tc>
          <w:tcPr>
            <w:tcW w:type="dxa" w:w="1701"/>
            <w:shd w:val="clear" w:color="auto" w:fill="F2F5FA"/>
            <w:vAlign w:val="center"/>
          </w:tcPr>
          <w:p>
            <w:pPr>
              <w:spacing w:after="0"/>
            </w:pPr>
            <w:r>
              <w:rPr>
                <w:rFonts w:ascii="游ゴシック" w:hAnsi="游ゴシック" w:eastAsia="游ゴシック"/>
                <w:b w:val="0"/>
                <w:sz w:val="16"/>
              </w:rPr>
              <w:t>第2章第3節</w:t>
            </w:r>
          </w:p>
        </w:tc>
      </w:tr>
      <w:tr>
        <w:trPr>
          <w:cantSplit/>
        </w:trPr>
        <w:tc>
          <w:tcPr>
            <w:tcW w:type="dxa" w:w="794"/>
            <w:vAlign w:val="center"/>
          </w:tcPr>
          <w:p>
            <w:pPr>
              <w:spacing w:after="0"/>
              <w:jc w:val="center"/>
            </w:pPr>
            <w:r>
              <w:rPr>
                <w:rFonts w:ascii="游ゴシック" w:hAnsi="游ゴシック" w:eastAsia="游ゴシック"/>
                <w:b w:val="0"/>
                <w:sz w:val="16"/>
              </w:rPr>
              <w:t>No.67</w:t>
            </w:r>
          </w:p>
        </w:tc>
        <w:tc>
          <w:tcPr>
            <w:tcW w:type="dxa" w:w="2608"/>
            <w:vAlign w:val="center"/>
          </w:tcPr>
          <w:p>
            <w:pPr>
              <w:spacing w:after="0"/>
            </w:pPr>
            <w:r>
              <w:rPr>
                <w:rFonts w:ascii="游ゴシック" w:hAnsi="游ゴシック" w:eastAsia="游ゴシック"/>
                <w:b w:val="0"/>
                <w:sz w:val="16"/>
              </w:rPr>
              <w:t>算定方法の国の様式との整合（点検結果）</w:t>
            </w:r>
          </w:p>
        </w:tc>
        <w:tc>
          <w:tcPr>
            <w:tcW w:type="dxa" w:w="4649"/>
            <w:vAlign w:val="center"/>
          </w:tcPr>
          <w:p>
            <w:pPr>
              <w:spacing w:after="0"/>
            </w:pPr>
            <w:r>
              <w:rPr>
                <w:rFonts w:ascii="游ゴシック" w:hAnsi="游ゴシック" w:eastAsia="游ゴシック"/>
                <w:b w:val="0"/>
                <w:sz w:val="16"/>
              </w:rPr>
              <w:t>当方の算定のまま進め、国の様式との対応は別に対照表として掲げることとし、その所在を第6章第6節の注に示した</w:t>
            </w:r>
          </w:p>
        </w:tc>
        <w:tc>
          <w:tcPr>
            <w:tcW w:type="dxa" w:w="1701"/>
            <w:vAlign w:val="center"/>
          </w:tcPr>
          <w:p>
            <w:pPr>
              <w:spacing w:after="0"/>
            </w:pPr>
            <w:r>
              <w:rPr>
                <w:rFonts w:ascii="游ゴシック" w:hAnsi="游ゴシック" w:eastAsia="游ゴシック"/>
                <w:b w:val="0"/>
                <w:sz w:val="16"/>
              </w:rPr>
              <w:t>第6章第3節・第6節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No.68</w:t>
            </w:r>
          </w:p>
        </w:tc>
        <w:tc>
          <w:tcPr>
            <w:tcW w:type="dxa" w:w="2608"/>
            <w:shd w:val="clear" w:color="auto" w:fill="F2F5FA"/>
            <w:vAlign w:val="center"/>
          </w:tcPr>
          <w:p>
            <w:pPr>
              <w:spacing w:after="0"/>
            </w:pPr>
            <w:r>
              <w:rPr>
                <w:rFonts w:ascii="游ゴシック" w:hAnsi="游ゴシック" w:eastAsia="游ゴシック"/>
                <w:b w:val="0"/>
                <w:sz w:val="16"/>
              </w:rPr>
              <w:t>見える化システムの自然体推計の再出力のお願い</w:t>
            </w:r>
          </w:p>
        </w:tc>
        <w:tc>
          <w:tcPr>
            <w:tcW w:type="dxa" w:w="4649"/>
            <w:shd w:val="clear" w:color="auto" w:fill="F2F5FA"/>
            <w:vAlign w:val="center"/>
          </w:tcPr>
          <w:p>
            <w:pPr>
              <w:spacing w:after="0"/>
            </w:pPr>
            <w:r>
              <w:rPr>
                <w:rFonts w:ascii="游ゴシック" w:hAnsi="游ゴシック" w:eastAsia="游ゴシック"/>
                <w:b w:val="0"/>
                <w:sz w:val="16"/>
              </w:rPr>
              <w:t>見える化システムの自然体推計の再出力を受けられないものとして、当方の要介護度別の算定を採り、見える化システムの値は社人研の推計人口を基礎とするものである旨を給付費の置き方の対比に明示した</w:t>
            </w:r>
          </w:p>
        </w:tc>
        <w:tc>
          <w:tcPr>
            <w:tcW w:type="dxa" w:w="1701"/>
            <w:shd w:val="clear" w:color="auto" w:fill="F2F5FA"/>
            <w:vAlign w:val="center"/>
          </w:tcPr>
          <w:p>
            <w:pPr>
              <w:spacing w:after="0"/>
            </w:pPr>
            <w:r>
              <w:rPr>
                <w:rFonts w:ascii="游ゴシック" w:hAnsi="游ゴシック" w:eastAsia="游ゴシック"/>
                <w:b w:val="0"/>
                <w:sz w:val="16"/>
              </w:rPr>
              <w:t>第6章第6節2</w:t>
            </w:r>
          </w:p>
        </w:tc>
      </w:tr>
      <w:tr>
        <w:trPr>
          <w:cantSplit/>
        </w:trPr>
        <w:tc>
          <w:tcPr>
            <w:tcW w:type="dxa" w:w="794"/>
            <w:vAlign w:val="center"/>
          </w:tcPr>
          <w:p>
            <w:pPr>
              <w:spacing w:after="0"/>
              <w:jc w:val="center"/>
            </w:pPr>
            <w:r>
              <w:rPr>
                <w:rFonts w:ascii="游ゴシック" w:hAnsi="游ゴシック" w:eastAsia="游ゴシック"/>
                <w:b w:val="0"/>
                <w:sz w:val="16"/>
              </w:rPr>
              <w:t>No.70</w:t>
            </w:r>
          </w:p>
        </w:tc>
        <w:tc>
          <w:tcPr>
            <w:tcW w:type="dxa" w:w="2608"/>
            <w:vAlign w:val="center"/>
          </w:tcPr>
          <w:p>
            <w:pPr>
              <w:spacing w:after="0"/>
            </w:pPr>
            <w:r>
              <w:rPr>
                <w:rFonts w:ascii="游ゴシック" w:hAnsi="游ゴシック" w:eastAsia="游ゴシック"/>
                <w:b w:val="0"/>
                <w:sz w:val="16"/>
              </w:rPr>
              <w:t>交付金の全国順位の計画本文への掲載</w:t>
            </w:r>
          </w:p>
        </w:tc>
        <w:tc>
          <w:tcPr>
            <w:tcW w:type="dxa" w:w="4649"/>
            <w:vAlign w:val="center"/>
          </w:tcPr>
          <w:p>
            <w:pPr>
              <w:spacing w:after="0"/>
            </w:pPr>
            <w:r>
              <w:rPr>
                <w:rFonts w:ascii="游ゴシック" w:hAnsi="游ゴシック" w:eastAsia="游ゴシック"/>
                <w:b w:val="0"/>
                <w:sz w:val="16"/>
              </w:rPr>
              <w:t>保険者機能強化推進交付金等の全国順位は計画本文に掲げず、策定委員会の資料にとどめた（第3章第4節は対全国比までを掲げる）</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No.73</w:t>
            </w:r>
          </w:p>
        </w:tc>
        <w:tc>
          <w:tcPr>
            <w:tcW w:type="dxa" w:w="2608"/>
            <w:shd w:val="clear" w:color="auto" w:fill="F2F5FA"/>
            <w:vAlign w:val="center"/>
          </w:tcPr>
          <w:p>
            <w:pPr>
              <w:spacing w:after="0"/>
            </w:pPr>
            <w:r>
              <w:rPr>
                <w:rFonts w:ascii="游ゴシック" w:hAnsi="游ゴシック" w:eastAsia="游ゴシック"/>
                <w:b w:val="0"/>
                <w:sz w:val="16"/>
              </w:rPr>
              <w:t>ケアプラン点検実施要領（案）の確定に要する事項</w:t>
            </w:r>
          </w:p>
        </w:tc>
        <w:tc>
          <w:tcPr>
            <w:tcW w:type="dxa" w:w="4649"/>
            <w:shd w:val="clear" w:color="auto" w:fill="F2F5FA"/>
            <w:vAlign w:val="center"/>
          </w:tcPr>
          <w:p>
            <w:pPr>
              <w:spacing w:after="0"/>
            </w:pPr>
            <w:r>
              <w:rPr>
                <w:rFonts w:ascii="游ゴシック" w:hAnsi="游ゴシック" w:eastAsia="游ゴシック"/>
                <w:b w:val="0"/>
                <w:sz w:val="16"/>
              </w:rPr>
              <w:t>ケアプラン点検実施要領は協議資料にとどめ、計画本文には令和9年度当初に実施要領を定めることと点検件数・改善率・再指摘率の目標のみを掲げた</w:t>
            </w:r>
          </w:p>
        </w:tc>
        <w:tc>
          <w:tcPr>
            <w:tcW w:type="dxa" w:w="1701"/>
            <w:shd w:val="clear" w:color="auto" w:fill="F2F5FA"/>
            <w:vAlign w:val="center"/>
          </w:tcPr>
          <w:p>
            <w:pPr>
              <w:spacing w:after="0"/>
            </w:pPr>
            <w:r>
              <w:rPr>
                <w:rFonts w:ascii="游ゴシック" w:hAnsi="游ゴシック" w:eastAsia="游ゴシック"/>
                <w:b w:val="0"/>
                <w:sz w:val="16"/>
              </w:rPr>
              <w:t>第5章 基本目標5</w:t>
            </w:r>
          </w:p>
        </w:tc>
      </w:tr>
      <w:tr>
        <w:trPr>
          <w:cantSplit/>
        </w:trPr>
        <w:tc>
          <w:tcPr>
            <w:tcW w:type="dxa" w:w="794"/>
            <w:vAlign w:val="center"/>
          </w:tcPr>
          <w:p>
            <w:pPr>
              <w:spacing w:after="0"/>
              <w:jc w:val="center"/>
            </w:pPr>
            <w:r>
              <w:rPr>
                <w:rFonts w:ascii="游ゴシック" w:hAnsi="游ゴシック" w:eastAsia="游ゴシック"/>
                <w:b w:val="0"/>
                <w:sz w:val="16"/>
              </w:rPr>
              <w:t>No.75</w:t>
            </w:r>
          </w:p>
        </w:tc>
        <w:tc>
          <w:tcPr>
            <w:tcW w:type="dxa" w:w="2608"/>
            <w:vAlign w:val="center"/>
          </w:tcPr>
          <w:p>
            <w:pPr>
              <w:spacing w:after="0"/>
            </w:pPr>
            <w:r>
              <w:rPr>
                <w:rFonts w:ascii="游ゴシック" w:hAnsi="游ゴシック" w:eastAsia="游ゴシック"/>
                <w:b w:val="0"/>
                <w:sz w:val="16"/>
              </w:rPr>
              <w:t>代表KPIと改善事項の再整理案</w:t>
            </w:r>
          </w:p>
        </w:tc>
        <w:tc>
          <w:tcPr>
            <w:tcW w:type="dxa" w:w="4649"/>
            <w:vAlign w:val="center"/>
          </w:tcPr>
          <w:p>
            <w:pPr>
              <w:spacing w:after="0"/>
            </w:pPr>
            <w:r>
              <w:rPr>
                <w:rFonts w:ascii="游ゴシック" w:hAnsi="游ゴシック" w:eastAsia="游ゴシック"/>
                <w:b w:val="0"/>
                <w:sz w:val="16"/>
              </w:rPr>
              <w:t>代表KPIと改善事項は当方の再整理案のままとし、計画本文の成果指標は現行の12項目のまま置いた（再整理案のご了承を受けた時点で置き換える）</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No.76</w:t>
            </w:r>
          </w:p>
        </w:tc>
        <w:tc>
          <w:tcPr>
            <w:tcW w:type="dxa" w:w="2608"/>
            <w:shd w:val="clear" w:color="auto" w:fill="F2F5FA"/>
            <w:vAlign w:val="center"/>
          </w:tcPr>
          <w:p>
            <w:pPr>
              <w:spacing w:after="0"/>
            </w:pPr>
            <w:r>
              <w:rPr>
                <w:rFonts w:ascii="游ゴシック" w:hAnsi="游ゴシック" w:eastAsia="游ゴシック"/>
                <w:b w:val="0"/>
                <w:sz w:val="16"/>
              </w:rPr>
              <w:t>介護リームスから抽出できる項目</w:t>
            </w:r>
          </w:p>
        </w:tc>
        <w:tc>
          <w:tcPr>
            <w:tcW w:type="dxa" w:w="4649"/>
            <w:shd w:val="clear" w:color="auto" w:fill="F2F5FA"/>
            <w:vAlign w:val="center"/>
          </w:tcPr>
          <w:p>
            <w:pPr>
              <w:spacing w:after="0"/>
            </w:pPr>
            <w:r>
              <w:rPr>
                <w:rFonts w:ascii="游ゴシック" w:hAnsi="游ゴシック" w:eastAsia="游ゴシック"/>
                <w:b w:val="0"/>
                <w:sz w:val="16"/>
              </w:rPr>
              <w:t>代表KPI H03は、年齢階級別及び過年度分の抽出が確認できないため未算定のままとし、データ源と未算定である理由を注に明示した</w:t>
            </w:r>
          </w:p>
        </w:tc>
        <w:tc>
          <w:tcPr>
            <w:tcW w:type="dxa" w:w="1701"/>
            <w:shd w:val="clear" w:color="auto" w:fill="F2F5FA"/>
            <w:vAlign w:val="center"/>
          </w:tcPr>
          <w:p>
            <w:pPr>
              <w:spacing w:after="0"/>
            </w:pPr>
            <w:r>
              <w:rPr>
                <w:rFonts w:ascii="游ゴシック" w:hAnsi="游ゴシック" w:eastAsia="游ゴシック"/>
                <w:b w:val="0"/>
                <w:sz w:val="16"/>
              </w:rPr>
              <w:t>第4章第3節・資料1</w:t>
            </w:r>
          </w:p>
        </w:tc>
      </w:tr>
      <w:tr>
        <w:trPr>
          <w:cantSplit/>
        </w:trPr>
        <w:tc>
          <w:tcPr>
            <w:tcW w:type="dxa" w:w="794"/>
            <w:vAlign w:val="center"/>
          </w:tcPr>
          <w:p>
            <w:pPr>
              <w:spacing w:after="0"/>
              <w:jc w:val="center"/>
            </w:pPr>
            <w:r>
              <w:rPr>
                <w:rFonts w:ascii="游ゴシック" w:hAnsi="游ゴシック" w:eastAsia="游ゴシック"/>
                <w:b w:val="0"/>
                <w:sz w:val="16"/>
              </w:rPr>
              <w:t>No.77</w:t>
            </w:r>
          </w:p>
        </w:tc>
        <w:tc>
          <w:tcPr>
            <w:tcW w:type="dxa" w:w="2608"/>
            <w:vAlign w:val="center"/>
          </w:tcPr>
          <w:p>
            <w:pPr>
              <w:spacing w:after="0"/>
            </w:pPr>
            <w:r>
              <w:rPr>
                <w:rFonts w:ascii="游ゴシック" w:hAnsi="游ゴシック" w:eastAsia="游ゴシック"/>
                <w:b w:val="0"/>
                <w:sz w:val="16"/>
              </w:rPr>
              <w:t>北海道の評価指標⑥の団体別の公表値</w:t>
            </w:r>
          </w:p>
        </w:tc>
        <w:tc>
          <w:tcPr>
            <w:tcW w:type="dxa" w:w="4649"/>
            <w:vAlign w:val="center"/>
          </w:tcPr>
          <w:p>
            <w:pPr>
              <w:spacing w:after="0"/>
            </w:pPr>
            <w:r>
              <w:rPr>
                <w:rFonts w:ascii="游ゴシック" w:hAnsi="游ゴシック" w:eastAsia="游ゴシック"/>
                <w:b w:val="0"/>
                <w:sz w:val="16"/>
              </w:rPr>
              <w:t>代表KPI H14は、北海道の評価指標⑥の団体別の値を引用できないものとして補完指標にとどめ、目標値を置かないこととした</w:t>
            </w:r>
          </w:p>
        </w:tc>
        <w:tc>
          <w:tcPr>
            <w:tcW w:type="dxa" w:w="1701"/>
            <w:vAlign w:val="center"/>
          </w:tcPr>
          <w:p>
            <w:pPr>
              <w:spacing w:after="0"/>
            </w:pPr>
            <w:r>
              <w:rPr>
                <w:rFonts w:ascii="游ゴシック" w:hAnsi="游ゴシック" w:eastAsia="游ゴシック"/>
                <w:b w:val="0"/>
                <w:sz w:val="16"/>
              </w:rPr>
              <w:t>第4章第3節・資料1</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No.78</w:t>
            </w:r>
          </w:p>
        </w:tc>
        <w:tc>
          <w:tcPr>
            <w:tcW w:type="dxa" w:w="2608"/>
            <w:shd w:val="clear" w:color="auto" w:fill="F2F5FA"/>
            <w:vAlign w:val="center"/>
          </w:tcPr>
          <w:p>
            <w:pPr>
              <w:spacing w:after="0"/>
            </w:pPr>
            <w:r>
              <w:rPr>
                <w:rFonts w:ascii="游ゴシック" w:hAnsi="游ゴシック" w:eastAsia="游ゴシック"/>
                <w:b w:val="0"/>
                <w:sz w:val="16"/>
              </w:rPr>
              <w:t>グループホームびえいの郷の定員減の時期</w:t>
            </w:r>
          </w:p>
        </w:tc>
        <w:tc>
          <w:tcPr>
            <w:tcW w:type="dxa" w:w="4649"/>
            <w:shd w:val="clear" w:color="auto" w:fill="F2F5FA"/>
            <w:vAlign w:val="center"/>
          </w:tcPr>
          <w:p>
            <w:pPr>
              <w:spacing w:after="0"/>
            </w:pPr>
            <w:r>
              <w:rPr>
                <w:rFonts w:ascii="游ゴシック" w:hAnsi="游ゴシック" w:eastAsia="游ゴシック"/>
                <w:b w:val="0"/>
                <w:sz w:val="16"/>
              </w:rPr>
              <w:t>認知症対応型共同生活介護の定員は北海道の名簿によるものとし、既存の事業所における定員の変更の有無は［要確認］として残した</w:t>
            </w:r>
          </w:p>
        </w:tc>
        <w:tc>
          <w:tcPr>
            <w:tcW w:type="dxa" w:w="1701"/>
            <w:shd w:val="clear" w:color="auto" w:fill="F2F5FA"/>
            <w:vAlign w:val="center"/>
          </w:tcPr>
          <w:p>
            <w:pPr>
              <w:spacing w:after="0"/>
            </w:pPr>
            <w:r>
              <w:rPr>
                <w:rFonts w:ascii="游ゴシック" w:hAnsi="游ゴシック" w:eastAsia="游ゴシック"/>
                <w:b w:val="0"/>
                <w:sz w:val="16"/>
              </w:rPr>
              <w:t>第2章第3節</w:t>
            </w:r>
          </w:p>
        </w:tc>
      </w:tr>
      <w:tr>
        <w:trPr>
          <w:cantSplit/>
        </w:trPr>
        <w:tc>
          <w:tcPr>
            <w:tcW w:type="dxa" w:w="794"/>
            <w:vAlign w:val="center"/>
          </w:tcPr>
          <w:p>
            <w:pPr>
              <w:spacing w:after="0"/>
              <w:jc w:val="center"/>
            </w:pPr>
            <w:r>
              <w:rPr>
                <w:rFonts w:ascii="游ゴシック" w:hAnsi="游ゴシック" w:eastAsia="游ゴシック"/>
                <w:b w:val="0"/>
                <w:sz w:val="16"/>
              </w:rPr>
              <w:t>No.79</w:t>
            </w:r>
          </w:p>
        </w:tc>
        <w:tc>
          <w:tcPr>
            <w:tcW w:type="dxa" w:w="2608"/>
            <w:vAlign w:val="center"/>
          </w:tcPr>
          <w:p>
            <w:pPr>
              <w:spacing w:after="0"/>
            </w:pPr>
            <w:r>
              <w:rPr>
                <w:rFonts w:ascii="游ゴシック" w:hAnsi="游ゴシック" w:eastAsia="游ゴシック"/>
                <w:b w:val="0"/>
                <w:sz w:val="16"/>
              </w:rPr>
              <w:t>第5章の施策数の見直しの範囲</w:t>
            </w:r>
          </w:p>
        </w:tc>
        <w:tc>
          <w:tcPr>
            <w:tcW w:type="dxa" w:w="4649"/>
            <w:vAlign w:val="center"/>
          </w:tcPr>
          <w:p>
            <w:pPr>
              <w:spacing w:after="0"/>
            </w:pPr>
            <w:r>
              <w:rPr>
                <w:rFonts w:ascii="游ゴシック" w:hAnsi="游ゴシック" w:eastAsia="游ゴシック"/>
                <w:b w:val="0"/>
                <w:sz w:val="16"/>
              </w:rPr>
              <w:t>第9期の19施策の体系を維持し、施策数の見直しは行わなかった</w:t>
            </w:r>
          </w:p>
        </w:tc>
        <w:tc>
          <w:tcPr>
            <w:tcW w:type="dxa" w:w="1701"/>
            <w:vAlign w:val="center"/>
          </w:tcPr>
          <w:p>
            <w:pPr>
              <w:spacing w:after="0"/>
            </w:pPr>
            <w:r>
              <w:rPr>
                <w:rFonts w:ascii="游ゴシック" w:hAnsi="游ゴシック" w:eastAsia="游ゴシック"/>
                <w:b w:val="0"/>
                <w:sz w:val="16"/>
              </w:rPr>
              <w:t>第5章</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No.81</w:t>
            </w:r>
          </w:p>
        </w:tc>
        <w:tc>
          <w:tcPr>
            <w:tcW w:type="dxa" w:w="2608"/>
            <w:shd w:val="clear" w:color="auto" w:fill="F2F5FA"/>
            <w:vAlign w:val="center"/>
          </w:tcPr>
          <w:p>
            <w:pPr>
              <w:spacing w:after="0"/>
            </w:pPr>
            <w:r>
              <w:rPr>
                <w:rFonts w:ascii="游ゴシック" w:hAnsi="游ゴシック" w:eastAsia="游ゴシック"/>
                <w:b w:val="0"/>
                <w:sz w:val="16"/>
              </w:rPr>
              <w:t>代表KPI H16のデータ源（国保連の給付実績の明細情報）</w:t>
            </w:r>
          </w:p>
        </w:tc>
        <w:tc>
          <w:tcPr>
            <w:tcW w:type="dxa" w:w="4649"/>
            <w:shd w:val="clear" w:color="auto" w:fill="F2F5FA"/>
            <w:vAlign w:val="center"/>
          </w:tcPr>
          <w:p>
            <w:pPr>
              <w:spacing w:after="0"/>
            </w:pPr>
            <w:r>
              <w:rPr>
                <w:rFonts w:ascii="游ゴシック" w:hAnsi="游ゴシック" w:eastAsia="游ゴシック"/>
                <w:b w:val="0"/>
                <w:sz w:val="16"/>
              </w:rPr>
              <w:t>代表KPI H16は、給付実績の明細（加算・減算の単位）が得られないため、指定・指定の更新・運営指導の際に業務継続計画の策定を確認した地域密着型サービス事業所（17事業所）の割合に改めた</w:t>
            </w:r>
          </w:p>
        </w:tc>
        <w:tc>
          <w:tcPr>
            <w:tcW w:type="dxa" w:w="1701"/>
            <w:shd w:val="clear" w:color="auto" w:fill="F2F5FA"/>
            <w:vAlign w:val="center"/>
          </w:tcPr>
          <w:p>
            <w:pPr>
              <w:spacing w:after="0"/>
            </w:pPr>
            <w:r>
              <w:rPr>
                <w:rFonts w:ascii="游ゴシック" w:hAnsi="游ゴシック" w:eastAsia="游ゴシック"/>
                <w:b w:val="0"/>
                <w:sz w:val="16"/>
              </w:rPr>
              <w:t>第4章第3節・第5章 基本目標5・資料1</w:t>
            </w:r>
          </w:p>
        </w:tc>
      </w:tr>
      <w:tr>
        <w:trPr>
          <w:cantSplit/>
        </w:trPr>
        <w:tc>
          <w:tcPr>
            <w:tcW w:type="dxa" w:w="794"/>
            <w:vAlign w:val="center"/>
          </w:tcPr>
          <w:p>
            <w:pPr>
              <w:spacing w:after="0"/>
              <w:jc w:val="center"/>
            </w:pPr>
            <w:r>
              <w:rPr>
                <w:rFonts w:ascii="游ゴシック" w:hAnsi="游ゴシック" w:eastAsia="游ゴシック"/>
                <w:b w:val="0"/>
                <w:sz w:val="16"/>
              </w:rPr>
              <w:t>No.95</w:t>
            </w:r>
          </w:p>
        </w:tc>
        <w:tc>
          <w:tcPr>
            <w:tcW w:type="dxa" w:w="2608"/>
            <w:vAlign w:val="center"/>
          </w:tcPr>
          <w:p>
            <w:pPr>
              <w:spacing w:after="0"/>
            </w:pPr>
            <w:r>
              <w:rPr>
                <w:rFonts w:ascii="游ゴシック" w:hAnsi="游ゴシック" w:eastAsia="游ゴシック"/>
                <w:b w:val="0"/>
                <w:sz w:val="16"/>
              </w:rPr>
              <w:t>大雪地区広域連合の指定地域密着型サービスの基準条例のご提供</w:t>
            </w:r>
          </w:p>
        </w:tc>
        <w:tc>
          <w:tcPr>
            <w:tcW w:type="dxa" w:w="4649"/>
            <w:vAlign w:val="center"/>
          </w:tcPr>
          <w:p>
            <w:pPr>
              <w:spacing w:after="0"/>
            </w:pPr>
            <w:r>
              <w:rPr>
                <w:rFonts w:ascii="游ゴシック" w:hAnsi="游ゴシック" w:eastAsia="游ゴシック"/>
                <w:b w:val="0"/>
                <w:sz w:val="16"/>
              </w:rPr>
              <w:t>基準条例の内容は計画に掲げず、協力医療機関に関する規定を令和9年4月1日までに条例において整える必要があることを［要確認］として明示した</w:t>
            </w:r>
          </w:p>
        </w:tc>
        <w:tc>
          <w:tcPr>
            <w:tcW w:type="dxa" w:w="1701"/>
            <w:vAlign w:val="center"/>
          </w:tcPr>
          <w:p>
            <w:pPr>
              <w:spacing w:after="0"/>
            </w:pPr>
            <w:r>
              <w:rPr>
                <w:rFonts w:ascii="游ゴシック" w:hAnsi="游ゴシック" w:eastAsia="游ゴシック"/>
                <w:b w:val="0"/>
                <w:sz w:val="16"/>
              </w:rPr>
              <w:t>第6章第4節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No.96</w:t>
            </w:r>
          </w:p>
        </w:tc>
        <w:tc>
          <w:tcPr>
            <w:tcW w:type="dxa" w:w="2608"/>
            <w:shd w:val="clear" w:color="auto" w:fill="F2F5FA"/>
            <w:vAlign w:val="center"/>
          </w:tcPr>
          <w:p>
            <w:pPr>
              <w:spacing w:after="0"/>
            </w:pPr>
            <w:r>
              <w:rPr>
                <w:rFonts w:ascii="游ゴシック" w:hAnsi="游ゴシック" w:eastAsia="游ゴシック"/>
                <w:b w:val="0"/>
                <w:sz w:val="16"/>
              </w:rPr>
              <w:t>認知症対応型共同生活介護の共同生活住居数と、くるみの郷の定員</w:t>
            </w:r>
          </w:p>
        </w:tc>
        <w:tc>
          <w:tcPr>
            <w:tcW w:type="dxa" w:w="4649"/>
            <w:shd w:val="clear" w:color="auto" w:fill="F2F5FA"/>
            <w:vAlign w:val="center"/>
          </w:tcPr>
          <w:p>
            <w:pPr>
              <w:spacing w:after="0"/>
            </w:pPr>
            <w:r>
              <w:rPr>
                <w:rFonts w:ascii="游ゴシック" w:hAnsi="游ゴシック" w:eastAsia="游ゴシック"/>
                <w:b w:val="0"/>
                <w:sz w:val="16"/>
              </w:rPr>
              <w:t>認知症対応型共同生活介護の定員は99人＋［要確認］のまま掲げ、必要利用定員総数は3町への照会により定員を確定したうえで定めることを注に明示した</w:t>
            </w:r>
          </w:p>
        </w:tc>
        <w:tc>
          <w:tcPr>
            <w:tcW w:type="dxa" w:w="1701"/>
            <w:shd w:val="clear" w:color="auto" w:fill="F2F5FA"/>
            <w:vAlign w:val="center"/>
          </w:tcPr>
          <w:p>
            <w:pPr>
              <w:spacing w:after="0"/>
            </w:pPr>
            <w:r>
              <w:rPr>
                <w:rFonts w:ascii="游ゴシック" w:hAnsi="游ゴシック" w:eastAsia="游ゴシック"/>
                <w:b w:val="0"/>
                <w:sz w:val="16"/>
              </w:rPr>
              <w:t>第2章第3節6・第6章第4節4</w:t>
            </w:r>
          </w:p>
        </w:tc>
      </w:tr>
      <w:tr>
        <w:trPr>
          <w:cantSplit/>
        </w:trPr>
        <w:tc>
          <w:tcPr>
            <w:tcW w:type="dxa" w:w="794"/>
            <w:vAlign w:val="center"/>
          </w:tcPr>
          <w:p>
            <w:pPr>
              <w:spacing w:after="0"/>
              <w:jc w:val="center"/>
            </w:pPr>
            <w:r>
              <w:rPr>
                <w:rFonts w:ascii="游ゴシック" w:hAnsi="游ゴシック" w:eastAsia="游ゴシック"/>
                <w:b w:val="0"/>
                <w:sz w:val="16"/>
              </w:rPr>
              <w:t>No.102</w:t>
            </w:r>
          </w:p>
        </w:tc>
        <w:tc>
          <w:tcPr>
            <w:tcW w:type="dxa" w:w="2608"/>
            <w:vAlign w:val="center"/>
          </w:tcPr>
          <w:p>
            <w:pPr>
              <w:spacing w:after="0"/>
            </w:pPr>
            <w:r>
              <w:rPr>
                <w:rFonts w:ascii="游ゴシック" w:hAnsi="游ゴシック" w:eastAsia="游ゴシック"/>
                <w:b w:val="0"/>
                <w:sz w:val="16"/>
              </w:rPr>
              <w:t>計画作成支援ツールの令和8年度の月数と予防訪問看護の計上</w:t>
            </w:r>
          </w:p>
        </w:tc>
        <w:tc>
          <w:tcPr>
            <w:tcW w:type="dxa" w:w="4649"/>
            <w:vAlign w:val="center"/>
          </w:tcPr>
          <w:p>
            <w:pPr>
              <w:spacing w:after="0"/>
            </w:pPr>
            <w:r>
              <w:rPr>
                <w:rFonts w:ascii="游ゴシック" w:hAnsi="游ゴシック" w:eastAsia="游ゴシック"/>
                <w:b w:val="0"/>
                <w:sz w:val="16"/>
              </w:rPr>
              <w:t>令和8年度（4か月）を基準年度に用いない旨を注に明示した</w:t>
            </w:r>
          </w:p>
        </w:tc>
        <w:tc>
          <w:tcPr>
            <w:tcW w:type="dxa" w:w="1701"/>
            <w:vAlign w:val="center"/>
          </w:tcPr>
          <w:p>
            <w:pPr>
              <w:spacing w:after="0"/>
            </w:pPr>
            <w:r>
              <w:rPr>
                <w:rFonts w:ascii="游ゴシック" w:hAnsi="游ゴシック" w:eastAsia="游ゴシック"/>
                <w:b w:val="0"/>
                <w:sz w:val="16"/>
              </w:rPr>
              <w:t>第6章第2節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No.122</w:t>
            </w:r>
          </w:p>
        </w:tc>
        <w:tc>
          <w:tcPr>
            <w:tcW w:type="dxa" w:w="2608"/>
            <w:shd w:val="clear" w:color="auto" w:fill="F2F5FA"/>
            <w:vAlign w:val="center"/>
          </w:tcPr>
          <w:p>
            <w:pPr>
              <w:spacing w:after="0"/>
            </w:pPr>
            <w:r>
              <w:rPr>
                <w:rFonts w:ascii="游ゴシック" w:hAnsi="游ゴシック" w:eastAsia="游ゴシック"/>
                <w:b w:val="0"/>
                <w:sz w:val="16"/>
              </w:rPr>
              <w:t>地域ケア会議関係資料の取扱いの確認</w:t>
            </w:r>
          </w:p>
        </w:tc>
        <w:tc>
          <w:tcPr>
            <w:tcW w:type="dxa" w:w="4649"/>
            <w:shd w:val="clear" w:color="auto" w:fill="F2F5FA"/>
            <w:vAlign w:val="center"/>
          </w:tcPr>
          <w:p>
            <w:pPr>
              <w:spacing w:after="0"/>
            </w:pPr>
            <w:r>
              <w:rPr>
                <w:rFonts w:ascii="游ゴシック" w:hAnsi="游ゴシック" w:eastAsia="游ゴシック"/>
                <w:b w:val="0"/>
                <w:sz w:val="16"/>
              </w:rPr>
              <w:t>転載を禁ずる旨の記載がある受領資料2件は成果品に用いず、原典のみを引いた（計画素案に当該2件からの記述はない）</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No.30</w:t>
            </w:r>
          </w:p>
        </w:tc>
        <w:tc>
          <w:tcPr>
            <w:tcW w:type="dxa" w:w="2608"/>
            <w:vAlign w:val="center"/>
          </w:tcPr>
          <w:p>
            <w:pPr>
              <w:spacing w:after="0"/>
            </w:pPr>
            <w:r>
              <w:rPr>
                <w:rFonts w:ascii="游ゴシック" w:hAnsi="游ゴシック" w:eastAsia="游ゴシック"/>
                <w:b w:val="0"/>
                <w:sz w:val="16"/>
              </w:rPr>
              <w:t>施設入所者と在宅者を分けた要介護度の変化</w:t>
            </w:r>
          </w:p>
        </w:tc>
        <w:tc>
          <w:tcPr>
            <w:tcW w:type="dxa" w:w="4649"/>
            <w:vAlign w:val="center"/>
          </w:tcPr>
          <w:p>
            <w:pPr>
              <w:spacing w:after="0"/>
            </w:pPr>
            <w:r>
              <w:rPr>
                <w:rFonts w:ascii="游ゴシック" w:hAnsi="游ゴシック" w:eastAsia="游ゴシック"/>
                <w:b w:val="0"/>
                <w:sz w:val="16"/>
              </w:rPr>
              <w:t>要介護度の構成は施設に入所している方と在宅の方を分けずに置き、入所の状況による重度化の見え方の違いを分けて算定していない旨を注に明示した</w:t>
            </w:r>
          </w:p>
        </w:tc>
        <w:tc>
          <w:tcPr>
            <w:tcW w:type="dxa" w:w="1701"/>
            <w:vAlign w:val="center"/>
          </w:tcPr>
          <w:p>
            <w:pPr>
              <w:spacing w:after="0"/>
            </w:pPr>
            <w:r>
              <w:rPr>
                <w:rFonts w:ascii="游ゴシック" w:hAnsi="游ゴシック" w:eastAsia="游ゴシック"/>
                <w:b w:val="0"/>
                <w:sz w:val="16"/>
              </w:rPr>
              <w:t>第6章第1節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No.34</w:t>
            </w:r>
          </w:p>
        </w:tc>
        <w:tc>
          <w:tcPr>
            <w:tcW w:type="dxa" w:w="2608"/>
            <w:shd w:val="clear" w:color="auto" w:fill="F2F5FA"/>
            <w:vAlign w:val="center"/>
          </w:tcPr>
          <w:p>
            <w:pPr>
              <w:spacing w:after="0"/>
            </w:pPr>
            <w:r>
              <w:rPr>
                <w:rFonts w:ascii="游ゴシック" w:hAnsi="游ゴシック" w:eastAsia="游ゴシック"/>
                <w:b w:val="0"/>
                <w:sz w:val="16"/>
              </w:rPr>
              <w:t>第9段階の乗率の経緯</w:t>
            </w:r>
          </w:p>
        </w:tc>
        <w:tc>
          <w:tcPr>
            <w:tcW w:type="dxa" w:w="4649"/>
            <w:shd w:val="clear" w:color="auto" w:fill="F2F5FA"/>
            <w:vAlign w:val="center"/>
          </w:tcPr>
          <w:p>
            <w:pPr>
              <w:spacing w:after="0"/>
            </w:pPr>
            <w:r>
              <w:rPr>
                <w:rFonts w:ascii="游ゴシック" w:hAnsi="游ゴシック" w:eastAsia="游ゴシック"/>
                <w:b w:val="0"/>
                <w:sz w:val="16"/>
              </w:rPr>
              <w:t>第9段階の割合1.630が国の標準1.700を下回ることと、設定の経緯を確認できていないため第9期の条例の割合をそのまま用いていることを注に明示した</w:t>
            </w:r>
          </w:p>
        </w:tc>
        <w:tc>
          <w:tcPr>
            <w:tcW w:type="dxa" w:w="1701"/>
            <w:shd w:val="clear" w:color="auto" w:fill="F2F5FA"/>
            <w:vAlign w:val="center"/>
          </w:tcPr>
          <w:p>
            <w:pPr>
              <w:spacing w:after="0"/>
            </w:pPr>
            <w:r>
              <w:rPr>
                <w:rFonts w:ascii="游ゴシック" w:hAnsi="游ゴシック" w:eastAsia="游ゴシック"/>
                <w:b w:val="0"/>
                <w:sz w:val="16"/>
              </w:rPr>
              <w:t>第6章第6節5</w:t>
            </w:r>
          </w:p>
        </w:tc>
      </w:tr>
      <w:tr>
        <w:trPr>
          <w:cantSplit/>
        </w:trPr>
        <w:tc>
          <w:tcPr>
            <w:tcW w:type="dxa" w:w="794"/>
            <w:vAlign w:val="center"/>
          </w:tcPr>
          <w:p>
            <w:pPr>
              <w:spacing w:after="0"/>
              <w:jc w:val="center"/>
            </w:pPr>
            <w:r>
              <w:rPr>
                <w:rFonts w:ascii="游ゴシック" w:hAnsi="游ゴシック" w:eastAsia="游ゴシック"/>
                <w:b w:val="0"/>
                <w:sz w:val="16"/>
              </w:rPr>
              <w:t>No.35</w:t>
            </w:r>
          </w:p>
        </w:tc>
        <w:tc>
          <w:tcPr>
            <w:tcW w:type="dxa" w:w="2608"/>
            <w:vAlign w:val="center"/>
          </w:tcPr>
          <w:p>
            <w:pPr>
              <w:spacing w:after="0"/>
            </w:pPr>
            <w:r>
              <w:rPr>
                <w:rFonts w:ascii="游ゴシック" w:hAnsi="游ゴシック" w:eastAsia="游ゴシック"/>
                <w:b w:val="0"/>
                <w:sz w:val="16"/>
              </w:rPr>
              <w:t>上川管内の保険者の所得段階数と乗率</w:t>
            </w:r>
          </w:p>
        </w:tc>
        <w:tc>
          <w:tcPr>
            <w:tcW w:type="dxa" w:w="4649"/>
            <w:vAlign w:val="center"/>
          </w:tcPr>
          <w:p>
            <w:pPr>
              <w:spacing w:after="0"/>
            </w:pPr>
            <w:r>
              <w:rPr>
                <w:rFonts w:ascii="游ゴシック" w:hAnsi="游ゴシック" w:eastAsia="游ゴシック"/>
                <w:b w:val="0"/>
                <w:sz w:val="16"/>
              </w:rPr>
              <w:t>上川管内の保険者の所得段階数と乗率の比較は計画本文に掲げていない（保険料基準額の管内比較は北海道の公表資料により掲げている）</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No.36</w:t>
            </w:r>
          </w:p>
        </w:tc>
        <w:tc>
          <w:tcPr>
            <w:tcW w:type="dxa" w:w="2608"/>
            <w:shd w:val="clear" w:color="auto" w:fill="F2F5FA"/>
            <w:vAlign w:val="center"/>
          </w:tcPr>
          <w:p>
            <w:pPr>
              <w:spacing w:after="0"/>
            </w:pPr>
            <w:r>
              <w:rPr>
                <w:rFonts w:ascii="游ゴシック" w:hAnsi="游ゴシック" w:eastAsia="游ゴシック"/>
                <w:b w:val="0"/>
                <w:sz w:val="16"/>
              </w:rPr>
              <w:t>所得段階別被保険者数の実績と収納率</w:t>
            </w:r>
          </w:p>
        </w:tc>
        <w:tc>
          <w:tcPr>
            <w:tcW w:type="dxa" w:w="4649"/>
            <w:shd w:val="clear" w:color="auto" w:fill="F2F5FA"/>
            <w:vAlign w:val="center"/>
          </w:tcPr>
          <w:p>
            <w:pPr>
              <w:spacing w:after="0"/>
            </w:pPr>
            <w:r>
              <w:rPr>
                <w:rFonts w:ascii="游ゴシック" w:hAnsi="游ゴシック" w:eastAsia="游ゴシック"/>
                <w:b w:val="0"/>
                <w:sz w:val="16"/>
              </w:rPr>
              <w:t>所得段階別の第1号被保険者数は令和6年度の実績の構成比を固定し、予定収納率は所得段階別の実績を確認できていないため全段階一律99.0％としている旨を明示した</w:t>
            </w:r>
          </w:p>
        </w:tc>
        <w:tc>
          <w:tcPr>
            <w:tcW w:type="dxa" w:w="1701"/>
            <w:shd w:val="clear" w:color="auto" w:fill="F2F5FA"/>
            <w:vAlign w:val="center"/>
          </w:tcPr>
          <w:p>
            <w:pPr>
              <w:spacing w:after="0"/>
            </w:pPr>
            <w:r>
              <w:rPr>
                <w:rFonts w:ascii="游ゴシック" w:hAnsi="游ゴシック" w:eastAsia="游ゴシック"/>
                <w:b w:val="0"/>
                <w:sz w:val="16"/>
              </w:rPr>
              <w:t>第6章第6節5</w:t>
            </w:r>
          </w:p>
        </w:tc>
      </w:tr>
      <w:tr>
        <w:trPr>
          <w:cantSplit/>
        </w:trPr>
        <w:tc>
          <w:tcPr>
            <w:tcW w:type="dxa" w:w="794"/>
            <w:vAlign w:val="center"/>
          </w:tcPr>
          <w:p>
            <w:pPr>
              <w:spacing w:after="0"/>
              <w:jc w:val="center"/>
            </w:pPr>
            <w:r>
              <w:rPr>
                <w:rFonts w:ascii="游ゴシック" w:hAnsi="游ゴシック" w:eastAsia="游ゴシック"/>
                <w:b w:val="0"/>
                <w:sz w:val="16"/>
              </w:rPr>
              <w:t>No.115</w:t>
            </w:r>
          </w:p>
        </w:tc>
        <w:tc>
          <w:tcPr>
            <w:tcW w:type="dxa" w:w="2608"/>
            <w:vAlign w:val="center"/>
          </w:tcPr>
          <w:p>
            <w:pPr>
              <w:spacing w:after="0"/>
            </w:pPr>
            <w:r>
              <w:rPr>
                <w:rFonts w:ascii="游ゴシック" w:hAnsi="游ゴシック" w:eastAsia="游ゴシック"/>
                <w:b w:val="0"/>
                <w:sz w:val="16"/>
              </w:rPr>
              <w:t>令和9年4月に新設される区分を見込量に立てるか</w:t>
            </w:r>
          </w:p>
        </w:tc>
        <w:tc>
          <w:tcPr>
            <w:tcW w:type="dxa" w:w="4649"/>
            <w:vAlign w:val="center"/>
          </w:tcPr>
          <w:p>
            <w:pPr>
              <w:spacing w:after="0"/>
            </w:pPr>
            <w:r>
              <w:rPr>
                <w:rFonts w:ascii="游ゴシック" w:hAnsi="游ゴシック" w:eastAsia="游ゴシック"/>
                <w:b w:val="0"/>
                <w:sz w:val="16"/>
              </w:rPr>
              <w:t>令和9年4月1日に新設される3区分は実績がないため0として立て、国の様式の確定後に区分を改めることを注に明示した</w:t>
            </w:r>
          </w:p>
        </w:tc>
        <w:tc>
          <w:tcPr>
            <w:tcW w:type="dxa" w:w="1701"/>
            <w:vAlign w:val="center"/>
          </w:tcPr>
          <w:p>
            <w:pPr>
              <w:spacing w:after="0"/>
            </w:pPr>
            <w:r>
              <w:rPr>
                <w:rFonts w:ascii="游ゴシック" w:hAnsi="游ゴシック" w:eastAsia="游ゴシック"/>
                <w:b w:val="0"/>
                <w:sz w:val="16"/>
              </w:rPr>
              <w:t>第6章第2節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No.124</w:t>
            </w:r>
          </w:p>
        </w:tc>
        <w:tc>
          <w:tcPr>
            <w:tcW w:type="dxa" w:w="2608"/>
            <w:shd w:val="clear" w:color="auto" w:fill="F2F5FA"/>
            <w:vAlign w:val="center"/>
          </w:tcPr>
          <w:p>
            <w:pPr>
              <w:spacing w:after="0"/>
            </w:pPr>
            <w:r>
              <w:rPr>
                <w:rFonts w:ascii="游ゴシック" w:hAnsi="游ゴシック" w:eastAsia="游ゴシック"/>
                <w:b w:val="0"/>
                <w:sz w:val="16"/>
              </w:rPr>
              <w:t>施設・居住系サービス利用者数の伸びの参考シートの有無</w:t>
            </w:r>
          </w:p>
        </w:tc>
        <w:tc>
          <w:tcPr>
            <w:tcW w:type="dxa" w:w="4649"/>
            <w:shd w:val="clear" w:color="auto" w:fill="F2F5FA"/>
            <w:vAlign w:val="center"/>
          </w:tcPr>
          <w:p>
            <w:pPr>
              <w:spacing w:after="0"/>
            </w:pPr>
            <w:r>
              <w:rPr>
                <w:rFonts w:ascii="游ゴシック" w:hAnsi="游ゴシック" w:eastAsia="游ゴシック"/>
                <w:b w:val="0"/>
                <w:sz w:val="16"/>
              </w:rPr>
              <w:t>施設及び居住系サービスについても在宅と同じく令和7年度の要介護度別の利用率を固定し、これらに固有の伸びを別に選んでいない旨を注に明示した</w:t>
            </w:r>
          </w:p>
        </w:tc>
        <w:tc>
          <w:tcPr>
            <w:tcW w:type="dxa" w:w="1701"/>
            <w:shd w:val="clear" w:color="auto" w:fill="F2F5FA"/>
            <w:vAlign w:val="center"/>
          </w:tcPr>
          <w:p>
            <w:pPr>
              <w:spacing w:after="0"/>
            </w:pPr>
            <w:r>
              <w:rPr>
                <w:rFonts w:ascii="游ゴシック" w:hAnsi="游ゴシック" w:eastAsia="游ゴシック"/>
                <w:b w:val="0"/>
                <w:sz w:val="16"/>
              </w:rPr>
              <w:t>第6章第2節</w:t>
            </w:r>
          </w:p>
        </w:tc>
      </w:tr>
      <w:tr>
        <w:trPr>
          <w:cantSplit/>
        </w:trPr>
        <w:tc>
          <w:tcPr>
            <w:tcW w:type="dxa" w:w="794"/>
            <w:vAlign w:val="center"/>
          </w:tcPr>
          <w:p>
            <w:pPr>
              <w:spacing w:after="0"/>
              <w:jc w:val="center"/>
            </w:pPr>
            <w:r>
              <w:rPr>
                <w:rFonts w:ascii="游ゴシック" w:hAnsi="游ゴシック" w:eastAsia="游ゴシック"/>
                <w:b w:val="0"/>
                <w:sz w:val="16"/>
              </w:rPr>
              <w:t>No.140</w:t>
            </w:r>
          </w:p>
        </w:tc>
        <w:tc>
          <w:tcPr>
            <w:tcW w:type="dxa" w:w="2608"/>
            <w:vAlign w:val="center"/>
          </w:tcPr>
          <w:p>
            <w:pPr>
              <w:spacing w:after="0"/>
            </w:pPr>
            <w:r>
              <w:rPr>
                <w:rFonts w:ascii="游ゴシック" w:hAnsi="游ゴシック" w:eastAsia="游ゴシック"/>
                <w:b w:val="0"/>
                <w:sz w:val="16"/>
              </w:rPr>
              <w:t>在宅生活改善調査の結果を在宅の認定者全体に当てはめないこと</w:t>
            </w:r>
          </w:p>
        </w:tc>
        <w:tc>
          <w:tcPr>
            <w:tcW w:type="dxa" w:w="4649"/>
            <w:vAlign w:val="center"/>
          </w:tcPr>
          <w:p>
            <w:pPr>
              <w:spacing w:after="0"/>
            </w:pPr>
            <w:r>
              <w:rPr>
                <w:rFonts w:ascii="游ゴシック" w:hAnsi="游ゴシック" w:eastAsia="游ゴシック"/>
                <w:b w:val="0"/>
                <w:sz w:val="16"/>
              </w:rPr>
              <w:t>在宅生活改善調査の結果は「在宅で困難を抱える方の状況」として引き、在宅の認定者全体の割合として用いることはできない旨を注に明示した</w:t>
            </w:r>
          </w:p>
        </w:tc>
        <w:tc>
          <w:tcPr>
            <w:tcW w:type="dxa" w:w="1701"/>
            <w:vAlign w:val="center"/>
          </w:tcPr>
          <w:p>
            <w:pPr>
              <w:spacing w:after="0"/>
            </w:pPr>
            <w:r>
              <w:rPr>
                <w:rFonts w:ascii="游ゴシック" w:hAnsi="游ゴシック" w:eastAsia="游ゴシック"/>
                <w:b w:val="0"/>
                <w:sz w:val="16"/>
              </w:rPr>
              <w:t>第2章第5節・第4章第3節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No.149</w:t>
            </w:r>
          </w:p>
        </w:tc>
        <w:tc>
          <w:tcPr>
            <w:tcW w:type="dxa" w:w="2608"/>
            <w:shd w:val="clear" w:color="auto" w:fill="F2F5FA"/>
            <w:vAlign w:val="center"/>
          </w:tcPr>
          <w:p>
            <w:pPr>
              <w:spacing w:after="0"/>
            </w:pPr>
            <w:r>
              <w:rPr>
                <w:rFonts w:ascii="游ゴシック" w:hAnsi="游ゴシック" w:eastAsia="游ゴシック"/>
                <w:b w:val="0"/>
                <w:sz w:val="16"/>
              </w:rPr>
              <w:t>認知症基本法の条文ほか認知症施策の根拠資料のご提供</w:t>
            </w:r>
          </w:p>
        </w:tc>
        <w:tc>
          <w:tcPr>
            <w:tcW w:type="dxa" w:w="4649"/>
            <w:shd w:val="clear" w:color="auto" w:fill="F2F5FA"/>
            <w:vAlign w:val="center"/>
          </w:tcPr>
          <w:p>
            <w:pPr>
              <w:spacing w:after="0"/>
            </w:pPr>
            <w:r>
              <w:rPr>
                <w:rFonts w:ascii="游ゴシック" w:hAnsi="游ゴシック" w:eastAsia="游ゴシック"/>
                <w:b w:val="0"/>
                <w:sz w:val="16"/>
              </w:rPr>
              <w:t>認知症基本法の条文を受領していないため、計画素案には条番号のみを書き項番号は書いていない</w:t>
            </w:r>
          </w:p>
        </w:tc>
        <w:tc>
          <w:tcPr>
            <w:tcW w:type="dxa" w:w="1701"/>
            <w:shd w:val="clear" w:color="auto" w:fill="F2F5FA"/>
            <w:vAlign w:val="center"/>
          </w:tcPr>
          <w:p>
            <w:pPr>
              <w:spacing w:after="0"/>
            </w:pPr>
            <w:r>
              <w:rPr>
                <w:rFonts w:ascii="游ゴシック" w:hAnsi="游ゴシック" w:eastAsia="游ゴシック"/>
                <w:b w:val="0"/>
                <w:sz w:val="16"/>
              </w:rPr>
              <w:t>第1章第2節・第8節</w:t>
            </w:r>
          </w:p>
        </w:tc>
      </w:tr>
      <w:tr>
        <w:trPr>
          <w:cantSplit/>
        </w:trPr>
        <w:tc>
          <w:tcPr>
            <w:tcW w:type="dxa" w:w="794"/>
            <w:vAlign w:val="center"/>
          </w:tcPr>
          <w:p>
            <w:pPr>
              <w:spacing w:after="0"/>
              <w:jc w:val="center"/>
            </w:pPr>
            <w:r>
              <w:rPr>
                <w:rFonts w:ascii="游ゴシック" w:hAnsi="游ゴシック" w:eastAsia="游ゴシック"/>
                <w:b w:val="0"/>
                <w:sz w:val="16"/>
              </w:rPr>
              <w:t>No.1</w:t>
            </w:r>
          </w:p>
        </w:tc>
        <w:tc>
          <w:tcPr>
            <w:tcW w:type="dxa" w:w="2608"/>
            <w:vAlign w:val="center"/>
          </w:tcPr>
          <w:p>
            <w:pPr>
              <w:spacing w:after="0"/>
            </w:pPr>
            <w:r>
              <w:rPr>
                <w:rFonts w:ascii="游ゴシック" w:hAnsi="游ゴシック" w:eastAsia="游ゴシック"/>
                <w:b w:val="0"/>
                <w:sz w:val="16"/>
              </w:rPr>
              <w:t>特別地域加算の対象地域告示</w:t>
            </w:r>
          </w:p>
        </w:tc>
        <w:tc>
          <w:tcPr>
            <w:tcW w:type="dxa" w:w="4649"/>
            <w:vAlign w:val="center"/>
          </w:tcPr>
          <w:p>
            <w:pPr>
              <w:spacing w:after="0"/>
            </w:pPr>
            <w:r>
              <w:rPr>
                <w:rFonts w:ascii="游ゴシック" w:hAnsi="游ゴシック" w:eastAsia="游ゴシック"/>
                <w:b w:val="0"/>
                <w:sz w:val="16"/>
              </w:rPr>
              <w:t>特別地域加算の対象地域の告示を確認できていないため、特定地域の基準①に該当するかどうかの判定は行わず［要確認］のまま残した</w:t>
            </w:r>
          </w:p>
        </w:tc>
        <w:tc>
          <w:tcPr>
            <w:tcW w:type="dxa" w:w="1701"/>
            <w:vAlign w:val="center"/>
          </w:tcPr>
          <w:p>
            <w:pPr>
              <w:spacing w:after="0"/>
            </w:pPr>
            <w:r>
              <w:rPr>
                <w:rFonts w:ascii="游ゴシック" w:hAnsi="游ゴシック" w:eastAsia="游ゴシック"/>
                <w:b w:val="0"/>
                <w:sz w:val="16"/>
              </w:rPr>
              <w:t>第1章第9節1</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No.3</w:t>
            </w:r>
          </w:p>
        </w:tc>
        <w:tc>
          <w:tcPr>
            <w:tcW w:type="dxa" w:w="2608"/>
            <w:shd w:val="clear" w:color="auto" w:fill="F2F5FA"/>
            <w:vAlign w:val="center"/>
          </w:tcPr>
          <w:p>
            <w:pPr>
              <w:spacing w:after="0"/>
            </w:pPr>
            <w:r>
              <w:rPr>
                <w:rFonts w:ascii="游ゴシック" w:hAnsi="游ゴシック" w:eastAsia="游ゴシック"/>
                <w:b w:val="0"/>
                <w:sz w:val="16"/>
              </w:rPr>
              <w:t>類似保険者との比較分析の対象</w:t>
            </w:r>
          </w:p>
        </w:tc>
        <w:tc>
          <w:tcPr>
            <w:tcW w:type="dxa" w:w="4649"/>
            <w:shd w:val="clear" w:color="auto" w:fill="F2F5FA"/>
            <w:vAlign w:val="center"/>
          </w:tcPr>
          <w:p>
            <w:pPr>
              <w:spacing w:after="0"/>
            </w:pPr>
            <w:r>
              <w:rPr>
                <w:rFonts w:ascii="游ゴシック" w:hAnsi="游ゴシック" w:eastAsia="游ゴシック"/>
                <w:b w:val="0"/>
                <w:sz w:val="16"/>
              </w:rPr>
              <w:t>類似保険者との比較は全国・北海道・上川管内21保険者及び健康とくらしの調査の同規模保険者40団体によることとし、給付・供給面の選定条件は［要協議］のまま残した</w:t>
            </w:r>
          </w:p>
        </w:tc>
        <w:tc>
          <w:tcPr>
            <w:tcW w:type="dxa" w:w="1701"/>
            <w:shd w:val="clear" w:color="auto" w:fill="F2F5FA"/>
            <w:vAlign w:val="center"/>
          </w:tcPr>
          <w:p>
            <w:pPr>
              <w:spacing w:after="0"/>
            </w:pPr>
            <w:r>
              <w:rPr>
                <w:rFonts w:ascii="游ゴシック" w:hAnsi="游ゴシック" w:eastAsia="游ゴシック"/>
                <w:b w:val="0"/>
                <w:sz w:val="16"/>
              </w:rPr>
              <w:t>第2章第2節1</w:t>
            </w:r>
          </w:p>
        </w:tc>
      </w:tr>
      <w:tr>
        <w:trPr>
          <w:cantSplit/>
        </w:trPr>
        <w:tc>
          <w:tcPr>
            <w:tcW w:type="dxa" w:w="794"/>
            <w:vAlign w:val="center"/>
          </w:tcPr>
          <w:p>
            <w:pPr>
              <w:spacing w:after="0"/>
              <w:jc w:val="center"/>
            </w:pPr>
            <w:r>
              <w:rPr>
                <w:rFonts w:ascii="游ゴシック" w:hAnsi="游ゴシック" w:eastAsia="游ゴシック"/>
                <w:b w:val="0"/>
                <w:sz w:val="16"/>
              </w:rPr>
              <w:t>No.4</w:t>
            </w:r>
          </w:p>
        </w:tc>
        <w:tc>
          <w:tcPr>
            <w:tcW w:type="dxa" w:w="2608"/>
            <w:vAlign w:val="center"/>
          </w:tcPr>
          <w:p>
            <w:pPr>
              <w:spacing w:after="0"/>
            </w:pPr>
            <w:r>
              <w:rPr>
                <w:rFonts w:ascii="游ゴシック" w:hAnsi="游ゴシック" w:eastAsia="游ゴシック"/>
                <w:b w:val="0"/>
                <w:sz w:val="16"/>
              </w:rPr>
              <w:t>代表KPI H07・H08・H12・H16の代理指標</w:t>
            </w:r>
          </w:p>
        </w:tc>
        <w:tc>
          <w:tcPr>
            <w:tcW w:type="dxa" w:w="4649"/>
            <w:vAlign w:val="center"/>
          </w:tcPr>
          <w:p>
            <w:pPr>
              <w:spacing w:after="0"/>
            </w:pPr>
            <w:r>
              <w:rPr>
                <w:rFonts w:ascii="游ゴシック" w:hAnsi="游ゴシック" w:eastAsia="游ゴシック"/>
                <w:b w:val="0"/>
                <w:sz w:val="16"/>
              </w:rPr>
              <w:t>代表KPI H07・H08・H12・H16は代理指標へ振り替え、振替後の定義・基準値・留意点を掲げた</w:t>
            </w:r>
          </w:p>
        </w:tc>
        <w:tc>
          <w:tcPr>
            <w:tcW w:type="dxa" w:w="1701"/>
            <w:vAlign w:val="center"/>
          </w:tcPr>
          <w:p>
            <w:pPr>
              <w:spacing w:after="0"/>
            </w:pPr>
            <w:r>
              <w:rPr>
                <w:rFonts w:ascii="游ゴシック" w:hAnsi="游ゴシック" w:eastAsia="游ゴシック"/>
                <w:b w:val="0"/>
                <w:sz w:val="16"/>
              </w:rPr>
              <w:t>第4章第3節・資料1</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No.5</w:t>
            </w:r>
          </w:p>
        </w:tc>
        <w:tc>
          <w:tcPr>
            <w:tcW w:type="dxa" w:w="2608"/>
            <w:shd w:val="clear" w:color="auto" w:fill="F2F5FA"/>
            <w:vAlign w:val="center"/>
          </w:tcPr>
          <w:p>
            <w:pPr>
              <w:spacing w:after="0"/>
            </w:pPr>
            <w:r>
              <w:rPr>
                <w:rFonts w:ascii="游ゴシック" w:hAnsi="游ゴシック" w:eastAsia="游ゴシック"/>
                <w:b w:val="0"/>
                <w:sz w:val="16"/>
              </w:rPr>
              <w:t>第9期の施策・事業実績</w:t>
            </w:r>
          </w:p>
        </w:tc>
        <w:tc>
          <w:tcPr>
            <w:tcW w:type="dxa" w:w="4649"/>
            <w:shd w:val="clear" w:color="auto" w:fill="F2F5FA"/>
            <w:vAlign w:val="center"/>
          </w:tcPr>
          <w:p>
            <w:pPr>
              <w:spacing w:after="0"/>
            </w:pPr>
            <w:r>
              <w:rPr>
                <w:rFonts w:ascii="游ゴシック" w:hAnsi="游ゴシック" w:eastAsia="游ゴシック"/>
                <w:b w:val="0"/>
                <w:sz w:val="16"/>
              </w:rPr>
              <w:t>第9期の施策・事業実績の提供を受けられない間は、公表資料（交付金の評価結果・総合事業の実施状況に関する調査・年報）により評価する旨を注に明示した</w:t>
            </w:r>
          </w:p>
        </w:tc>
        <w:tc>
          <w:tcPr>
            <w:tcW w:type="dxa" w:w="1701"/>
            <w:shd w:val="clear" w:color="auto" w:fill="F2F5FA"/>
            <w:vAlign w:val="center"/>
          </w:tcPr>
          <w:p>
            <w:pPr>
              <w:spacing w:after="0"/>
            </w:pPr>
            <w:r>
              <w:rPr>
                <w:rFonts w:ascii="游ゴシック" w:hAnsi="游ゴシック" w:eastAsia="游ゴシック"/>
                <w:b w:val="0"/>
                <w:sz w:val="16"/>
              </w:rPr>
              <w:t>第3章第2節</w:t>
            </w:r>
          </w:p>
        </w:tc>
      </w:tr>
      <w:tr>
        <w:trPr>
          <w:cantSplit/>
        </w:trPr>
        <w:tc>
          <w:tcPr>
            <w:tcW w:type="dxa" w:w="794"/>
            <w:vAlign w:val="center"/>
          </w:tcPr>
          <w:p>
            <w:pPr>
              <w:spacing w:after="0"/>
              <w:jc w:val="center"/>
            </w:pPr>
            <w:r>
              <w:rPr>
                <w:rFonts w:ascii="游ゴシック" w:hAnsi="游ゴシック" w:eastAsia="游ゴシック"/>
                <w:b w:val="0"/>
                <w:sz w:val="16"/>
              </w:rPr>
              <w:t>No.6</w:t>
            </w:r>
          </w:p>
        </w:tc>
        <w:tc>
          <w:tcPr>
            <w:tcW w:type="dxa" w:w="2608"/>
            <w:vAlign w:val="center"/>
          </w:tcPr>
          <w:p>
            <w:pPr>
              <w:spacing w:after="0"/>
            </w:pPr>
            <w:r>
              <w:rPr>
                <w:rFonts w:ascii="游ゴシック" w:hAnsi="游ゴシック" w:eastAsia="游ゴシック"/>
                <w:b w:val="0"/>
                <w:sz w:val="16"/>
              </w:rPr>
              <w:t>交付金の評価調書</w:t>
            </w:r>
          </w:p>
        </w:tc>
        <w:tc>
          <w:tcPr>
            <w:tcW w:type="dxa" w:w="4649"/>
            <w:vAlign w:val="center"/>
          </w:tcPr>
          <w:p>
            <w:pPr>
              <w:spacing w:after="0"/>
            </w:pPr>
            <w:r>
              <w:rPr>
                <w:rFonts w:ascii="游ゴシック" w:hAnsi="游ゴシック" w:eastAsia="游ゴシック"/>
                <w:b w:val="0"/>
                <w:sz w:val="16"/>
              </w:rPr>
              <w:t>得点が0である項目について、取組がないのか要件を満たさないのか報告していないのかは公表資料から判別できない旨を注に明示した</w:t>
            </w:r>
          </w:p>
        </w:tc>
        <w:tc>
          <w:tcPr>
            <w:tcW w:type="dxa" w:w="1701"/>
            <w:vAlign w:val="center"/>
          </w:tcPr>
          <w:p>
            <w:pPr>
              <w:spacing w:after="0"/>
            </w:pPr>
            <w:r>
              <w:rPr>
                <w:rFonts w:ascii="游ゴシック" w:hAnsi="游ゴシック" w:eastAsia="游ゴシック"/>
                <w:b w:val="0"/>
                <w:sz w:val="16"/>
              </w:rPr>
              <w:t>第3章第4節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No.8</w:t>
            </w:r>
          </w:p>
        </w:tc>
        <w:tc>
          <w:tcPr>
            <w:tcW w:type="dxa" w:w="2608"/>
            <w:shd w:val="clear" w:color="auto" w:fill="F2F5FA"/>
            <w:vAlign w:val="center"/>
          </w:tcPr>
          <w:p>
            <w:pPr>
              <w:spacing w:after="0"/>
            </w:pPr>
            <w:r>
              <w:rPr>
                <w:rFonts w:ascii="游ゴシック" w:hAnsi="游ゴシック" w:eastAsia="游ゴシック"/>
                <w:b w:val="0"/>
                <w:sz w:val="16"/>
              </w:rPr>
              <w:t>3調査の点検事項の取扱い</w:t>
            </w:r>
          </w:p>
        </w:tc>
        <w:tc>
          <w:tcPr>
            <w:tcW w:type="dxa" w:w="4649"/>
            <w:shd w:val="clear" w:color="auto" w:fill="F2F5FA"/>
            <w:vAlign w:val="center"/>
          </w:tcPr>
          <w:p>
            <w:pPr>
              <w:spacing w:after="0"/>
            </w:pPr>
            <w:r>
              <w:rPr>
                <w:rFonts w:ascii="游ゴシック" w:hAnsi="游ゴシック" w:eastAsia="游ゴシック"/>
                <w:b w:val="0"/>
                <w:sz w:val="16"/>
              </w:rPr>
              <w:t>3調査の点検事項（母数・回答の偏り・重複・未回答施設）の取扱いは当方の判定のままとし、確定していないものは［要確認］として残した</w:t>
            </w:r>
          </w:p>
        </w:tc>
        <w:tc>
          <w:tcPr>
            <w:tcW w:type="dxa" w:w="1701"/>
            <w:shd w:val="clear" w:color="auto" w:fill="F2F5FA"/>
            <w:vAlign w:val="center"/>
          </w:tcPr>
          <w:p>
            <w:pPr>
              <w:spacing w:after="0"/>
            </w:pPr>
            <w:r>
              <w:rPr>
                <w:rFonts w:ascii="游ゴシック" w:hAnsi="游ゴシック" w:eastAsia="游ゴシック"/>
                <w:b w:val="0"/>
                <w:sz w:val="16"/>
              </w:rPr>
              <w:t>第2章第5節</w:t>
            </w:r>
          </w:p>
        </w:tc>
      </w:tr>
      <w:tr>
        <w:trPr>
          <w:cantSplit/>
        </w:trPr>
        <w:tc>
          <w:tcPr>
            <w:tcW w:type="dxa" w:w="794"/>
            <w:vAlign w:val="center"/>
          </w:tcPr>
          <w:p>
            <w:pPr>
              <w:spacing w:after="0"/>
              <w:jc w:val="center"/>
            </w:pPr>
            <w:r>
              <w:rPr>
                <w:rFonts w:ascii="游ゴシック" w:hAnsi="游ゴシック" w:eastAsia="游ゴシック"/>
                <w:b w:val="0"/>
                <w:sz w:val="16"/>
              </w:rPr>
              <w:t>No.19</w:t>
            </w:r>
          </w:p>
        </w:tc>
        <w:tc>
          <w:tcPr>
            <w:tcW w:type="dxa" w:w="2608"/>
            <w:vAlign w:val="center"/>
          </w:tcPr>
          <w:p>
            <w:pPr>
              <w:spacing w:after="0"/>
            </w:pPr>
            <w:r>
              <w:rPr>
                <w:rFonts w:ascii="游ゴシック" w:hAnsi="游ゴシック" w:eastAsia="游ゴシック"/>
                <w:b w:val="0"/>
                <w:sz w:val="16"/>
              </w:rPr>
              <w:t>会議日程とパブリックコメントの期間</w:t>
            </w:r>
          </w:p>
        </w:tc>
        <w:tc>
          <w:tcPr>
            <w:tcW w:type="dxa" w:w="4649"/>
            <w:vAlign w:val="center"/>
          </w:tcPr>
          <w:p>
            <w:pPr>
              <w:spacing w:after="0"/>
            </w:pPr>
            <w:r>
              <w:rPr>
                <w:rFonts w:ascii="游ゴシック" w:hAnsi="游ゴシック" w:eastAsia="游ゴシック"/>
                <w:b w:val="0"/>
                <w:sz w:val="16"/>
              </w:rPr>
              <w:t>意見公募手続は令和9年1月にウェブサイトにより2週間実施し概要版を併せて示すものとして掲げ、方法及び時期は［要協議］のまま残した</w:t>
            </w:r>
          </w:p>
        </w:tc>
        <w:tc>
          <w:tcPr>
            <w:tcW w:type="dxa" w:w="1701"/>
            <w:vAlign w:val="center"/>
          </w:tcPr>
          <w:p>
            <w:pPr>
              <w:spacing w:after="0"/>
            </w:pPr>
            <w:r>
              <w:rPr>
                <w:rFonts w:ascii="游ゴシック" w:hAnsi="游ゴシック" w:eastAsia="游ゴシック"/>
                <w:b w:val="0"/>
                <w:sz w:val="16"/>
              </w:rPr>
              <w:t>第1章第5節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No.42</w:t>
            </w:r>
          </w:p>
        </w:tc>
        <w:tc>
          <w:tcPr>
            <w:tcW w:type="dxa" w:w="2608"/>
            <w:shd w:val="clear" w:color="auto" w:fill="F2F5FA"/>
            <w:vAlign w:val="center"/>
          </w:tcPr>
          <w:p>
            <w:pPr>
              <w:spacing w:after="0"/>
            </w:pPr>
            <w:r>
              <w:rPr>
                <w:rFonts w:ascii="游ゴシック" w:hAnsi="游ゴシック" w:eastAsia="游ゴシック"/>
                <w:b w:val="0"/>
                <w:sz w:val="16"/>
              </w:rPr>
              <w:t>キックオフ会議資料への工程表の反映</w:t>
            </w:r>
          </w:p>
        </w:tc>
        <w:tc>
          <w:tcPr>
            <w:tcW w:type="dxa" w:w="4649"/>
            <w:shd w:val="clear" w:color="auto" w:fill="F2F5FA"/>
            <w:vAlign w:val="center"/>
          </w:tcPr>
          <w:p>
            <w:pPr>
              <w:spacing w:after="0"/>
            </w:pPr>
            <w:r>
              <w:rPr>
                <w:rFonts w:ascii="游ゴシック" w:hAnsi="游ゴシック" w:eastAsia="游ゴシック"/>
                <w:b w:val="0"/>
                <w:sz w:val="16"/>
              </w:rPr>
              <w:t>キックオフ会議資料の工程表は現行のまま進めた</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No.9</w:t>
            </w:r>
          </w:p>
        </w:tc>
        <w:tc>
          <w:tcPr>
            <w:tcW w:type="dxa" w:w="2608"/>
            <w:vAlign w:val="center"/>
          </w:tcPr>
          <w:p>
            <w:pPr>
              <w:spacing w:after="0"/>
            </w:pPr>
            <w:r>
              <w:rPr>
                <w:rFonts w:ascii="游ゴシック" w:hAnsi="游ゴシック" w:eastAsia="游ゴシック"/>
                <w:b w:val="0"/>
                <w:sz w:val="16"/>
              </w:rPr>
              <w:t>調査の対象者範囲と回収率</w:t>
            </w:r>
          </w:p>
        </w:tc>
        <w:tc>
          <w:tcPr>
            <w:tcW w:type="dxa" w:w="4649"/>
            <w:vAlign w:val="center"/>
          </w:tcPr>
          <w:p>
            <w:pPr>
              <w:spacing w:after="0"/>
            </w:pPr>
            <w:r>
              <w:rPr>
                <w:rFonts w:ascii="游ゴシック" w:hAnsi="游ゴシック" w:eastAsia="游ゴシック"/>
                <w:b w:val="0"/>
                <w:sz w:val="16"/>
              </w:rPr>
              <w:t>現に収録している対象者の範囲及び回収率によることとし、設問ごとに分母が異なることを注に明示した</w:t>
            </w:r>
          </w:p>
        </w:tc>
        <w:tc>
          <w:tcPr>
            <w:tcW w:type="dxa" w:w="1701"/>
            <w:vAlign w:val="center"/>
          </w:tcPr>
          <w:p>
            <w:pPr>
              <w:spacing w:after="0"/>
            </w:pPr>
            <w:r>
              <w:rPr>
                <w:rFonts w:ascii="游ゴシック" w:hAnsi="游ゴシック" w:eastAsia="游ゴシック"/>
                <w:b w:val="0"/>
                <w:sz w:val="16"/>
              </w:rPr>
              <w:t>第2章第4節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No.10</w:t>
            </w:r>
          </w:p>
        </w:tc>
        <w:tc>
          <w:tcPr>
            <w:tcW w:type="dxa" w:w="2608"/>
            <w:shd w:val="clear" w:color="auto" w:fill="F2F5FA"/>
            <w:vAlign w:val="center"/>
          </w:tcPr>
          <w:p>
            <w:pPr>
              <w:spacing w:after="0"/>
            </w:pPr>
            <w:r>
              <w:rPr>
                <w:rFonts w:ascii="游ゴシック" w:hAnsi="游ゴシック" w:eastAsia="游ゴシック"/>
                <w:b w:val="0"/>
                <w:sz w:val="16"/>
              </w:rPr>
              <w:t>介護人材実態調査の採用者数・退職者数</w:t>
            </w:r>
          </w:p>
        </w:tc>
        <w:tc>
          <w:tcPr>
            <w:tcW w:type="dxa" w:w="4649"/>
            <w:shd w:val="clear" w:color="auto" w:fill="F2F5FA"/>
            <w:vAlign w:val="center"/>
          </w:tcPr>
          <w:p>
            <w:pPr>
              <w:spacing w:after="0"/>
            </w:pPr>
            <w:r>
              <w:rPr>
                <w:rFonts w:ascii="游ゴシック" w:hAnsi="游ゴシック" w:eastAsia="游ゴシック"/>
                <w:b w:val="0"/>
                <w:sz w:val="16"/>
              </w:rPr>
              <w:t>採用83人・離職65人（同一法人の重複を除いた値）によることとし、代表KPI H14は各年9月30日現在の在籍者数を確認できないため未算定のままとした</w:t>
            </w:r>
          </w:p>
        </w:tc>
        <w:tc>
          <w:tcPr>
            <w:tcW w:type="dxa" w:w="1701"/>
            <w:shd w:val="clear" w:color="auto" w:fill="F2F5FA"/>
            <w:vAlign w:val="center"/>
          </w:tcPr>
          <w:p>
            <w:pPr>
              <w:spacing w:after="0"/>
            </w:pPr>
            <w:r>
              <w:rPr>
                <w:rFonts w:ascii="游ゴシック" w:hAnsi="游ゴシック" w:eastAsia="游ゴシック"/>
                <w:b w:val="0"/>
                <w:sz w:val="16"/>
              </w:rPr>
              <w:t>第2章第6節・第4章第3節</w:t>
            </w:r>
          </w:p>
        </w:tc>
      </w:tr>
      <w:tr>
        <w:trPr>
          <w:cantSplit/>
        </w:trPr>
        <w:tc>
          <w:tcPr>
            <w:tcW w:type="dxa" w:w="794"/>
            <w:vAlign w:val="center"/>
          </w:tcPr>
          <w:p>
            <w:pPr>
              <w:spacing w:after="0"/>
              <w:jc w:val="center"/>
            </w:pPr>
            <w:r>
              <w:rPr>
                <w:rFonts w:ascii="游ゴシック" w:hAnsi="游ゴシック" w:eastAsia="游ゴシック"/>
                <w:b w:val="0"/>
                <w:sz w:val="16"/>
              </w:rPr>
              <w:t>No.11</w:t>
            </w:r>
          </w:p>
        </w:tc>
        <w:tc>
          <w:tcPr>
            <w:tcW w:type="dxa" w:w="2608"/>
            <w:vAlign w:val="center"/>
          </w:tcPr>
          <w:p>
            <w:pPr>
              <w:spacing w:after="0"/>
            </w:pPr>
            <w:r>
              <w:rPr>
                <w:rFonts w:ascii="游ゴシック" w:hAnsi="游ゴシック" w:eastAsia="游ゴシック"/>
                <w:b w:val="0"/>
                <w:sz w:val="16"/>
              </w:rPr>
              <w:t>町別の人口・世帯データ</w:t>
            </w:r>
          </w:p>
        </w:tc>
        <w:tc>
          <w:tcPr>
            <w:tcW w:type="dxa" w:w="4649"/>
            <w:vAlign w:val="center"/>
          </w:tcPr>
          <w:p>
            <w:pPr>
              <w:spacing w:after="0"/>
            </w:pPr>
            <w:r>
              <w:rPr>
                <w:rFonts w:ascii="游ゴシック" w:hAnsi="游ゴシック" w:eastAsia="游ゴシック"/>
                <w:b w:val="0"/>
                <w:sz w:val="16"/>
              </w:rPr>
              <w:t>町別・年齢4区分別の人口は令和5年までの各年10月1日現在の値であり、令和6年以降の趨勢は公表されている各年1月1日現在の値による（時点が9か月異なるため同じ系列としてつなげていない）旨を注に明示した</w:t>
            </w:r>
          </w:p>
        </w:tc>
        <w:tc>
          <w:tcPr>
            <w:tcW w:type="dxa" w:w="1701"/>
            <w:vAlign w:val="center"/>
          </w:tcPr>
          <w:p>
            <w:pPr>
              <w:spacing w:after="0"/>
            </w:pPr>
            <w:r>
              <w:rPr>
                <w:rFonts w:ascii="游ゴシック" w:hAnsi="游ゴシック" w:eastAsia="游ゴシック"/>
                <w:b w:val="0"/>
                <w:sz w:val="16"/>
              </w:rPr>
              <w:t>第2章第1節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No.12</w:t>
            </w:r>
          </w:p>
        </w:tc>
        <w:tc>
          <w:tcPr>
            <w:tcW w:type="dxa" w:w="2608"/>
            <w:shd w:val="clear" w:color="auto" w:fill="F2F5FA"/>
            <w:vAlign w:val="center"/>
          </w:tcPr>
          <w:p>
            <w:pPr>
              <w:spacing w:after="0"/>
            </w:pPr>
            <w:r>
              <w:rPr>
                <w:rFonts w:ascii="游ゴシック" w:hAnsi="游ゴシック" w:eastAsia="游ゴシック"/>
                <w:b w:val="0"/>
                <w:sz w:val="16"/>
              </w:rPr>
              <w:t>日常生活圏域別のデータ</w:t>
            </w:r>
          </w:p>
        </w:tc>
        <w:tc>
          <w:tcPr>
            <w:tcW w:type="dxa" w:w="4649"/>
            <w:shd w:val="clear" w:color="auto" w:fill="F2F5FA"/>
            <w:vAlign w:val="center"/>
          </w:tcPr>
          <w:p>
            <w:pPr>
              <w:spacing w:after="0"/>
            </w:pPr>
            <w:r>
              <w:rPr>
                <w:rFonts w:ascii="游ゴシック" w:hAnsi="游ゴシック" w:eastAsia="游ゴシック"/>
                <w:b w:val="0"/>
                <w:sz w:val="16"/>
              </w:rPr>
              <w:t>基盤整備単位は3町（3圏域）とする案のままとし、圏域別の値は第9期計画による令和5年10月1日現在であること及び小学校区と6圏域の対応が確定していないことを注に明示した</w:t>
            </w:r>
          </w:p>
        </w:tc>
        <w:tc>
          <w:tcPr>
            <w:tcW w:type="dxa" w:w="1701"/>
            <w:shd w:val="clear" w:color="auto" w:fill="F2F5FA"/>
            <w:vAlign w:val="center"/>
          </w:tcPr>
          <w:p>
            <w:pPr>
              <w:spacing w:after="0"/>
            </w:pPr>
            <w:r>
              <w:rPr>
                <w:rFonts w:ascii="游ゴシック" w:hAnsi="游ゴシック" w:eastAsia="游ゴシック"/>
                <w:b w:val="0"/>
                <w:sz w:val="16"/>
              </w:rPr>
              <w:t>第1章第7節</w:t>
            </w:r>
          </w:p>
        </w:tc>
      </w:tr>
      <w:tr>
        <w:trPr>
          <w:cantSplit/>
        </w:trPr>
        <w:tc>
          <w:tcPr>
            <w:tcW w:type="dxa" w:w="794"/>
            <w:vAlign w:val="center"/>
          </w:tcPr>
          <w:p>
            <w:pPr>
              <w:spacing w:after="0"/>
              <w:jc w:val="center"/>
            </w:pPr>
            <w:r>
              <w:rPr>
                <w:rFonts w:ascii="游ゴシック" w:hAnsi="游ゴシック" w:eastAsia="游ゴシック"/>
                <w:b w:val="0"/>
                <w:sz w:val="16"/>
              </w:rPr>
              <w:t>No.18</w:t>
            </w:r>
          </w:p>
        </w:tc>
        <w:tc>
          <w:tcPr>
            <w:tcW w:type="dxa" w:w="2608"/>
            <w:vAlign w:val="center"/>
          </w:tcPr>
          <w:p>
            <w:pPr>
              <w:spacing w:after="0"/>
            </w:pPr>
            <w:r>
              <w:rPr>
                <w:rFonts w:ascii="游ゴシック" w:hAnsi="游ゴシック" w:eastAsia="游ゴシック"/>
                <w:b w:val="0"/>
                <w:sz w:val="16"/>
              </w:rPr>
              <w:t>骨子案の内容の確認</w:t>
            </w:r>
          </w:p>
        </w:tc>
        <w:tc>
          <w:tcPr>
            <w:tcW w:type="dxa" w:w="4649"/>
            <w:vAlign w:val="center"/>
          </w:tcPr>
          <w:p>
            <w:pPr>
              <w:spacing w:after="0"/>
            </w:pPr>
            <w:r>
              <w:rPr>
                <w:rFonts w:ascii="游ゴシック" w:hAnsi="游ゴシック" w:eastAsia="游ゴシック"/>
                <w:b w:val="0"/>
                <w:sz w:val="16"/>
              </w:rPr>
              <w:t>骨子案は提出した内容のままとした</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No.22</w:t>
            </w:r>
          </w:p>
        </w:tc>
        <w:tc>
          <w:tcPr>
            <w:tcW w:type="dxa" w:w="2608"/>
            <w:shd w:val="clear" w:color="auto" w:fill="F2F5FA"/>
            <w:vAlign w:val="center"/>
          </w:tcPr>
          <w:p>
            <w:pPr>
              <w:spacing w:after="0"/>
            </w:pPr>
            <w:r>
              <w:rPr>
                <w:rFonts w:ascii="游ゴシック" w:hAnsi="游ゴシック" w:eastAsia="游ゴシック"/>
                <w:b w:val="0"/>
                <w:sz w:val="16"/>
              </w:rPr>
              <w:t>北海道の評価指標の読替えの考え方</w:t>
            </w:r>
          </w:p>
        </w:tc>
        <w:tc>
          <w:tcPr>
            <w:tcW w:type="dxa" w:w="4649"/>
            <w:shd w:val="clear" w:color="auto" w:fill="F2F5FA"/>
            <w:vAlign w:val="center"/>
          </w:tcPr>
          <w:p>
            <w:pPr>
              <w:spacing w:after="0"/>
            </w:pPr>
            <w:r>
              <w:rPr>
                <w:rFonts w:ascii="游ゴシック" w:hAnsi="游ゴシック" w:eastAsia="游ゴシック"/>
                <w:b w:val="0"/>
                <w:sz w:val="16"/>
              </w:rPr>
              <w:t>北海道の評価指標のうち市町村数を単位とするものの読替えは当方の整理によることとし（読替えの方法は第8節の表）、考え方が示された場合は改める旨を第6節の注に明示した</w:t>
            </w:r>
          </w:p>
        </w:tc>
        <w:tc>
          <w:tcPr>
            <w:tcW w:type="dxa" w:w="1701"/>
            <w:shd w:val="clear" w:color="auto" w:fill="F2F5FA"/>
            <w:vAlign w:val="center"/>
          </w:tcPr>
          <w:p>
            <w:pPr>
              <w:spacing w:after="0"/>
            </w:pPr>
            <w:r>
              <w:rPr>
                <w:rFonts w:ascii="游ゴシック" w:hAnsi="游ゴシック" w:eastAsia="游ゴシック"/>
                <w:b w:val="0"/>
                <w:sz w:val="16"/>
              </w:rPr>
              <w:t>第1章第6節・第8節</w:t>
            </w:r>
          </w:p>
        </w:tc>
      </w:tr>
      <w:tr>
        <w:trPr>
          <w:cantSplit/>
        </w:trPr>
        <w:tc>
          <w:tcPr>
            <w:tcW w:type="dxa" w:w="794"/>
            <w:vAlign w:val="center"/>
          </w:tcPr>
          <w:p>
            <w:pPr>
              <w:spacing w:after="0"/>
              <w:jc w:val="center"/>
            </w:pPr>
            <w:r>
              <w:rPr>
                <w:rFonts w:ascii="游ゴシック" w:hAnsi="游ゴシック" w:eastAsia="游ゴシック"/>
                <w:b w:val="0"/>
                <w:sz w:val="16"/>
              </w:rPr>
              <w:t>No.27</w:t>
            </w:r>
          </w:p>
        </w:tc>
        <w:tc>
          <w:tcPr>
            <w:tcW w:type="dxa" w:w="2608"/>
            <w:vAlign w:val="center"/>
          </w:tcPr>
          <w:p>
            <w:pPr>
              <w:spacing w:after="0"/>
            </w:pPr>
            <w:r>
              <w:rPr>
                <w:rFonts w:ascii="游ゴシック" w:hAnsi="游ゴシック" w:eastAsia="游ゴシック"/>
                <w:b w:val="0"/>
                <w:sz w:val="16"/>
              </w:rPr>
              <w:t>令和4年度 健康とくらしの調査の集計表</w:t>
            </w:r>
          </w:p>
        </w:tc>
        <w:tc>
          <w:tcPr>
            <w:tcW w:type="dxa" w:w="4649"/>
            <w:vAlign w:val="center"/>
          </w:tcPr>
          <w:p>
            <w:pPr>
              <w:spacing w:after="0"/>
            </w:pPr>
            <w:r>
              <w:rPr>
                <w:rFonts w:ascii="游ゴシック" w:hAnsi="游ゴシック" w:eastAsia="游ゴシック"/>
                <w:b w:val="0"/>
                <w:sz w:val="16"/>
              </w:rPr>
              <w:t>前回との比較は第9期計画の本文に掲げられた指標に限り、検定は有効回答数を約4,700として行っている旨を注に明示した</w:t>
            </w:r>
          </w:p>
        </w:tc>
        <w:tc>
          <w:tcPr>
            <w:tcW w:type="dxa" w:w="1701"/>
            <w:vAlign w:val="center"/>
          </w:tcPr>
          <w:p>
            <w:pPr>
              <w:spacing w:after="0"/>
            </w:pPr>
            <w:r>
              <w:rPr>
                <w:rFonts w:ascii="游ゴシック" w:hAnsi="游ゴシック" w:eastAsia="游ゴシック"/>
                <w:b w:val="0"/>
                <w:sz w:val="16"/>
              </w:rPr>
              <w:t>第2章第4節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No.28</w:t>
            </w:r>
          </w:p>
        </w:tc>
        <w:tc>
          <w:tcPr>
            <w:tcW w:type="dxa" w:w="2608"/>
            <w:shd w:val="clear" w:color="auto" w:fill="F2F5FA"/>
            <w:vAlign w:val="center"/>
          </w:tcPr>
          <w:p>
            <w:pPr>
              <w:spacing w:after="0"/>
            </w:pPr>
            <w:r>
              <w:rPr>
                <w:rFonts w:ascii="游ゴシック" w:hAnsi="游ゴシック" w:eastAsia="游ゴシック"/>
                <w:b w:val="0"/>
                <w:sz w:val="16"/>
              </w:rPr>
              <w:t>調査対象者の範囲の確認</w:t>
            </w:r>
          </w:p>
        </w:tc>
        <w:tc>
          <w:tcPr>
            <w:tcW w:type="dxa" w:w="4649"/>
            <w:shd w:val="clear" w:color="auto" w:fill="F2F5FA"/>
            <w:vAlign w:val="center"/>
          </w:tcPr>
          <w:p>
            <w:pPr>
              <w:spacing w:after="0"/>
            </w:pPr>
            <w:r>
              <w:rPr>
                <w:rFonts w:ascii="游ゴシック" w:hAnsi="游ゴシック" w:eastAsia="游ゴシック"/>
                <w:b w:val="0"/>
                <w:sz w:val="16"/>
              </w:rPr>
              <w:t>健康とくらしの調査の対象者に要支援者及び要介護者を含まないことと、他の調査と母集団が異なるため合算できないことを明示した</w:t>
            </w:r>
          </w:p>
        </w:tc>
        <w:tc>
          <w:tcPr>
            <w:tcW w:type="dxa" w:w="1701"/>
            <w:shd w:val="clear" w:color="auto" w:fill="F2F5FA"/>
            <w:vAlign w:val="center"/>
          </w:tcPr>
          <w:p>
            <w:pPr>
              <w:spacing w:after="0"/>
            </w:pPr>
            <w:r>
              <w:rPr>
                <w:rFonts w:ascii="游ゴシック" w:hAnsi="游ゴシック" w:eastAsia="游ゴシック"/>
                <w:b w:val="0"/>
                <w:sz w:val="16"/>
              </w:rPr>
              <w:t>第2章第4節</w:t>
            </w:r>
          </w:p>
        </w:tc>
      </w:tr>
      <w:tr>
        <w:trPr>
          <w:cantSplit/>
        </w:trPr>
        <w:tc>
          <w:tcPr>
            <w:tcW w:type="dxa" w:w="794"/>
            <w:vAlign w:val="center"/>
          </w:tcPr>
          <w:p>
            <w:pPr>
              <w:spacing w:after="0"/>
              <w:jc w:val="center"/>
            </w:pPr>
            <w:r>
              <w:rPr>
                <w:rFonts w:ascii="游ゴシック" w:hAnsi="游ゴシック" w:eastAsia="游ゴシック"/>
                <w:b w:val="0"/>
                <w:sz w:val="16"/>
              </w:rPr>
              <w:t>No.38</w:t>
            </w:r>
          </w:p>
        </w:tc>
        <w:tc>
          <w:tcPr>
            <w:tcW w:type="dxa" w:w="2608"/>
            <w:vAlign w:val="center"/>
          </w:tcPr>
          <w:p>
            <w:pPr>
              <w:spacing w:after="0"/>
            </w:pPr>
            <w:r>
              <w:rPr>
                <w:rFonts w:ascii="游ゴシック" w:hAnsi="游ゴシック" w:eastAsia="游ゴシック"/>
                <w:b w:val="0"/>
                <w:sz w:val="16"/>
              </w:rPr>
              <w:t>交付金評価の令和6年・令和7年調査の結果</w:t>
            </w:r>
          </w:p>
        </w:tc>
        <w:tc>
          <w:tcPr>
            <w:tcW w:type="dxa" w:w="4649"/>
            <w:vAlign w:val="center"/>
          </w:tcPr>
          <w:p>
            <w:pPr>
              <w:spacing w:after="0"/>
            </w:pPr>
            <w:r>
              <w:rPr>
                <w:rFonts w:ascii="游ゴシック" w:hAnsi="游ゴシック" w:eastAsia="游ゴシック"/>
                <w:b w:val="0"/>
                <w:sz w:val="16"/>
              </w:rPr>
              <w:t>公表されている全国集計の値によることとし、令和6年度分の評価は第8期の取組を反映したものであって評価の年度と取組の年度が一致しないことを注に明示した</w:t>
            </w:r>
          </w:p>
        </w:tc>
        <w:tc>
          <w:tcPr>
            <w:tcW w:type="dxa" w:w="1701"/>
            <w:vAlign w:val="center"/>
          </w:tcPr>
          <w:p>
            <w:pPr>
              <w:spacing w:after="0"/>
            </w:pPr>
            <w:r>
              <w:rPr>
                <w:rFonts w:ascii="游ゴシック" w:hAnsi="游ゴシック" w:eastAsia="游ゴシック"/>
                <w:b w:val="0"/>
                <w:sz w:val="16"/>
              </w:rPr>
              <w:t>第3章第4節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No.46</w:t>
            </w:r>
          </w:p>
        </w:tc>
        <w:tc>
          <w:tcPr>
            <w:tcW w:type="dxa" w:w="2608"/>
            <w:shd w:val="clear" w:color="auto" w:fill="F2F5FA"/>
            <w:vAlign w:val="center"/>
          </w:tcPr>
          <w:p>
            <w:pPr>
              <w:spacing w:after="0"/>
            </w:pPr>
            <w:r>
              <w:rPr>
                <w:rFonts w:ascii="游ゴシック" w:hAnsi="游ゴシック" w:eastAsia="游ゴシック"/>
                <w:b w:val="0"/>
                <w:sz w:val="16"/>
              </w:rPr>
              <w:t>令和7年度の給付費の集計が一致しない</w:t>
            </w:r>
          </w:p>
        </w:tc>
        <w:tc>
          <w:tcPr>
            <w:tcW w:type="dxa" w:w="4649"/>
            <w:shd w:val="clear" w:color="auto" w:fill="F2F5FA"/>
            <w:vAlign w:val="center"/>
          </w:tcPr>
          <w:p>
            <w:pPr>
              <w:spacing w:after="0"/>
            </w:pPr>
            <w:r>
              <w:rPr>
                <w:rFonts w:ascii="游ゴシック" w:hAnsi="游ゴシック" w:eastAsia="游ゴシック"/>
                <w:b w:val="0"/>
                <w:sz w:val="16"/>
              </w:rPr>
              <w:t>令和8年9月25日の再提供により決着した。再提供を受けたファイルの値（3町合計と要介護度別まで円単位一致）による</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No.47</w:t>
            </w:r>
          </w:p>
        </w:tc>
        <w:tc>
          <w:tcPr>
            <w:tcW w:type="dxa" w:w="2608"/>
            <w:vAlign w:val="center"/>
          </w:tcPr>
          <w:p>
            <w:pPr>
              <w:spacing w:after="0"/>
            </w:pPr>
            <w:r>
              <w:rPr>
                <w:rFonts w:ascii="游ゴシック" w:hAnsi="游ゴシック" w:eastAsia="游ゴシック"/>
                <w:b w:val="0"/>
                <w:sz w:val="16"/>
              </w:rPr>
              <w:t>計画作成支援ツールの実績値シートの確認</w:t>
            </w:r>
          </w:p>
        </w:tc>
        <w:tc>
          <w:tcPr>
            <w:tcW w:type="dxa" w:w="4649"/>
            <w:vAlign w:val="center"/>
          </w:tcPr>
          <w:p>
            <w:pPr>
              <w:spacing w:after="0"/>
            </w:pPr>
            <w:r>
              <w:rPr>
                <w:rFonts w:ascii="游ゴシック" w:hAnsi="游ゴシック" w:eastAsia="游ゴシック"/>
                <w:b w:val="0"/>
                <w:sz w:val="16"/>
              </w:rPr>
              <w:t>給付費の実績は年報及び総括表詳細（保険者単位）によることとし、計画作成支援ツールの実績値は3町を合計しても保険者単位にならないため比較のためにのみ用いる旨を注に明示した</w:t>
            </w:r>
          </w:p>
        </w:tc>
        <w:tc>
          <w:tcPr>
            <w:tcW w:type="dxa" w:w="1701"/>
            <w:vAlign w:val="center"/>
          </w:tcPr>
          <w:p>
            <w:pPr>
              <w:spacing w:after="0"/>
            </w:pPr>
            <w:r>
              <w:rPr>
                <w:rFonts w:ascii="游ゴシック" w:hAnsi="游ゴシック" w:eastAsia="游ゴシック"/>
                <w:b w:val="0"/>
                <w:sz w:val="16"/>
              </w:rPr>
              <w:t>第6章第3節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No.48</w:t>
            </w:r>
          </w:p>
        </w:tc>
        <w:tc>
          <w:tcPr>
            <w:tcW w:type="dxa" w:w="2608"/>
            <w:shd w:val="clear" w:color="auto" w:fill="F2F5FA"/>
            <w:vAlign w:val="center"/>
          </w:tcPr>
          <w:p>
            <w:pPr>
              <w:spacing w:after="0"/>
            </w:pPr>
            <w:r>
              <w:rPr>
                <w:rFonts w:ascii="游ゴシック" w:hAnsi="游ゴシック" w:eastAsia="游ゴシック"/>
                <w:b w:val="0"/>
                <w:sz w:val="16"/>
              </w:rPr>
              <w:t>総合事業の実施状況に関する調査（令和6年度）の確認</w:t>
            </w:r>
          </w:p>
        </w:tc>
        <w:tc>
          <w:tcPr>
            <w:tcW w:type="dxa" w:w="4649"/>
            <w:shd w:val="clear" w:color="auto" w:fill="F2F5FA"/>
            <w:vAlign w:val="center"/>
          </w:tcPr>
          <w:p>
            <w:pPr>
              <w:spacing w:after="0"/>
            </w:pPr>
            <w:r>
              <w:rPr>
                <w:rFonts w:ascii="游ゴシック" w:hAnsi="游ゴシック" w:eastAsia="游ゴシック"/>
                <w:b w:val="0"/>
                <w:sz w:val="16"/>
              </w:rPr>
              <w:t>収録済みの令和6年度の総合事業の実施状況に関する調査の値によることとし、参加率の分母が見える化システムのA系列であり住民基本台帳とは異なる旨を注に明示した</w:t>
            </w:r>
          </w:p>
        </w:tc>
        <w:tc>
          <w:tcPr>
            <w:tcW w:type="dxa" w:w="1701"/>
            <w:shd w:val="clear" w:color="auto" w:fill="F2F5FA"/>
            <w:vAlign w:val="center"/>
          </w:tcPr>
          <w:p>
            <w:pPr>
              <w:spacing w:after="0"/>
            </w:pPr>
            <w:r>
              <w:rPr>
                <w:rFonts w:ascii="游ゴシック" w:hAnsi="游ゴシック" w:eastAsia="游ゴシック"/>
                <w:b w:val="0"/>
                <w:sz w:val="16"/>
              </w:rPr>
              <w:t>第3章第1節・第2節</w:t>
            </w:r>
          </w:p>
        </w:tc>
      </w:tr>
      <w:tr>
        <w:trPr>
          <w:cantSplit/>
        </w:trPr>
        <w:tc>
          <w:tcPr>
            <w:tcW w:type="dxa" w:w="794"/>
            <w:vAlign w:val="center"/>
          </w:tcPr>
          <w:p>
            <w:pPr>
              <w:spacing w:after="0"/>
              <w:jc w:val="center"/>
            </w:pPr>
            <w:r>
              <w:rPr>
                <w:rFonts w:ascii="游ゴシック" w:hAnsi="游ゴシック" w:eastAsia="游ゴシック"/>
                <w:b w:val="0"/>
                <w:sz w:val="16"/>
              </w:rPr>
              <w:t>No.50</w:t>
            </w:r>
          </w:p>
        </w:tc>
        <w:tc>
          <w:tcPr>
            <w:tcW w:type="dxa" w:w="2608"/>
            <w:vAlign w:val="center"/>
          </w:tcPr>
          <w:p>
            <w:pPr>
              <w:spacing w:after="0"/>
            </w:pPr>
            <w:r>
              <w:rPr>
                <w:rFonts w:ascii="游ゴシック" w:hAnsi="游ゴシック" w:eastAsia="游ゴシック"/>
                <w:b w:val="0"/>
                <w:sz w:val="16"/>
              </w:rPr>
              <w:t>年報・月報の受領に伴う確認</w:t>
            </w:r>
          </w:p>
        </w:tc>
        <w:tc>
          <w:tcPr>
            <w:tcW w:type="dxa" w:w="4649"/>
            <w:vAlign w:val="center"/>
          </w:tcPr>
          <w:p>
            <w:pPr>
              <w:spacing w:after="0"/>
            </w:pPr>
            <w:r>
              <w:rPr>
                <w:rFonts w:ascii="游ゴシック" w:hAnsi="游ゴシック" w:eastAsia="游ゴシック"/>
                <w:b w:val="0"/>
                <w:sz w:val="16"/>
              </w:rPr>
              <w:t>受領済みの年報・月報の値によることとし、重度要介護認定率の実績は見える化システムの系列による6.3％であって年報から算定すると6.38％になること（判定は変わらない）を注に明示した</w:t>
            </w:r>
          </w:p>
        </w:tc>
        <w:tc>
          <w:tcPr>
            <w:tcW w:type="dxa" w:w="1701"/>
            <w:vAlign w:val="center"/>
          </w:tcPr>
          <w:p>
            <w:pPr>
              <w:spacing w:after="0"/>
            </w:pPr>
            <w:r>
              <w:rPr>
                <w:rFonts w:ascii="游ゴシック" w:hAnsi="游ゴシック" w:eastAsia="游ゴシック"/>
                <w:b w:val="0"/>
                <w:sz w:val="16"/>
              </w:rPr>
              <w:t>第3章第1節・第6章第6節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No.51</w:t>
            </w:r>
          </w:p>
        </w:tc>
        <w:tc>
          <w:tcPr>
            <w:tcW w:type="dxa" w:w="2608"/>
            <w:shd w:val="clear" w:color="auto" w:fill="F2F5FA"/>
            <w:vAlign w:val="center"/>
          </w:tcPr>
          <w:p>
            <w:pPr>
              <w:spacing w:after="0"/>
            </w:pPr>
            <w:r>
              <w:rPr>
                <w:rFonts w:ascii="游ゴシック" w:hAnsi="游ゴシック" w:eastAsia="游ゴシック"/>
                <w:b w:val="0"/>
                <w:sz w:val="16"/>
              </w:rPr>
              <w:t>月報の値の接続のずれ（ご報告）</w:t>
            </w:r>
          </w:p>
        </w:tc>
        <w:tc>
          <w:tcPr>
            <w:tcW w:type="dxa" w:w="4649"/>
            <w:shd w:val="clear" w:color="auto" w:fill="F2F5FA"/>
            <w:vAlign w:val="center"/>
          </w:tcPr>
          <w:p>
            <w:pPr>
              <w:spacing w:after="0"/>
            </w:pPr>
            <w:r>
              <w:rPr>
                <w:rFonts w:ascii="游ゴシック" w:hAnsi="游ゴシック" w:eastAsia="游ゴシック"/>
                <w:b w:val="0"/>
                <w:sz w:val="16"/>
              </w:rPr>
              <w:t>月報の値の接続のずれは受領点検に記録として残し、計画本文には用いていない</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No.52</w:t>
            </w:r>
          </w:p>
        </w:tc>
        <w:tc>
          <w:tcPr>
            <w:tcW w:type="dxa" w:w="2608"/>
            <w:vAlign w:val="center"/>
          </w:tcPr>
          <w:p>
            <w:pPr>
              <w:spacing w:after="0"/>
            </w:pPr>
            <w:r>
              <w:rPr>
                <w:rFonts w:ascii="游ゴシック" w:hAnsi="游ゴシック" w:eastAsia="游ゴシック"/>
                <w:b w:val="0"/>
                <w:sz w:val="16"/>
              </w:rPr>
              <w:t>令和6年度決算書の受領に伴う確認</w:t>
            </w:r>
          </w:p>
        </w:tc>
        <w:tc>
          <w:tcPr>
            <w:tcW w:type="dxa" w:w="4649"/>
            <w:vAlign w:val="center"/>
          </w:tcPr>
          <w:p>
            <w:pPr>
              <w:spacing w:after="0"/>
            </w:pPr>
            <w:r>
              <w:rPr>
                <w:rFonts w:ascii="游ゴシック" w:hAnsi="游ゴシック" w:eastAsia="游ゴシック"/>
                <w:b w:val="0"/>
                <w:sz w:val="16"/>
              </w:rPr>
              <w:t>区分の名称及び科目は令和6年度決算書の表記によることとし、「一般介護予防事業費」の項がないことを注に明示した（地域支援事業費の総額は変わらない）</w:t>
            </w:r>
          </w:p>
        </w:tc>
        <w:tc>
          <w:tcPr>
            <w:tcW w:type="dxa" w:w="1701"/>
            <w:vAlign w:val="center"/>
          </w:tcPr>
          <w:p>
            <w:pPr>
              <w:spacing w:after="0"/>
            </w:pPr>
            <w:r>
              <w:rPr>
                <w:rFonts w:ascii="游ゴシック" w:hAnsi="游ゴシック" w:eastAsia="游ゴシック"/>
                <w:b w:val="0"/>
                <w:sz w:val="16"/>
              </w:rPr>
              <w:t>第3章第2節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No.53</w:t>
            </w:r>
          </w:p>
        </w:tc>
        <w:tc>
          <w:tcPr>
            <w:tcW w:type="dxa" w:w="2608"/>
            <w:shd w:val="clear" w:color="auto" w:fill="F2F5FA"/>
            <w:vAlign w:val="center"/>
          </w:tcPr>
          <w:p>
            <w:pPr>
              <w:spacing w:after="0"/>
            </w:pPr>
            <w:r>
              <w:rPr>
                <w:rFonts w:ascii="游ゴシック" w:hAnsi="游ゴシック" w:eastAsia="游ゴシック"/>
                <w:b w:val="0"/>
                <w:sz w:val="16"/>
              </w:rPr>
              <w:t>介護保険事業財政調整基金の積立ての上限と取崩方針</w:t>
            </w:r>
          </w:p>
        </w:tc>
        <w:tc>
          <w:tcPr>
            <w:tcW w:type="dxa" w:w="4649"/>
            <w:shd w:val="clear" w:color="auto" w:fill="F2F5FA"/>
            <w:vAlign w:val="center"/>
          </w:tcPr>
          <w:p>
            <w:pPr>
              <w:spacing w:after="0"/>
            </w:pPr>
            <w:r>
              <w:rPr>
                <w:rFonts w:ascii="游ゴシック" w:hAnsi="游ゴシック" w:eastAsia="游ゴシック"/>
                <w:b w:val="0"/>
                <w:sz w:val="16"/>
              </w:rPr>
              <w:t>財政調整基金を取り崩さないものとして算定し（不足する側に誤らない置き方）、1億円を取り崩した場合の月額への効きを併記した</w:t>
            </w:r>
          </w:p>
        </w:tc>
        <w:tc>
          <w:tcPr>
            <w:tcW w:type="dxa" w:w="1701"/>
            <w:shd w:val="clear" w:color="auto" w:fill="F2F5FA"/>
            <w:vAlign w:val="center"/>
          </w:tcPr>
          <w:p>
            <w:pPr>
              <w:spacing w:after="0"/>
            </w:pPr>
            <w:r>
              <w:rPr>
                <w:rFonts w:ascii="游ゴシック" w:hAnsi="游ゴシック" w:eastAsia="游ゴシック"/>
                <w:b w:val="0"/>
                <w:sz w:val="16"/>
              </w:rPr>
              <w:t>第6章第6節</w:t>
            </w:r>
          </w:p>
        </w:tc>
      </w:tr>
      <w:tr>
        <w:trPr>
          <w:cantSplit/>
        </w:trPr>
        <w:tc>
          <w:tcPr>
            <w:tcW w:type="dxa" w:w="794"/>
            <w:vAlign w:val="center"/>
          </w:tcPr>
          <w:p>
            <w:pPr>
              <w:spacing w:after="0"/>
              <w:jc w:val="center"/>
            </w:pPr>
            <w:r>
              <w:rPr>
                <w:rFonts w:ascii="游ゴシック" w:hAnsi="游ゴシック" w:eastAsia="游ゴシック"/>
                <w:b w:val="0"/>
                <w:sz w:val="16"/>
              </w:rPr>
              <w:t>No.54</w:t>
            </w:r>
          </w:p>
        </w:tc>
        <w:tc>
          <w:tcPr>
            <w:tcW w:type="dxa" w:w="2608"/>
            <w:vAlign w:val="center"/>
          </w:tcPr>
          <w:p>
            <w:pPr>
              <w:spacing w:after="0"/>
            </w:pPr>
            <w:r>
              <w:rPr>
                <w:rFonts w:ascii="游ゴシック" w:hAnsi="游ゴシック" w:eastAsia="游ゴシック"/>
                <w:b w:val="0"/>
                <w:sz w:val="16"/>
              </w:rPr>
              <w:t>議事録の文書プロパティに個人名が再度入る</w:t>
            </w:r>
          </w:p>
        </w:tc>
        <w:tc>
          <w:tcPr>
            <w:tcW w:type="dxa" w:w="4649"/>
            <w:vAlign w:val="center"/>
          </w:tcPr>
          <w:p>
            <w:pPr>
              <w:spacing w:after="0"/>
            </w:pPr>
            <w:r>
              <w:rPr>
                <w:rFonts w:ascii="游ゴシック" w:hAnsi="游ゴシック" w:eastAsia="游ゴシック"/>
                <w:b w:val="0"/>
                <w:sz w:val="16"/>
              </w:rPr>
              <w:t>中間報告会議議事録の文書プロパティの作成者を法人名とし、個人名が入らない形で再出力した</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No.55</w:t>
            </w:r>
          </w:p>
        </w:tc>
        <w:tc>
          <w:tcPr>
            <w:tcW w:type="dxa" w:w="2608"/>
            <w:shd w:val="clear" w:color="auto" w:fill="F2F5FA"/>
            <w:vAlign w:val="center"/>
          </w:tcPr>
          <w:p>
            <w:pPr>
              <w:spacing w:after="0"/>
            </w:pPr>
            <w:r>
              <w:rPr>
                <w:rFonts w:ascii="游ゴシック" w:hAnsi="游ゴシック" w:eastAsia="游ゴシック"/>
                <w:b w:val="0"/>
                <w:sz w:val="16"/>
              </w:rPr>
              <w:t>議事録の表記に関するご提案3件</w:t>
            </w:r>
          </w:p>
        </w:tc>
        <w:tc>
          <w:tcPr>
            <w:tcW w:type="dxa" w:w="4649"/>
            <w:shd w:val="clear" w:color="auto" w:fill="F2F5FA"/>
            <w:vAlign w:val="center"/>
          </w:tcPr>
          <w:p>
            <w:pPr>
              <w:spacing w:after="0"/>
            </w:pPr>
            <w:r>
              <w:rPr>
                <w:rFonts w:ascii="游ゴシック" w:hAnsi="游ゴシック" w:eastAsia="游ゴシック"/>
                <w:b w:val="0"/>
                <w:sz w:val="16"/>
              </w:rPr>
              <w:t>議事録の表記に関するご提案3件（文のねじれ・並列の「及び」・文体）を本文へ反映した。受領版の表記のままとするご判断であれば戻す</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No.56</w:t>
            </w:r>
          </w:p>
        </w:tc>
        <w:tc>
          <w:tcPr>
            <w:tcW w:type="dxa" w:w="2608"/>
            <w:vAlign w:val="center"/>
          </w:tcPr>
          <w:p>
            <w:pPr>
              <w:spacing w:after="0"/>
            </w:pPr>
            <w:r>
              <w:rPr>
                <w:rFonts w:ascii="游ゴシック" w:hAnsi="游ゴシック" w:eastAsia="游ゴシック"/>
                <w:b w:val="0"/>
                <w:sz w:val="16"/>
              </w:rPr>
              <w:t>令和8年8月31日受領の要介護認定集計帳票6件が他団体のもの</w:t>
            </w:r>
          </w:p>
        </w:tc>
        <w:tc>
          <w:tcPr>
            <w:tcW w:type="dxa" w:w="4649"/>
            <w:vAlign w:val="center"/>
          </w:tcPr>
          <w:p>
            <w:pPr>
              <w:spacing w:after="0"/>
            </w:pPr>
            <w:r>
              <w:rPr>
                <w:rFonts w:ascii="游ゴシック" w:hAnsi="游ゴシック" w:eastAsia="游ゴシック"/>
                <w:b w:val="0"/>
                <w:sz w:val="16"/>
              </w:rPr>
              <w:t>他団体の要介護認定集計帳票6件は成果品に用いず、計画素案その他の成果品に当該団体名は現れない</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No.59</w:t>
            </w:r>
          </w:p>
        </w:tc>
        <w:tc>
          <w:tcPr>
            <w:tcW w:type="dxa" w:w="2608"/>
            <w:shd w:val="clear" w:color="auto" w:fill="F2F5FA"/>
            <w:vAlign w:val="center"/>
          </w:tcPr>
          <w:p>
            <w:pPr>
              <w:spacing w:after="0"/>
            </w:pPr>
            <w:r>
              <w:rPr>
                <w:rFonts w:ascii="游ゴシック" w:hAnsi="游ゴシック" w:eastAsia="游ゴシック"/>
                <w:b w:val="0"/>
                <w:sz w:val="16"/>
              </w:rPr>
              <w:t>調整交付金の算定基礎の確認</w:t>
            </w:r>
          </w:p>
        </w:tc>
        <w:tc>
          <w:tcPr>
            <w:tcW w:type="dxa" w:w="4649"/>
            <w:shd w:val="clear" w:color="auto" w:fill="F2F5FA"/>
            <w:vAlign w:val="center"/>
          </w:tcPr>
          <w:p>
            <w:pPr>
              <w:spacing w:after="0"/>
            </w:pPr>
            <w:r>
              <w:rPr>
                <w:rFonts w:ascii="游ゴシック" w:hAnsi="游ゴシック" w:eastAsia="游ゴシック"/>
                <w:b w:val="0"/>
                <w:sz w:val="16"/>
              </w:rPr>
              <w:t>調整交付金の算定基礎は標準給付費見込額と介護予防・日常生活支援総合事業費の合計であり包括的支援事業費及び任意事業費を含まないこと、この扱いにより第9期の公表値と一致することを注に明示した</w:t>
            </w:r>
          </w:p>
        </w:tc>
        <w:tc>
          <w:tcPr>
            <w:tcW w:type="dxa" w:w="1701"/>
            <w:shd w:val="clear" w:color="auto" w:fill="F2F5FA"/>
            <w:vAlign w:val="center"/>
          </w:tcPr>
          <w:p>
            <w:pPr>
              <w:spacing w:after="0"/>
            </w:pPr>
            <w:r>
              <w:rPr>
                <w:rFonts w:ascii="游ゴシック" w:hAnsi="游ゴシック" w:eastAsia="游ゴシック"/>
                <w:b w:val="0"/>
                <w:sz w:val="16"/>
              </w:rPr>
              <w:t>第6章第6節4</w:t>
            </w:r>
          </w:p>
        </w:tc>
      </w:tr>
      <w:tr>
        <w:trPr>
          <w:cantSplit/>
        </w:trPr>
        <w:tc>
          <w:tcPr>
            <w:tcW w:type="dxa" w:w="794"/>
            <w:vAlign w:val="center"/>
          </w:tcPr>
          <w:p>
            <w:pPr>
              <w:spacing w:after="0"/>
              <w:jc w:val="center"/>
            </w:pPr>
            <w:r>
              <w:rPr>
                <w:rFonts w:ascii="游ゴシック" w:hAnsi="游ゴシック" w:eastAsia="游ゴシック"/>
                <w:b w:val="0"/>
                <w:sz w:val="16"/>
              </w:rPr>
              <w:t>No.61</w:t>
            </w:r>
          </w:p>
        </w:tc>
        <w:tc>
          <w:tcPr>
            <w:tcW w:type="dxa" w:w="2608"/>
            <w:vAlign w:val="center"/>
          </w:tcPr>
          <w:p>
            <w:pPr>
              <w:spacing w:after="0"/>
            </w:pPr>
            <w:r>
              <w:rPr>
                <w:rFonts w:ascii="游ゴシック" w:hAnsi="游ゴシック" w:eastAsia="游ゴシック"/>
                <w:b w:val="0"/>
                <w:sz w:val="16"/>
              </w:rPr>
              <w:t>交付金の評価項目と19施策の割当て</w:t>
            </w:r>
          </w:p>
        </w:tc>
        <w:tc>
          <w:tcPr>
            <w:tcW w:type="dxa" w:w="4649"/>
            <w:vAlign w:val="center"/>
          </w:tcPr>
          <w:p>
            <w:pPr>
              <w:spacing w:after="0"/>
            </w:pPr>
            <w:r>
              <w:rPr>
                <w:rFonts w:ascii="游ゴシック" w:hAnsi="游ゴシック" w:eastAsia="游ゴシック"/>
                <w:b w:val="0"/>
                <w:sz w:val="16"/>
              </w:rPr>
              <w:t>交付金の評価項目と19施策の割当ては当方の案のままとし、計画本文には掲げていない（第9期施策別評価表による）</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No.80</w:t>
            </w:r>
          </w:p>
        </w:tc>
        <w:tc>
          <w:tcPr>
            <w:tcW w:type="dxa" w:w="2608"/>
            <w:shd w:val="clear" w:color="auto" w:fill="F2F5FA"/>
            <w:vAlign w:val="center"/>
          </w:tcPr>
          <w:p>
            <w:pPr>
              <w:spacing w:after="0"/>
            </w:pPr>
            <w:r>
              <w:rPr>
                <w:rFonts w:ascii="游ゴシック" w:hAnsi="游ゴシック" w:eastAsia="游ゴシック"/>
                <w:b w:val="0"/>
                <w:sz w:val="16"/>
              </w:rPr>
              <w:t>職員個票のリストによる重複確認の可否</w:t>
            </w:r>
          </w:p>
        </w:tc>
        <w:tc>
          <w:tcPr>
            <w:tcW w:type="dxa" w:w="4649"/>
            <w:shd w:val="clear" w:color="auto" w:fill="F2F5FA"/>
            <w:vAlign w:val="center"/>
          </w:tcPr>
          <w:p>
            <w:pPr>
              <w:spacing w:after="0"/>
            </w:pPr>
            <w:r>
              <w:rPr>
                <w:rFonts w:ascii="游ゴシック" w:hAnsi="游ゴシック" w:eastAsia="游ゴシック"/>
                <w:b w:val="0"/>
                <w:sz w:val="16"/>
              </w:rPr>
              <w:t>重複の判別は職員個票の突合によらず当該事業所への照会により行う（個人情報を保管しない方針による）旨を明示した</w:t>
            </w:r>
          </w:p>
        </w:tc>
        <w:tc>
          <w:tcPr>
            <w:tcW w:type="dxa" w:w="1701"/>
            <w:shd w:val="clear" w:color="auto" w:fill="F2F5FA"/>
            <w:vAlign w:val="center"/>
          </w:tcPr>
          <w:p>
            <w:pPr>
              <w:spacing w:after="0"/>
            </w:pPr>
            <w:r>
              <w:rPr>
                <w:rFonts w:ascii="游ゴシック" w:hAnsi="游ゴシック" w:eastAsia="游ゴシック"/>
                <w:b w:val="0"/>
                <w:sz w:val="16"/>
              </w:rPr>
              <w:t>第2章第6節</w:t>
            </w:r>
          </w:p>
        </w:tc>
      </w:tr>
      <w:tr>
        <w:trPr>
          <w:cantSplit/>
        </w:trPr>
        <w:tc>
          <w:tcPr>
            <w:tcW w:type="dxa" w:w="794"/>
            <w:vAlign w:val="center"/>
          </w:tcPr>
          <w:p>
            <w:pPr>
              <w:spacing w:after="0"/>
              <w:jc w:val="center"/>
            </w:pPr>
            <w:r>
              <w:rPr>
                <w:rFonts w:ascii="游ゴシック" w:hAnsi="游ゴシック" w:eastAsia="游ゴシック"/>
                <w:b w:val="0"/>
                <w:sz w:val="16"/>
              </w:rPr>
              <w:t>No.83</w:t>
            </w:r>
          </w:p>
        </w:tc>
        <w:tc>
          <w:tcPr>
            <w:tcW w:type="dxa" w:w="2608"/>
            <w:vAlign w:val="center"/>
          </w:tcPr>
          <w:p>
            <w:pPr>
              <w:spacing w:after="0"/>
            </w:pPr>
            <w:r>
              <w:rPr>
                <w:rFonts w:ascii="游ゴシック" w:hAnsi="游ゴシック" w:eastAsia="游ゴシック"/>
                <w:b w:val="0"/>
                <w:sz w:val="16"/>
              </w:rPr>
              <w:t>構成町との意見交換会の実施方法と町別データシート</w:t>
            </w:r>
          </w:p>
        </w:tc>
        <w:tc>
          <w:tcPr>
            <w:tcW w:type="dxa" w:w="4649"/>
            <w:vAlign w:val="center"/>
          </w:tcPr>
          <w:p>
            <w:pPr>
              <w:spacing w:after="0"/>
            </w:pPr>
            <w:r>
              <w:rPr>
                <w:rFonts w:ascii="游ゴシック" w:hAnsi="游ゴシック" w:eastAsia="游ゴシック"/>
                <w:b w:val="0"/>
                <w:sz w:val="16"/>
              </w:rPr>
              <w:t>3町合同の意見交換会（10月上旬）と町ごとの個別協議（10月中旬〜下旬）の2段構えで資料を整えた</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No.85</w:t>
            </w:r>
          </w:p>
        </w:tc>
        <w:tc>
          <w:tcPr>
            <w:tcW w:type="dxa" w:w="2608"/>
            <w:shd w:val="clear" w:color="auto" w:fill="F2F5FA"/>
            <w:vAlign w:val="center"/>
          </w:tcPr>
          <w:p>
            <w:pPr>
              <w:spacing w:after="0"/>
            </w:pPr>
            <w:r>
              <w:rPr>
                <w:rFonts w:ascii="游ゴシック" w:hAnsi="游ゴシック" w:eastAsia="游ゴシック"/>
                <w:b w:val="0"/>
                <w:sz w:val="16"/>
              </w:rPr>
              <w:t>町別データシートの内容と配付</w:t>
            </w:r>
          </w:p>
        </w:tc>
        <w:tc>
          <w:tcPr>
            <w:tcW w:type="dxa" w:w="4649"/>
            <w:shd w:val="clear" w:color="auto" w:fill="F2F5FA"/>
            <w:vAlign w:val="center"/>
          </w:tcPr>
          <w:p>
            <w:pPr>
              <w:spacing w:after="0"/>
            </w:pPr>
            <w:r>
              <w:rPr>
                <w:rFonts w:ascii="游ゴシック" w:hAnsi="游ゴシック" w:eastAsia="游ゴシック"/>
                <w:b w:val="0"/>
                <w:sz w:val="16"/>
              </w:rPr>
              <w:t>町別データシートは現行の内容のまま配付する</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No.60</w:t>
            </w:r>
          </w:p>
        </w:tc>
        <w:tc>
          <w:tcPr>
            <w:tcW w:type="dxa" w:w="2608"/>
            <w:vAlign w:val="center"/>
          </w:tcPr>
          <w:p>
            <w:pPr>
              <w:spacing w:after="0"/>
            </w:pPr>
            <w:r>
              <w:rPr>
                <w:rFonts w:ascii="游ゴシック" w:hAnsi="游ゴシック" w:eastAsia="游ゴシック"/>
                <w:b w:val="0"/>
                <w:sz w:val="16"/>
              </w:rPr>
              <w:t>第10期の保険料算定の前提（受託者案）</w:t>
            </w:r>
          </w:p>
        </w:tc>
        <w:tc>
          <w:tcPr>
            <w:tcW w:type="dxa" w:w="4649"/>
            <w:vAlign w:val="center"/>
          </w:tcPr>
          <w:p>
            <w:pPr>
              <w:spacing w:after="0"/>
            </w:pPr>
            <w:r>
              <w:rPr>
                <w:rFonts w:ascii="游ゴシック" w:hAnsi="游ゴシック" w:eastAsia="游ゴシック"/>
                <w:b w:val="0"/>
                <w:sz w:val="16"/>
              </w:rPr>
              <w:t>単価を令和7年度で固定し、施策反映・給付適正化・基金取崩しを織り込まない置き方であり、算定上の月額基準額は低い側の水準にあることを明示した</w:t>
            </w:r>
          </w:p>
        </w:tc>
        <w:tc>
          <w:tcPr>
            <w:tcW w:type="dxa" w:w="1701"/>
            <w:vAlign w:val="center"/>
          </w:tcPr>
          <w:p>
            <w:pPr>
              <w:spacing w:after="0"/>
            </w:pPr>
            <w:r>
              <w:rPr>
                <w:rFonts w:ascii="游ゴシック" w:hAnsi="游ゴシック" w:eastAsia="游ゴシック"/>
                <w:b w:val="0"/>
                <w:sz w:val="16"/>
              </w:rPr>
              <w:t>第6章第6節2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No.64</w:t>
            </w:r>
          </w:p>
        </w:tc>
        <w:tc>
          <w:tcPr>
            <w:tcW w:type="dxa" w:w="2608"/>
            <w:shd w:val="clear" w:color="auto" w:fill="F2F5FA"/>
            <w:vAlign w:val="center"/>
          </w:tcPr>
          <w:p>
            <w:pPr>
              <w:spacing w:after="0"/>
            </w:pPr>
            <w:r>
              <w:rPr>
                <w:rFonts w:ascii="游ゴシック" w:hAnsi="游ゴシック" w:eastAsia="游ゴシック"/>
                <w:b w:val="0"/>
                <w:sz w:val="16"/>
              </w:rPr>
              <w:t>区域内に事業所がないサービスの住民向けの記載</w:t>
            </w:r>
          </w:p>
        </w:tc>
        <w:tc>
          <w:tcPr>
            <w:tcW w:type="dxa" w:w="4649"/>
            <w:shd w:val="clear" w:color="auto" w:fill="F2F5FA"/>
            <w:vAlign w:val="center"/>
          </w:tcPr>
          <w:p>
            <w:pPr>
              <w:spacing w:after="0"/>
            </w:pPr>
            <w:r>
              <w:rPr>
                <w:rFonts w:ascii="游ゴシック" w:hAnsi="游ゴシック" w:eastAsia="游ゴシック"/>
                <w:b w:val="0"/>
                <w:sz w:val="16"/>
              </w:rPr>
              <w:t>区域内に事業所がないサービスも区域外の事業所を利用できること、通常の事業の実施地域の外では実費の負担が生じることがあることを住民向けの記載に加えた</w:t>
            </w:r>
          </w:p>
        </w:tc>
        <w:tc>
          <w:tcPr>
            <w:tcW w:type="dxa" w:w="1701"/>
            <w:shd w:val="clear" w:color="auto" w:fill="F2F5FA"/>
            <w:vAlign w:val="center"/>
          </w:tcPr>
          <w:p>
            <w:pPr>
              <w:spacing w:after="0"/>
            </w:pPr>
            <w:r>
              <w:rPr>
                <w:rFonts w:ascii="游ゴシック" w:hAnsi="游ゴシック" w:eastAsia="游ゴシック"/>
                <w:b w:val="0"/>
                <w:sz w:val="16"/>
              </w:rPr>
              <w:t>公表版 参考（介護サービスの内容）</w:t>
            </w:r>
          </w:p>
        </w:tc>
      </w:tr>
      <w:tr>
        <w:trPr>
          <w:cantSplit/>
        </w:trPr>
        <w:tc>
          <w:tcPr>
            <w:tcW w:type="dxa" w:w="794"/>
            <w:vAlign w:val="center"/>
          </w:tcPr>
          <w:p>
            <w:pPr>
              <w:spacing w:after="0"/>
              <w:jc w:val="center"/>
            </w:pPr>
            <w:r>
              <w:rPr>
                <w:rFonts w:ascii="游ゴシック" w:hAnsi="游ゴシック" w:eastAsia="游ゴシック"/>
                <w:b w:val="0"/>
                <w:sz w:val="16"/>
              </w:rPr>
              <w:t>No.69</w:t>
            </w:r>
          </w:p>
        </w:tc>
        <w:tc>
          <w:tcPr>
            <w:tcW w:type="dxa" w:w="2608"/>
            <w:vAlign w:val="center"/>
          </w:tcPr>
          <w:p>
            <w:pPr>
              <w:spacing w:after="0"/>
            </w:pPr>
            <w:r>
              <w:rPr>
                <w:rFonts w:ascii="游ゴシック" w:hAnsi="游ゴシック" w:eastAsia="游ゴシック"/>
                <w:b w:val="0"/>
                <w:sz w:val="16"/>
              </w:rPr>
              <w:t>成果指向型配分枠（令和8年度新設）への対応</w:t>
            </w:r>
          </w:p>
        </w:tc>
        <w:tc>
          <w:tcPr>
            <w:tcW w:type="dxa" w:w="4649"/>
            <w:vAlign w:val="center"/>
          </w:tcPr>
          <w:p>
            <w:pPr>
              <w:spacing w:after="0"/>
            </w:pPr>
            <w:r>
              <w:rPr>
                <w:rFonts w:ascii="游ゴシック" w:hAnsi="游ゴシック" w:eastAsia="游ゴシック"/>
                <w:b w:val="0"/>
                <w:sz w:val="16"/>
              </w:rPr>
              <w:t>成果指向型配分枠は構成3町の回答の状況を確認できていないため第10期の施策に位置づけず、確認できた時点で判断する旨を注に明示した</w:t>
            </w:r>
          </w:p>
        </w:tc>
        <w:tc>
          <w:tcPr>
            <w:tcW w:type="dxa" w:w="1701"/>
            <w:vAlign w:val="center"/>
          </w:tcPr>
          <w:p>
            <w:pPr>
              <w:spacing w:after="0"/>
            </w:pPr>
            <w:r>
              <w:rPr>
                <w:rFonts w:ascii="游ゴシック" w:hAnsi="游ゴシック" w:eastAsia="游ゴシック"/>
                <w:b w:val="0"/>
                <w:sz w:val="16"/>
              </w:rPr>
              <w:t>第3章第4節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No.89</w:t>
            </w:r>
          </w:p>
        </w:tc>
        <w:tc>
          <w:tcPr>
            <w:tcW w:type="dxa" w:w="2608"/>
            <w:shd w:val="clear" w:color="auto" w:fill="F2F5FA"/>
            <w:vAlign w:val="center"/>
          </w:tcPr>
          <w:p>
            <w:pPr>
              <w:spacing w:after="0"/>
            </w:pPr>
            <w:r>
              <w:rPr>
                <w:rFonts w:ascii="游ゴシック" w:hAnsi="游ゴシック" w:eastAsia="游ゴシック"/>
                <w:b w:val="0"/>
                <w:sz w:val="16"/>
              </w:rPr>
              <w:t>社会福祉法等の一部を改正する法律（令和8年法律第51号）の反映</w:t>
            </w:r>
          </w:p>
        </w:tc>
        <w:tc>
          <w:tcPr>
            <w:tcW w:type="dxa" w:w="4649"/>
            <w:shd w:val="clear" w:color="auto" w:fill="F2F5FA"/>
            <w:vAlign w:val="center"/>
          </w:tcPr>
          <w:p>
            <w:pPr>
              <w:spacing w:after="0"/>
            </w:pPr>
            <w:r>
              <w:rPr>
                <w:rFonts w:ascii="游ゴシック" w:hAnsi="游ゴシック" w:eastAsia="游ゴシック"/>
                <w:b w:val="0"/>
                <w:sz w:val="16"/>
              </w:rPr>
              <w:t>社会福祉法等の一部を改正する法律（令和8年法律第51号）の7件の整理のまま進め、政令・省令・報酬改定の公表後に再照合する</w:t>
            </w:r>
          </w:p>
        </w:tc>
        <w:tc>
          <w:tcPr>
            <w:tcW w:type="dxa" w:w="1701"/>
            <w:shd w:val="clear" w:color="auto" w:fill="F2F5FA"/>
            <w:vAlign w:val="center"/>
          </w:tcPr>
          <w:p>
            <w:pPr>
              <w:spacing w:after="0"/>
            </w:pPr>
            <w:r>
              <w:rPr>
                <w:rFonts w:ascii="游ゴシック" w:hAnsi="游ゴシック" w:eastAsia="游ゴシック"/>
                <w:b w:val="0"/>
                <w:sz w:val="16"/>
              </w:rPr>
              <w:t>第1章第9節2</w:t>
            </w:r>
          </w:p>
        </w:tc>
      </w:tr>
      <w:tr>
        <w:trPr>
          <w:cantSplit/>
        </w:trPr>
        <w:tc>
          <w:tcPr>
            <w:tcW w:type="dxa" w:w="794"/>
            <w:vAlign w:val="center"/>
          </w:tcPr>
          <w:p>
            <w:pPr>
              <w:spacing w:after="0"/>
              <w:jc w:val="center"/>
            </w:pPr>
            <w:r>
              <w:rPr>
                <w:rFonts w:ascii="游ゴシック" w:hAnsi="游ゴシック" w:eastAsia="游ゴシック"/>
                <w:b w:val="0"/>
                <w:sz w:val="16"/>
              </w:rPr>
              <w:t>No.117</w:t>
            </w:r>
          </w:p>
        </w:tc>
        <w:tc>
          <w:tcPr>
            <w:tcW w:type="dxa" w:w="2608"/>
            <w:vAlign w:val="center"/>
          </w:tcPr>
          <w:p>
            <w:pPr>
              <w:spacing w:after="0"/>
            </w:pPr>
            <w:r>
              <w:rPr>
                <w:rFonts w:ascii="游ゴシック" w:hAnsi="游ゴシック" w:eastAsia="游ゴシック"/>
                <w:b w:val="0"/>
                <w:sz w:val="16"/>
              </w:rPr>
              <w:t>成果品の統合の方針</w:t>
            </w:r>
          </w:p>
        </w:tc>
        <w:tc>
          <w:tcPr>
            <w:tcW w:type="dxa" w:w="4649"/>
            <w:vAlign w:val="center"/>
          </w:tcPr>
          <w:p>
            <w:pPr>
              <w:spacing w:after="0"/>
            </w:pPr>
            <w:r>
              <w:rPr>
                <w:rFonts w:ascii="游ゴシック" w:hAnsi="游ゴシック" w:eastAsia="游ゴシック"/>
                <w:b w:val="0"/>
                <w:sz w:val="16"/>
              </w:rPr>
              <w:t>見込量算定の4成果品を統合報告書に束ね、元の4件も残す現行の方針のままとした</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No.138</w:t>
            </w:r>
          </w:p>
        </w:tc>
        <w:tc>
          <w:tcPr>
            <w:tcW w:type="dxa" w:w="2608"/>
            <w:shd w:val="clear" w:color="auto" w:fill="F2F5FA"/>
            <w:vAlign w:val="center"/>
          </w:tcPr>
          <w:p>
            <w:pPr>
              <w:spacing w:after="0"/>
            </w:pPr>
            <w:r>
              <w:rPr>
                <w:rFonts w:ascii="游ゴシック" w:hAnsi="游ゴシック" w:eastAsia="游ゴシック"/>
                <w:b w:val="0"/>
                <w:sz w:val="16"/>
              </w:rPr>
              <w:t>認定者数の実績見込み値を編集する項目が画面にあるか</w:t>
            </w:r>
          </w:p>
        </w:tc>
        <w:tc>
          <w:tcPr>
            <w:tcW w:type="dxa" w:w="4649"/>
            <w:shd w:val="clear" w:color="auto" w:fill="F2F5FA"/>
            <w:vAlign w:val="center"/>
          </w:tcPr>
          <w:p>
            <w:pPr>
              <w:spacing w:after="0"/>
            </w:pPr>
            <w:r>
              <w:rPr>
                <w:rFonts w:ascii="游ゴシック" w:hAnsi="游ゴシック" w:eastAsia="游ゴシック"/>
                <w:b w:val="0"/>
                <w:sz w:val="16"/>
              </w:rPr>
              <w:t>認定者数の実績見込み値を編集する項目がないものとして、認定率の伸びに「令和6年度→令和7年度の伸び」を選ぶ入力案とした</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No.139</w:t>
            </w:r>
          </w:p>
        </w:tc>
        <w:tc>
          <w:tcPr>
            <w:tcW w:type="dxa" w:w="2608"/>
            <w:vAlign w:val="center"/>
          </w:tcPr>
          <w:p>
            <w:pPr>
              <w:spacing w:after="0"/>
            </w:pPr>
            <w:r>
              <w:rPr>
                <w:rFonts w:ascii="游ゴシック" w:hAnsi="游ゴシック" w:eastAsia="游ゴシック"/>
                <w:b w:val="0"/>
                <w:sz w:val="16"/>
              </w:rPr>
              <w:t>健康とくらしの調査の個票の再提供の要否</w:t>
            </w:r>
          </w:p>
        </w:tc>
        <w:tc>
          <w:tcPr>
            <w:tcW w:type="dxa" w:w="4649"/>
            <w:vAlign w:val="center"/>
          </w:tcPr>
          <w:p>
            <w:pPr>
              <w:spacing w:after="0"/>
            </w:pPr>
            <w:r>
              <w:rPr>
                <w:rFonts w:ascii="游ゴシック" w:hAnsi="游ゴシック" w:eastAsia="游ゴシック"/>
                <w:b w:val="0"/>
                <w:sz w:val="16"/>
              </w:rPr>
              <w:t>健康とくらしの調査の個票の再提供は依頼しない（成果品は収録済みで内容が確定しており不足がない）</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No.148</w:t>
            </w:r>
          </w:p>
        </w:tc>
        <w:tc>
          <w:tcPr>
            <w:tcW w:type="dxa" w:w="2608"/>
            <w:shd w:val="clear" w:color="auto" w:fill="F2F5FA"/>
            <w:vAlign w:val="center"/>
          </w:tcPr>
          <w:p>
            <w:pPr>
              <w:spacing w:after="0"/>
            </w:pPr>
            <w:r>
              <w:rPr>
                <w:rFonts w:ascii="游ゴシック" w:hAnsi="游ゴシック" w:eastAsia="游ゴシック"/>
                <w:b w:val="0"/>
                <w:sz w:val="16"/>
              </w:rPr>
              <w:t>見える化システムの操作手引・認証後画面の写しのご提供</w:t>
            </w:r>
          </w:p>
        </w:tc>
        <w:tc>
          <w:tcPr>
            <w:tcW w:type="dxa" w:w="4649"/>
            <w:shd w:val="clear" w:color="auto" w:fill="F2F5FA"/>
            <w:vAlign w:val="center"/>
          </w:tcPr>
          <w:p>
            <w:pPr>
              <w:spacing w:after="0"/>
            </w:pPr>
            <w:r>
              <w:rPr>
                <w:rFonts w:ascii="游ゴシック" w:hAnsi="游ゴシック" w:eastAsia="游ゴシック"/>
                <w:b w:val="0"/>
                <w:sz w:val="16"/>
              </w:rPr>
              <w:t>受領済みの画面の写しの範囲で入力値を示し、操作手引により確認できていない項目はその旨を明記した</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No.90</w:t>
            </w:r>
          </w:p>
        </w:tc>
        <w:tc>
          <w:tcPr>
            <w:tcW w:type="dxa" w:w="2608"/>
            <w:vAlign w:val="center"/>
          </w:tcPr>
          <w:p>
            <w:pPr>
              <w:spacing w:after="0"/>
            </w:pPr>
            <w:r>
              <w:rPr>
                <w:rFonts w:ascii="游ゴシック" w:hAnsi="游ゴシック" w:eastAsia="游ゴシック"/>
                <w:b w:val="0"/>
                <w:sz w:val="16"/>
              </w:rPr>
              <w:t>第9期計画の本文（電子データ）及び前回調査の原集計表の提供</w:t>
            </w:r>
          </w:p>
        </w:tc>
        <w:tc>
          <w:tcPr>
            <w:tcW w:type="dxa" w:w="4649"/>
            <w:vAlign w:val="center"/>
          </w:tcPr>
          <w:p>
            <w:pPr>
              <w:spacing w:after="0"/>
            </w:pPr>
            <w:r>
              <w:rPr>
                <w:rFonts w:ascii="游ゴシック" w:hAnsi="游ゴシック" w:eastAsia="游ゴシック"/>
                <w:b w:val="0"/>
                <w:sz w:val="16"/>
              </w:rPr>
              <w:t>前回調査との比較は割合のみとし、指標別の分母を第9期計画の本文から確認できない旨を注に明示した</w:t>
            </w:r>
          </w:p>
        </w:tc>
        <w:tc>
          <w:tcPr>
            <w:tcW w:type="dxa" w:w="1701"/>
            <w:vAlign w:val="center"/>
          </w:tcPr>
          <w:p>
            <w:pPr>
              <w:spacing w:after="0"/>
            </w:pPr>
            <w:r>
              <w:rPr>
                <w:rFonts w:ascii="游ゴシック" w:hAnsi="游ゴシック" w:eastAsia="游ゴシック"/>
                <w:b w:val="0"/>
                <w:sz w:val="16"/>
              </w:rPr>
              <w:t>第2章第4節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No.91</w:t>
            </w:r>
          </w:p>
        </w:tc>
        <w:tc>
          <w:tcPr>
            <w:tcW w:type="dxa" w:w="2608"/>
            <w:shd w:val="clear" w:color="auto" w:fill="F2F5FA"/>
            <w:vAlign w:val="center"/>
          </w:tcPr>
          <w:p>
            <w:pPr>
              <w:spacing w:after="0"/>
            </w:pPr>
            <w:r>
              <w:rPr>
                <w:rFonts w:ascii="游ゴシック" w:hAnsi="游ゴシック" w:eastAsia="游ゴシック"/>
                <w:b w:val="0"/>
                <w:sz w:val="16"/>
              </w:rPr>
              <w:t>介護給付費通知及び給付実績の活用による確認等</w:t>
            </w:r>
          </w:p>
        </w:tc>
        <w:tc>
          <w:tcPr>
            <w:tcW w:type="dxa" w:w="4649"/>
            <w:shd w:val="clear" w:color="auto" w:fill="F2F5FA"/>
            <w:vAlign w:val="center"/>
          </w:tcPr>
          <w:p>
            <w:pPr>
              <w:spacing w:after="0"/>
            </w:pPr>
            <w:r>
              <w:rPr>
                <w:rFonts w:ascii="游ゴシック" w:hAnsi="游ゴシック" w:eastAsia="游ゴシック"/>
                <w:b w:val="0"/>
                <w:sz w:val="16"/>
              </w:rPr>
              <w:t>給付実績の活用による確認等及び介護給付費通知は、実施の状況を確認したうえで第10期の実施の方針を定めることとし、現行の取組のまま位置づけた</w:t>
            </w:r>
          </w:p>
        </w:tc>
        <w:tc>
          <w:tcPr>
            <w:tcW w:type="dxa" w:w="1701"/>
            <w:shd w:val="clear" w:color="auto" w:fill="F2F5FA"/>
            <w:vAlign w:val="center"/>
          </w:tcPr>
          <w:p>
            <w:pPr>
              <w:spacing w:after="0"/>
            </w:pPr>
            <w:r>
              <w:rPr>
                <w:rFonts w:ascii="游ゴシック" w:hAnsi="游ゴシック" w:eastAsia="游ゴシック"/>
                <w:b w:val="0"/>
                <w:sz w:val="16"/>
              </w:rPr>
              <w:t>第5章 基本目標5</w:t>
            </w:r>
          </w:p>
        </w:tc>
      </w:tr>
      <w:tr>
        <w:trPr>
          <w:cantSplit/>
        </w:trPr>
        <w:tc>
          <w:tcPr>
            <w:tcW w:type="dxa" w:w="794"/>
            <w:vAlign w:val="center"/>
          </w:tcPr>
          <w:p>
            <w:pPr>
              <w:spacing w:after="0"/>
              <w:jc w:val="center"/>
            </w:pPr>
            <w:r>
              <w:rPr>
                <w:rFonts w:ascii="游ゴシック" w:hAnsi="游ゴシック" w:eastAsia="游ゴシック"/>
                <w:b w:val="0"/>
                <w:sz w:val="16"/>
              </w:rPr>
              <w:t>No.92</w:t>
            </w:r>
          </w:p>
        </w:tc>
        <w:tc>
          <w:tcPr>
            <w:tcW w:type="dxa" w:w="2608"/>
            <w:vAlign w:val="center"/>
          </w:tcPr>
          <w:p>
            <w:pPr>
              <w:spacing w:after="0"/>
            </w:pPr>
            <w:r>
              <w:rPr>
                <w:rFonts w:ascii="游ゴシック" w:hAnsi="游ゴシック" w:eastAsia="游ゴシック"/>
                <w:b w:val="0"/>
                <w:sz w:val="16"/>
              </w:rPr>
              <w:t>認定調査の指定居宅介護支援事業所等への委託の状況</w:t>
            </w:r>
          </w:p>
        </w:tc>
        <w:tc>
          <w:tcPr>
            <w:tcW w:type="dxa" w:w="4649"/>
            <w:vAlign w:val="center"/>
          </w:tcPr>
          <w:p>
            <w:pPr>
              <w:spacing w:after="0"/>
            </w:pPr>
            <w:r>
              <w:rPr>
                <w:rFonts w:ascii="游ゴシック" w:hAnsi="游ゴシック" w:eastAsia="游ゴシック"/>
                <w:b w:val="0"/>
                <w:sz w:val="16"/>
              </w:rPr>
              <w:t>認定調査の点検件数は、指定居宅介護支援事業所等への委託の状況を確認したうえで定める旨を注に明示した</w:t>
            </w:r>
          </w:p>
        </w:tc>
        <w:tc>
          <w:tcPr>
            <w:tcW w:type="dxa" w:w="1701"/>
            <w:vAlign w:val="center"/>
          </w:tcPr>
          <w:p>
            <w:pPr>
              <w:spacing w:after="0"/>
            </w:pPr>
            <w:r>
              <w:rPr>
                <w:rFonts w:ascii="游ゴシック" w:hAnsi="游ゴシック" w:eastAsia="游ゴシック"/>
                <w:b w:val="0"/>
                <w:sz w:val="16"/>
              </w:rPr>
              <w:t>第5章 基本目標5</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No.97</w:t>
            </w:r>
          </w:p>
        </w:tc>
        <w:tc>
          <w:tcPr>
            <w:tcW w:type="dxa" w:w="2608"/>
            <w:shd w:val="clear" w:color="auto" w:fill="F2F5FA"/>
            <w:vAlign w:val="center"/>
          </w:tcPr>
          <w:p>
            <w:pPr>
              <w:spacing w:after="0"/>
            </w:pPr>
            <w:r>
              <w:rPr>
                <w:rFonts w:ascii="游ゴシック" w:hAnsi="游ゴシック" w:eastAsia="游ゴシック"/>
                <w:b w:val="0"/>
                <w:sz w:val="16"/>
              </w:rPr>
              <w:t>令和9年4月1日から義務となる2件への対応</w:t>
            </w:r>
          </w:p>
        </w:tc>
        <w:tc>
          <w:tcPr>
            <w:tcW w:type="dxa" w:w="4649"/>
            <w:shd w:val="clear" w:color="auto" w:fill="F2F5FA"/>
            <w:vAlign w:val="center"/>
          </w:tcPr>
          <w:p>
            <w:pPr>
              <w:spacing w:after="0"/>
            </w:pPr>
            <w:r>
              <w:rPr>
                <w:rFonts w:ascii="游ゴシック" w:hAnsi="游ゴシック" w:eastAsia="游ゴシック"/>
                <w:b w:val="0"/>
                <w:sz w:val="16"/>
              </w:rPr>
              <w:t>条例の対応規定を確認していないため、省令の定めと対象事業所数（協力医療機関10事業所・生産性向上の取組に係る委員会15事業所）を示すにとどめた</w:t>
            </w:r>
          </w:p>
        </w:tc>
        <w:tc>
          <w:tcPr>
            <w:tcW w:type="dxa" w:w="1701"/>
            <w:shd w:val="clear" w:color="auto" w:fill="F2F5FA"/>
            <w:vAlign w:val="center"/>
          </w:tcPr>
          <w:p>
            <w:pPr>
              <w:spacing w:after="0"/>
            </w:pPr>
            <w:r>
              <w:rPr>
                <w:rFonts w:ascii="游ゴシック" w:hAnsi="游ゴシック" w:eastAsia="游ゴシック"/>
                <w:b w:val="0"/>
                <w:sz w:val="16"/>
              </w:rPr>
              <w:t>第1章第9節1</w:t>
            </w:r>
          </w:p>
        </w:tc>
      </w:tr>
      <w:tr>
        <w:trPr>
          <w:cantSplit/>
        </w:trPr>
        <w:tc>
          <w:tcPr>
            <w:tcW w:type="dxa" w:w="794"/>
            <w:vAlign w:val="center"/>
          </w:tcPr>
          <w:p>
            <w:pPr>
              <w:spacing w:after="0"/>
              <w:jc w:val="center"/>
            </w:pPr>
            <w:r>
              <w:rPr>
                <w:rFonts w:ascii="游ゴシック" w:hAnsi="游ゴシック" w:eastAsia="游ゴシック"/>
                <w:b w:val="0"/>
                <w:sz w:val="16"/>
              </w:rPr>
              <w:t>No.99</w:t>
            </w:r>
          </w:p>
        </w:tc>
        <w:tc>
          <w:tcPr>
            <w:tcW w:type="dxa" w:w="2608"/>
            <w:vAlign w:val="center"/>
          </w:tcPr>
          <w:p>
            <w:pPr>
              <w:spacing w:after="0"/>
            </w:pPr>
            <w:r>
              <w:rPr>
                <w:rFonts w:ascii="游ゴシック" w:hAnsi="游ゴシック" w:eastAsia="游ゴシック"/>
                <w:b w:val="0"/>
                <w:sz w:val="16"/>
              </w:rPr>
              <w:t>過疎地域における小規模多機能型居宅介護の定員超過の特例の取扱い</w:t>
            </w:r>
          </w:p>
        </w:tc>
        <w:tc>
          <w:tcPr>
            <w:tcW w:type="dxa" w:w="4649"/>
            <w:vAlign w:val="center"/>
          </w:tcPr>
          <w:p>
            <w:pPr>
              <w:spacing w:after="0"/>
            </w:pPr>
            <w:r>
              <w:rPr>
                <w:rFonts w:ascii="游ゴシック" w:hAnsi="游ゴシック" w:eastAsia="游ゴシック"/>
                <w:b w:val="0"/>
                <w:sz w:val="16"/>
              </w:rPr>
              <w:t>過疎地域における小規模多機能型居宅介護の登録定員の超過の特例を用いずに見込量を算定している旨を注に明示した</w:t>
            </w:r>
          </w:p>
        </w:tc>
        <w:tc>
          <w:tcPr>
            <w:tcW w:type="dxa" w:w="1701"/>
            <w:vAlign w:val="center"/>
          </w:tcPr>
          <w:p>
            <w:pPr>
              <w:spacing w:after="0"/>
            </w:pPr>
            <w:r>
              <w:rPr>
                <w:rFonts w:ascii="游ゴシック" w:hAnsi="游ゴシック" w:eastAsia="游ゴシック"/>
                <w:b w:val="0"/>
                <w:sz w:val="16"/>
              </w:rPr>
              <w:t>第6章第2節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No.108</w:t>
            </w:r>
          </w:p>
        </w:tc>
        <w:tc>
          <w:tcPr>
            <w:tcW w:type="dxa" w:w="2608"/>
            <w:shd w:val="clear" w:color="auto" w:fill="F2F5FA"/>
            <w:vAlign w:val="center"/>
          </w:tcPr>
          <w:p>
            <w:pPr>
              <w:spacing w:after="0"/>
            </w:pPr>
            <w:r>
              <w:rPr>
                <w:rFonts w:ascii="游ゴシック" w:hAnsi="游ゴシック" w:eastAsia="游ゴシック"/>
                <w:b w:val="0"/>
                <w:sz w:val="16"/>
              </w:rPr>
              <w:t>補正しても外れるサービス6件の理由</w:t>
            </w:r>
          </w:p>
        </w:tc>
        <w:tc>
          <w:tcPr>
            <w:tcW w:type="dxa" w:w="4649"/>
            <w:shd w:val="clear" w:color="auto" w:fill="F2F5FA"/>
            <w:vAlign w:val="center"/>
          </w:tcPr>
          <w:p>
            <w:pPr>
              <w:spacing w:after="0"/>
            </w:pPr>
            <w:r>
              <w:rPr>
                <w:rFonts w:ascii="游ゴシック" w:hAnsi="游ゴシック" w:eastAsia="游ゴシック"/>
                <w:b w:val="0"/>
                <w:sz w:val="16"/>
              </w:rPr>
              <w:t>補正を行っても開きが残る6種別は趨勢の置き方によるものではなく供給の状況又は制度の区分によるものであり、第4節の整備方針及び確保方策において扱う旨を注に明示した</w:t>
            </w:r>
          </w:p>
        </w:tc>
        <w:tc>
          <w:tcPr>
            <w:tcW w:type="dxa" w:w="1701"/>
            <w:shd w:val="clear" w:color="auto" w:fill="F2F5FA"/>
            <w:vAlign w:val="center"/>
          </w:tcPr>
          <w:p>
            <w:pPr>
              <w:spacing w:after="0"/>
            </w:pPr>
            <w:r>
              <w:rPr>
                <w:rFonts w:ascii="游ゴシック" w:hAnsi="游ゴシック" w:eastAsia="游ゴシック"/>
                <w:b w:val="0"/>
                <w:sz w:val="16"/>
              </w:rPr>
              <w:t>第6章第6節2</w:t>
            </w:r>
          </w:p>
        </w:tc>
      </w:tr>
      <w:tr>
        <w:trPr>
          <w:cantSplit/>
        </w:trPr>
        <w:tc>
          <w:tcPr>
            <w:tcW w:type="dxa" w:w="794"/>
            <w:vAlign w:val="center"/>
          </w:tcPr>
          <w:p>
            <w:pPr>
              <w:spacing w:after="0"/>
              <w:jc w:val="center"/>
            </w:pPr>
            <w:r>
              <w:rPr>
                <w:rFonts w:ascii="游ゴシック" w:hAnsi="游ゴシック" w:eastAsia="游ゴシック"/>
                <w:b w:val="0"/>
                <w:sz w:val="16"/>
              </w:rPr>
              <w:t>No.111</w:t>
            </w:r>
          </w:p>
        </w:tc>
        <w:tc>
          <w:tcPr>
            <w:tcW w:type="dxa" w:w="2608"/>
            <w:vAlign w:val="center"/>
          </w:tcPr>
          <w:p>
            <w:pPr>
              <w:spacing w:after="0"/>
            </w:pPr>
            <w:r>
              <w:rPr>
                <w:rFonts w:ascii="游ゴシック" w:hAnsi="游ゴシック" w:eastAsia="游ゴシック"/>
                <w:b w:val="0"/>
                <w:sz w:val="16"/>
              </w:rPr>
              <w:t>過年度の趨勢に現れない要因の扱い（認知症施策・高齢者向け住まいほか）</w:t>
            </w:r>
          </w:p>
        </w:tc>
        <w:tc>
          <w:tcPr>
            <w:tcW w:type="dxa" w:w="4649"/>
            <w:vAlign w:val="center"/>
          </w:tcPr>
          <w:p>
            <w:pPr>
              <w:spacing w:after="0"/>
            </w:pPr>
            <w:r>
              <w:rPr>
                <w:rFonts w:ascii="游ゴシック" w:hAnsi="游ゴシック" w:eastAsia="游ゴシック"/>
                <w:b w:val="0"/>
                <w:sz w:val="16"/>
              </w:rPr>
              <w:t>趨勢に現れない要因は給付費を増やす向きか減らす向きかを記すにとどめ、数値には織り込んでいない旨を注に明示した</w:t>
            </w:r>
          </w:p>
        </w:tc>
        <w:tc>
          <w:tcPr>
            <w:tcW w:type="dxa" w:w="1701"/>
            <w:vAlign w:val="center"/>
          </w:tcPr>
          <w:p>
            <w:pPr>
              <w:spacing w:after="0"/>
            </w:pPr>
            <w:r>
              <w:rPr>
                <w:rFonts w:ascii="游ゴシック" w:hAnsi="游ゴシック" w:eastAsia="游ゴシック"/>
                <w:b w:val="0"/>
                <w:sz w:val="16"/>
              </w:rPr>
              <w:t>第6章第6節2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No.118</w:t>
            </w:r>
          </w:p>
        </w:tc>
        <w:tc>
          <w:tcPr>
            <w:tcW w:type="dxa" w:w="2608"/>
            <w:shd w:val="clear" w:color="auto" w:fill="F2F5FA"/>
            <w:vAlign w:val="center"/>
          </w:tcPr>
          <w:p>
            <w:pPr>
              <w:spacing w:after="0"/>
            </w:pPr>
            <w:r>
              <w:rPr>
                <w:rFonts w:ascii="游ゴシック" w:hAnsi="游ゴシック" w:eastAsia="游ゴシック"/>
                <w:b w:val="0"/>
                <w:sz w:val="16"/>
              </w:rPr>
              <w:t>施策2-5の代表KPIを「施策化への転換率」とするか</w:t>
            </w:r>
          </w:p>
        </w:tc>
        <w:tc>
          <w:tcPr>
            <w:tcW w:type="dxa" w:w="4649"/>
            <w:shd w:val="clear" w:color="auto" w:fill="F2F5FA"/>
            <w:vAlign w:val="center"/>
          </w:tcPr>
          <w:p>
            <w:pPr>
              <w:spacing w:after="0"/>
            </w:pPr>
            <w:r>
              <w:rPr>
                <w:rFonts w:ascii="游ゴシック" w:hAnsi="游ゴシック" w:eastAsia="游ゴシック"/>
                <w:b w:val="0"/>
                <w:sz w:val="16"/>
              </w:rPr>
              <w:t>地域ケア会議の指標に施策化への転換率を加え、令和9年度に基準値を把握し令和10年度から目標値を置くこと、率とともに実数を併記すること、記録は3町が作成し集計値を提出することを明示した</w:t>
            </w:r>
          </w:p>
        </w:tc>
        <w:tc>
          <w:tcPr>
            <w:tcW w:type="dxa" w:w="1701"/>
            <w:shd w:val="clear" w:color="auto" w:fill="F2F5FA"/>
            <w:vAlign w:val="center"/>
          </w:tcPr>
          <w:p>
            <w:pPr>
              <w:spacing w:after="0"/>
            </w:pPr>
            <w:r>
              <w:rPr>
                <w:rFonts w:ascii="游ゴシック" w:hAnsi="游ゴシック" w:eastAsia="游ゴシック"/>
                <w:b w:val="0"/>
                <w:sz w:val="16"/>
              </w:rPr>
              <w:t>第5章 基本目標1</w:t>
            </w:r>
          </w:p>
        </w:tc>
      </w:tr>
      <w:tr>
        <w:trPr>
          <w:cantSplit/>
        </w:trPr>
        <w:tc>
          <w:tcPr>
            <w:tcW w:type="dxa" w:w="794"/>
            <w:vAlign w:val="center"/>
          </w:tcPr>
          <w:p>
            <w:pPr>
              <w:spacing w:after="0"/>
              <w:jc w:val="center"/>
            </w:pPr>
            <w:r>
              <w:rPr>
                <w:rFonts w:ascii="游ゴシック" w:hAnsi="游ゴシック" w:eastAsia="游ゴシック"/>
                <w:b w:val="0"/>
                <w:sz w:val="16"/>
              </w:rPr>
              <w:t>No.119</w:t>
            </w:r>
          </w:p>
        </w:tc>
        <w:tc>
          <w:tcPr>
            <w:tcW w:type="dxa" w:w="2608"/>
            <w:vAlign w:val="center"/>
          </w:tcPr>
          <w:p>
            <w:pPr>
              <w:spacing w:after="0"/>
            </w:pPr>
            <w:r>
              <w:rPr>
                <w:rFonts w:ascii="游ゴシック" w:hAnsi="游ゴシック" w:eastAsia="游ゴシック"/>
                <w:b w:val="0"/>
                <w:sz w:val="16"/>
              </w:rPr>
              <w:t>地域ケア会議の3町共通の記録様式を整えてよいか</w:t>
            </w:r>
          </w:p>
        </w:tc>
        <w:tc>
          <w:tcPr>
            <w:tcW w:type="dxa" w:w="4649"/>
            <w:vAlign w:val="center"/>
          </w:tcPr>
          <w:p>
            <w:pPr>
              <w:spacing w:after="0"/>
            </w:pPr>
            <w:r>
              <w:rPr>
                <w:rFonts w:ascii="游ゴシック" w:hAnsi="游ゴシック" w:eastAsia="游ゴシック"/>
                <w:b w:val="0"/>
                <w:sz w:val="16"/>
              </w:rPr>
              <w:t>3町共通の記録様式は令和9年度に整えることとし、様式そのものは協議資料にとどめた</w:t>
            </w:r>
          </w:p>
        </w:tc>
        <w:tc>
          <w:tcPr>
            <w:tcW w:type="dxa" w:w="1701"/>
            <w:vAlign w:val="center"/>
          </w:tcPr>
          <w:p>
            <w:pPr>
              <w:spacing w:after="0"/>
            </w:pPr>
            <w:r>
              <w:rPr>
                <w:rFonts w:ascii="游ゴシック" w:hAnsi="游ゴシック" w:eastAsia="游ゴシック"/>
                <w:b w:val="0"/>
                <w:sz w:val="16"/>
              </w:rPr>
              <w:t>第5章 基本目標1</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No.120</w:t>
            </w:r>
          </w:p>
        </w:tc>
        <w:tc>
          <w:tcPr>
            <w:tcW w:type="dxa" w:w="2608"/>
            <w:shd w:val="clear" w:color="auto" w:fill="F2F5FA"/>
            <w:vAlign w:val="center"/>
          </w:tcPr>
          <w:p>
            <w:pPr>
              <w:spacing w:after="0"/>
            </w:pPr>
            <w:r>
              <w:rPr>
                <w:rFonts w:ascii="游ゴシック" w:hAnsi="游ゴシック" w:eastAsia="游ゴシック"/>
                <w:b w:val="0"/>
                <w:sz w:val="16"/>
              </w:rPr>
              <w:t>地域ケア個別会議と地域ケア推進会議を分けて計数するか</w:t>
            </w:r>
          </w:p>
        </w:tc>
        <w:tc>
          <w:tcPr>
            <w:tcW w:type="dxa" w:w="4649"/>
            <w:shd w:val="clear" w:color="auto" w:fill="F2F5FA"/>
            <w:vAlign w:val="center"/>
          </w:tcPr>
          <w:p>
            <w:pPr>
              <w:spacing w:after="0"/>
            </w:pPr>
            <w:r>
              <w:rPr>
                <w:rFonts w:ascii="游ゴシック" w:hAnsi="游ゴシック" w:eastAsia="游ゴシック"/>
                <w:b w:val="0"/>
                <w:sz w:val="16"/>
              </w:rPr>
              <w:t>件数は地域ケア個別会議と地域ケア推進会議を分けずに計数する旨を注に明示した</w:t>
            </w:r>
          </w:p>
        </w:tc>
        <w:tc>
          <w:tcPr>
            <w:tcW w:type="dxa" w:w="1701"/>
            <w:shd w:val="clear" w:color="auto" w:fill="F2F5FA"/>
            <w:vAlign w:val="center"/>
          </w:tcPr>
          <w:p>
            <w:pPr>
              <w:spacing w:after="0"/>
            </w:pPr>
            <w:r>
              <w:rPr>
                <w:rFonts w:ascii="游ゴシック" w:hAnsi="游ゴシック" w:eastAsia="游ゴシック"/>
                <w:b w:val="0"/>
                <w:sz w:val="16"/>
              </w:rPr>
              <w:t>第5章 基本目標1</w:t>
            </w:r>
          </w:p>
        </w:tc>
      </w:tr>
      <w:tr>
        <w:trPr>
          <w:cantSplit/>
        </w:trPr>
        <w:tc>
          <w:tcPr>
            <w:tcW w:type="dxa" w:w="794"/>
            <w:vAlign w:val="center"/>
          </w:tcPr>
          <w:p>
            <w:pPr>
              <w:spacing w:after="0"/>
              <w:jc w:val="center"/>
            </w:pPr>
            <w:r>
              <w:rPr>
                <w:rFonts w:ascii="游ゴシック" w:hAnsi="游ゴシック" w:eastAsia="游ゴシック"/>
                <w:b w:val="0"/>
                <w:sz w:val="16"/>
              </w:rPr>
              <w:t>No.121</w:t>
            </w:r>
          </w:p>
        </w:tc>
        <w:tc>
          <w:tcPr>
            <w:tcW w:type="dxa" w:w="2608"/>
            <w:vAlign w:val="center"/>
          </w:tcPr>
          <w:p>
            <w:pPr>
              <w:spacing w:after="0"/>
            </w:pPr>
            <w:r>
              <w:rPr>
                <w:rFonts w:ascii="游ゴシック" w:hAnsi="游ゴシック" w:eastAsia="游ゴシック"/>
                <w:b w:val="0"/>
                <w:sz w:val="16"/>
              </w:rPr>
              <w:t>3町の地域ケア会議の実績（令和6〜8年度）のご提供</w:t>
            </w:r>
          </w:p>
        </w:tc>
        <w:tc>
          <w:tcPr>
            <w:tcW w:type="dxa" w:w="4649"/>
            <w:vAlign w:val="center"/>
          </w:tcPr>
          <w:p>
            <w:pPr>
              <w:spacing w:after="0"/>
            </w:pPr>
            <w:r>
              <w:rPr>
                <w:rFonts w:ascii="游ゴシック" w:hAnsi="游ゴシック" w:eastAsia="游ゴシック"/>
                <w:b w:val="0"/>
                <w:sz w:val="16"/>
              </w:rPr>
              <w:t>3町の実績は令和7年度の地域包括支援センター事業実施報告書により把握できる範囲で記述し、計数の単位が町により異なるため3町を合計できない旨を注に明示した</w:t>
            </w:r>
          </w:p>
        </w:tc>
        <w:tc>
          <w:tcPr>
            <w:tcW w:type="dxa" w:w="1701"/>
            <w:vAlign w:val="center"/>
          </w:tcPr>
          <w:p>
            <w:pPr>
              <w:spacing w:after="0"/>
            </w:pPr>
            <w:r>
              <w:rPr>
                <w:rFonts w:ascii="游ゴシック" w:hAnsi="游ゴシック" w:eastAsia="游ゴシック"/>
                <w:b w:val="0"/>
                <w:sz w:val="16"/>
              </w:rPr>
              <w:t>第5章 基本目標1</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No.125</w:t>
            </w:r>
          </w:p>
        </w:tc>
        <w:tc>
          <w:tcPr>
            <w:tcW w:type="dxa" w:w="2608"/>
            <w:shd w:val="clear" w:color="auto" w:fill="F2F5FA"/>
            <w:vAlign w:val="center"/>
          </w:tcPr>
          <w:p>
            <w:pPr>
              <w:spacing w:after="0"/>
            </w:pPr>
            <w:r>
              <w:rPr>
                <w:rFonts w:ascii="游ゴシック" w:hAnsi="游ゴシック" w:eastAsia="游ゴシック"/>
                <w:b w:val="0"/>
                <w:sz w:val="16"/>
              </w:rPr>
              <w:t>将来推計の参考シートの認定率が総括表の認定率と一致しないこと</w:t>
            </w:r>
          </w:p>
        </w:tc>
        <w:tc>
          <w:tcPr>
            <w:tcW w:type="dxa" w:w="4649"/>
            <w:shd w:val="clear" w:color="auto" w:fill="F2F5FA"/>
            <w:vAlign w:val="center"/>
          </w:tcPr>
          <w:p>
            <w:pPr>
              <w:spacing w:after="0"/>
            </w:pPr>
            <w:r>
              <w:rPr>
                <w:rFonts w:ascii="游ゴシック" w:hAnsi="游ゴシック" w:eastAsia="游ゴシック"/>
                <w:b w:val="0"/>
                <w:sz w:val="16"/>
              </w:rPr>
              <w:t>認定率は年報（各年度末現在）によることとし、総括表（各年9月末現在）及び将来推計の参考シートの値との違いが時点等によるものである旨を注に明示した</w:t>
            </w:r>
          </w:p>
        </w:tc>
        <w:tc>
          <w:tcPr>
            <w:tcW w:type="dxa" w:w="1701"/>
            <w:shd w:val="clear" w:color="auto" w:fill="F2F5FA"/>
            <w:vAlign w:val="center"/>
          </w:tcPr>
          <w:p>
            <w:pPr>
              <w:spacing w:after="0"/>
            </w:pPr>
            <w:r>
              <w:rPr>
                <w:rFonts w:ascii="游ゴシック" w:hAnsi="游ゴシック" w:eastAsia="游ゴシック"/>
                <w:b w:val="0"/>
                <w:sz w:val="16"/>
              </w:rPr>
              <w:t>第6章第1節</w:t>
            </w:r>
          </w:p>
        </w:tc>
      </w:tr>
      <w:tr>
        <w:trPr>
          <w:cantSplit/>
        </w:trPr>
        <w:tc>
          <w:tcPr>
            <w:tcW w:type="dxa" w:w="794"/>
            <w:vAlign w:val="center"/>
          </w:tcPr>
          <w:p>
            <w:pPr>
              <w:spacing w:after="0"/>
              <w:jc w:val="center"/>
            </w:pPr>
            <w:r>
              <w:rPr>
                <w:rFonts w:ascii="游ゴシック" w:hAnsi="游ゴシック" w:eastAsia="游ゴシック"/>
                <w:b w:val="0"/>
                <w:sz w:val="16"/>
              </w:rPr>
              <w:t>No.127</w:t>
            </w:r>
          </w:p>
        </w:tc>
        <w:tc>
          <w:tcPr>
            <w:tcW w:type="dxa" w:w="2608"/>
            <w:vAlign w:val="center"/>
          </w:tcPr>
          <w:p>
            <w:pPr>
              <w:spacing w:after="0"/>
            </w:pPr>
            <w:r>
              <w:rPr>
                <w:rFonts w:ascii="游ゴシック" w:hAnsi="游ゴシック" w:eastAsia="游ゴシック"/>
                <w:b w:val="0"/>
                <w:sz w:val="16"/>
              </w:rPr>
              <w:t>見える化システムの総人口の設定を案Cに改めるか</w:t>
            </w:r>
          </w:p>
        </w:tc>
        <w:tc>
          <w:tcPr>
            <w:tcW w:type="dxa" w:w="4649"/>
            <w:vAlign w:val="center"/>
          </w:tcPr>
          <w:p>
            <w:pPr>
              <w:spacing w:after="0"/>
            </w:pPr>
            <w:r>
              <w:rPr>
                <w:rFonts w:ascii="游ゴシック" w:hAnsi="游ゴシック" w:eastAsia="游ゴシック"/>
                <w:b w:val="0"/>
                <w:sz w:val="16"/>
              </w:rPr>
              <w:t>人口の基礎は案C（地方創生総合戦略と住民基本台帳の実績趨勢）により、社人研の推計による場合との差を対比して掲げた</w:t>
            </w:r>
          </w:p>
        </w:tc>
        <w:tc>
          <w:tcPr>
            <w:tcW w:type="dxa" w:w="1701"/>
            <w:vAlign w:val="center"/>
          </w:tcPr>
          <w:p>
            <w:pPr>
              <w:spacing w:after="0"/>
            </w:pPr>
            <w:r>
              <w:rPr>
                <w:rFonts w:ascii="游ゴシック" w:hAnsi="游ゴシック" w:eastAsia="游ゴシック"/>
                <w:b w:val="0"/>
                <w:sz w:val="16"/>
              </w:rPr>
              <w:t>第6章第1節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No.133</w:t>
            </w:r>
          </w:p>
        </w:tc>
        <w:tc>
          <w:tcPr>
            <w:tcW w:type="dxa" w:w="2608"/>
            <w:shd w:val="clear" w:color="auto" w:fill="F2F5FA"/>
            <w:vAlign w:val="center"/>
          </w:tcPr>
          <w:p>
            <w:pPr>
              <w:spacing w:after="0"/>
            </w:pPr>
            <w:r>
              <w:rPr>
                <w:rFonts w:ascii="游ゴシック" w:hAnsi="游ゴシック" w:eastAsia="游ゴシック"/>
                <w:b w:val="0"/>
                <w:sz w:val="16"/>
              </w:rPr>
              <w:t>介護老人保健施設の令和8年度の減少をどう見るか</w:t>
            </w:r>
          </w:p>
        </w:tc>
        <w:tc>
          <w:tcPr>
            <w:tcW w:type="dxa" w:w="4649"/>
            <w:shd w:val="clear" w:color="auto" w:fill="F2F5FA"/>
            <w:vAlign w:val="center"/>
          </w:tcPr>
          <w:p>
            <w:pPr>
              <w:spacing w:after="0"/>
            </w:pPr>
            <w:r>
              <w:rPr>
                <w:rFonts w:ascii="游ゴシック" w:hAnsi="游ゴシック" w:eastAsia="游ゴシック"/>
                <w:b w:val="0"/>
                <w:sz w:val="16"/>
              </w:rPr>
              <w:t>介護老人保健施設の令和8年度（4か月）の減少を将来へ延長していない旨を注に明示した</w:t>
            </w:r>
          </w:p>
        </w:tc>
        <w:tc>
          <w:tcPr>
            <w:tcW w:type="dxa" w:w="1701"/>
            <w:shd w:val="clear" w:color="auto" w:fill="F2F5FA"/>
            <w:vAlign w:val="center"/>
          </w:tcPr>
          <w:p>
            <w:pPr>
              <w:spacing w:after="0"/>
            </w:pPr>
            <w:r>
              <w:rPr>
                <w:rFonts w:ascii="游ゴシック" w:hAnsi="游ゴシック" w:eastAsia="游ゴシック"/>
                <w:b w:val="0"/>
                <w:sz w:val="16"/>
              </w:rPr>
              <w:t>第6章第2節</w:t>
            </w:r>
          </w:p>
        </w:tc>
      </w:tr>
      <w:tr>
        <w:trPr>
          <w:cantSplit/>
        </w:trPr>
        <w:tc>
          <w:tcPr>
            <w:tcW w:type="dxa" w:w="794"/>
            <w:vAlign w:val="center"/>
          </w:tcPr>
          <w:p>
            <w:pPr>
              <w:spacing w:after="0"/>
              <w:jc w:val="center"/>
            </w:pPr>
            <w:r>
              <w:rPr>
                <w:rFonts w:ascii="游ゴシック" w:hAnsi="游ゴシック" w:eastAsia="游ゴシック"/>
                <w:b w:val="0"/>
                <w:sz w:val="16"/>
              </w:rPr>
              <w:t>No.136</w:t>
            </w:r>
          </w:p>
        </w:tc>
        <w:tc>
          <w:tcPr>
            <w:tcW w:type="dxa" w:w="2608"/>
            <w:vAlign w:val="center"/>
          </w:tcPr>
          <w:p>
            <w:pPr>
              <w:spacing w:after="0"/>
            </w:pPr>
            <w:r>
              <w:rPr>
                <w:rFonts w:ascii="游ゴシック" w:hAnsi="游ゴシック" w:eastAsia="游ゴシック"/>
                <w:b w:val="0"/>
                <w:sz w:val="16"/>
              </w:rPr>
              <w:t>画面の令和7年度と年報の月平均の食い違い</w:t>
            </w:r>
          </w:p>
        </w:tc>
        <w:tc>
          <w:tcPr>
            <w:tcW w:type="dxa" w:w="4649"/>
            <w:vAlign w:val="center"/>
          </w:tcPr>
          <w:p>
            <w:pPr>
              <w:spacing w:after="0"/>
            </w:pPr>
            <w:r>
              <w:rPr>
                <w:rFonts w:ascii="游ゴシック" w:hAnsi="游ゴシック" w:eastAsia="游ゴシック"/>
                <w:b w:val="0"/>
                <w:sz w:val="16"/>
              </w:rPr>
              <w:t>実績は年報（保険者単位）によることとし、見える化システムの画面が表示する令和7年度の値と一部の区分で食い違う旨を注に明示した</w:t>
            </w:r>
          </w:p>
        </w:tc>
        <w:tc>
          <w:tcPr>
            <w:tcW w:type="dxa" w:w="1701"/>
            <w:vAlign w:val="center"/>
          </w:tcPr>
          <w:p>
            <w:pPr>
              <w:spacing w:after="0"/>
            </w:pPr>
            <w:r>
              <w:rPr>
                <w:rFonts w:ascii="游ゴシック" w:hAnsi="游ゴシック" w:eastAsia="游ゴシック"/>
                <w:b w:val="0"/>
                <w:sz w:val="16"/>
              </w:rPr>
              <w:t>第6章第2節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No.143</w:t>
            </w:r>
          </w:p>
        </w:tc>
        <w:tc>
          <w:tcPr>
            <w:tcW w:type="dxa" w:w="2608"/>
            <w:shd w:val="clear" w:color="auto" w:fill="F2F5FA"/>
            <w:vAlign w:val="center"/>
          </w:tcPr>
          <w:p>
            <w:pPr>
              <w:spacing w:after="0"/>
            </w:pPr>
            <w:r>
              <w:rPr>
                <w:rFonts w:ascii="游ゴシック" w:hAnsi="游ゴシック" w:eastAsia="游ゴシック"/>
                <w:b w:val="0"/>
                <w:sz w:val="16"/>
              </w:rPr>
              <w:t>計画素案の未確定箇所の表示の統一</w:t>
            </w:r>
          </w:p>
        </w:tc>
        <w:tc>
          <w:tcPr>
            <w:tcW w:type="dxa" w:w="4649"/>
            <w:shd w:val="clear" w:color="auto" w:fill="F2F5FA"/>
            <w:vAlign w:val="center"/>
          </w:tcPr>
          <w:p>
            <w:pPr>
              <w:spacing w:after="0"/>
            </w:pPr>
            <w:r>
              <w:rPr>
                <w:rFonts w:ascii="游ゴシック" w:hAnsi="游ゴシック" w:eastAsia="游ゴシック"/>
                <w:b w:val="0"/>
                <w:sz w:val="16"/>
              </w:rPr>
              <w:t>未確定箇所の表示は［要協議］［要確認］［要内訳］の3種のままとし、記号の意味と解消の方法を資料7に掲げた</w:t>
            </w:r>
          </w:p>
        </w:tc>
        <w:tc>
          <w:tcPr>
            <w:tcW w:type="dxa" w:w="1701"/>
            <w:shd w:val="clear" w:color="auto" w:fill="F2F5FA"/>
            <w:vAlign w:val="center"/>
          </w:tcPr>
          <w:p>
            <w:pPr>
              <w:spacing w:after="0"/>
            </w:pPr>
            <w:r>
              <w:rPr>
                <w:rFonts w:ascii="游ゴシック" w:hAnsi="游ゴシック" w:eastAsia="游ゴシック"/>
                <w:b w:val="0"/>
                <w:sz w:val="16"/>
              </w:rPr>
              <w:t>資料7</w:t>
            </w:r>
          </w:p>
        </w:tc>
      </w:tr>
      <w:tr>
        <w:trPr>
          <w:cantSplit/>
        </w:trPr>
        <w:tc>
          <w:tcPr>
            <w:tcW w:type="dxa" w:w="794"/>
            <w:vAlign w:val="center"/>
          </w:tcPr>
          <w:p>
            <w:pPr>
              <w:spacing w:after="0"/>
              <w:jc w:val="center"/>
            </w:pPr>
            <w:r>
              <w:rPr>
                <w:rFonts w:ascii="游ゴシック" w:hAnsi="游ゴシック" w:eastAsia="游ゴシック"/>
                <w:b w:val="0"/>
                <w:sz w:val="16"/>
              </w:rPr>
              <w:t>No.154</w:t>
            </w:r>
          </w:p>
        </w:tc>
        <w:tc>
          <w:tcPr>
            <w:tcW w:type="dxa" w:w="2608"/>
            <w:vAlign w:val="center"/>
          </w:tcPr>
          <w:p>
            <w:pPr>
              <w:spacing w:after="0"/>
            </w:pPr>
            <w:r>
              <w:rPr>
                <w:rFonts w:ascii="游ゴシック" w:hAnsi="游ゴシック" w:eastAsia="游ゴシック"/>
                <w:b w:val="0"/>
                <w:sz w:val="16"/>
              </w:rPr>
              <w:t>計画素案 第2章第1節に町別の図を加えるか</w:t>
            </w:r>
          </w:p>
        </w:tc>
        <w:tc>
          <w:tcPr>
            <w:tcW w:type="dxa" w:w="4649"/>
            <w:vAlign w:val="center"/>
          </w:tcPr>
          <w:p>
            <w:pPr>
              <w:spacing w:after="0"/>
            </w:pPr>
            <w:r>
              <w:rPr>
                <w:rFonts w:ascii="游ゴシック" w:hAnsi="游ゴシック" w:eastAsia="游ゴシック"/>
                <w:b w:val="0"/>
                <w:sz w:val="16"/>
              </w:rPr>
              <w:t>町別の図は計画素案 第2章第1節に加えず、協議用の資料にとどめた</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No.157</w:t>
            </w:r>
          </w:p>
        </w:tc>
        <w:tc>
          <w:tcPr>
            <w:tcW w:type="dxa" w:w="2608"/>
            <w:shd w:val="clear" w:color="auto" w:fill="F2F5FA"/>
            <w:vAlign w:val="center"/>
          </w:tcPr>
          <w:p>
            <w:pPr>
              <w:spacing w:after="0"/>
            </w:pPr>
            <w:r>
              <w:rPr>
                <w:rFonts w:ascii="游ゴシック" w:hAnsi="游ゴシック" w:eastAsia="游ゴシック"/>
                <w:b w:val="0"/>
                <w:sz w:val="16"/>
              </w:rPr>
              <w:t>中長期推計を令和12・27・32年度まで広げるか</w:t>
            </w:r>
          </w:p>
        </w:tc>
        <w:tc>
          <w:tcPr>
            <w:tcW w:type="dxa" w:w="4649"/>
            <w:shd w:val="clear" w:color="auto" w:fill="F2F5FA"/>
            <w:vAlign w:val="center"/>
          </w:tcPr>
          <w:p>
            <w:pPr>
              <w:spacing w:after="0"/>
            </w:pPr>
            <w:r>
              <w:rPr>
                <w:rFonts w:ascii="游ゴシック" w:hAnsi="游ゴシック" w:eastAsia="游ゴシック"/>
                <w:b w:val="0"/>
                <w:sz w:val="16"/>
              </w:rPr>
              <w:t>算定の側だけを令和12・27・32年度まで広げ、計画本文に掲げる中長期は令和17年度・令和22年度のままとした</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No.158</w:t>
            </w:r>
          </w:p>
        </w:tc>
        <w:tc>
          <w:tcPr>
            <w:tcW w:type="dxa" w:w="2608"/>
            <w:vAlign w:val="center"/>
          </w:tcPr>
          <w:p>
            <w:pPr>
              <w:spacing w:after="0"/>
            </w:pPr>
            <w:r>
              <w:rPr>
                <w:rFonts w:ascii="游ゴシック" w:hAnsi="游ゴシック" w:eastAsia="游ゴシック"/>
                <w:b w:val="0"/>
                <w:sz w:val="16"/>
              </w:rPr>
              <w:t>在宅生活改善調査による代表KPI2項目の分母と町別の示し方</w:t>
            </w:r>
          </w:p>
        </w:tc>
        <w:tc>
          <w:tcPr>
            <w:tcW w:type="dxa" w:w="4649"/>
            <w:vAlign w:val="center"/>
          </w:tcPr>
          <w:p>
            <w:pPr>
              <w:spacing w:after="0"/>
            </w:pPr>
            <w:r>
              <w:rPr>
                <w:rFonts w:ascii="游ゴシック" w:hAnsi="游ゴシック" w:eastAsia="游ゴシック"/>
                <w:b w:val="0"/>
                <w:sz w:val="16"/>
              </w:rPr>
              <w:t>代表KPI H06・H12の分母を設問ごとの有効回答とし、町別の値は掲げていない</w:t>
            </w:r>
          </w:p>
        </w:tc>
        <w:tc>
          <w:tcPr>
            <w:tcW w:type="dxa" w:w="1701"/>
            <w:vAlign w:val="center"/>
          </w:tcPr>
          <w:p>
            <w:pPr>
              <w:spacing w:after="0"/>
            </w:pPr>
            <w:r>
              <w:rPr>
                <w:rFonts w:ascii="游ゴシック" w:hAnsi="游ゴシック" w:eastAsia="游ゴシック"/>
                <w:b w:val="0"/>
                <w:sz w:val="16"/>
              </w:rPr>
              <w:t>第4章第3節・資料1</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No.159</w:t>
            </w:r>
          </w:p>
        </w:tc>
        <w:tc>
          <w:tcPr>
            <w:tcW w:type="dxa" w:w="2608"/>
            <w:shd w:val="clear" w:color="auto" w:fill="F2F5FA"/>
            <w:vAlign w:val="center"/>
          </w:tcPr>
          <w:p>
            <w:pPr>
              <w:spacing w:after="0"/>
            </w:pPr>
            <w:r>
              <w:rPr>
                <w:rFonts w:ascii="游ゴシック" w:hAnsi="游ゴシック" w:eastAsia="游ゴシック"/>
                <w:b w:val="0"/>
                <w:sz w:val="16"/>
              </w:rPr>
              <w:t>東川町の通いの場の整備と担い手の確保</w:t>
            </w:r>
          </w:p>
        </w:tc>
        <w:tc>
          <w:tcPr>
            <w:tcW w:type="dxa" w:w="4649"/>
            <w:shd w:val="clear" w:color="auto" w:fill="F2F5FA"/>
            <w:vAlign w:val="center"/>
          </w:tcPr>
          <w:p>
            <w:pPr>
              <w:spacing w:after="0"/>
            </w:pPr>
            <w:r>
              <w:rPr>
                <w:rFonts w:ascii="游ゴシック" w:hAnsi="游ゴシック" w:eastAsia="游ゴシック"/>
                <w:b w:val="0"/>
                <w:sz w:val="16"/>
              </w:rPr>
              <w:t>通いの場の目標値は現在の実施の状況を前提として置き、整備が進む町がある場合は中間年の見直しで改める旨を注に明示した</w:t>
            </w:r>
          </w:p>
        </w:tc>
        <w:tc>
          <w:tcPr>
            <w:tcW w:type="dxa" w:w="1701"/>
            <w:shd w:val="clear" w:color="auto" w:fill="F2F5FA"/>
            <w:vAlign w:val="center"/>
          </w:tcPr>
          <w:p>
            <w:pPr>
              <w:spacing w:after="0"/>
            </w:pPr>
            <w:r>
              <w:rPr>
                <w:rFonts w:ascii="游ゴシック" w:hAnsi="游ゴシック" w:eastAsia="游ゴシック"/>
                <w:b w:val="0"/>
                <w:sz w:val="16"/>
              </w:rPr>
              <w:t>第5章 基本目標2</w:t>
            </w:r>
          </w:p>
        </w:tc>
      </w:tr>
      <w:tr>
        <w:trPr>
          <w:cantSplit/>
        </w:trPr>
        <w:tc>
          <w:tcPr>
            <w:tcW w:type="dxa" w:w="794"/>
            <w:vAlign w:val="center"/>
          </w:tcPr>
          <w:p>
            <w:pPr>
              <w:spacing w:after="0"/>
              <w:jc w:val="center"/>
            </w:pPr>
            <w:r>
              <w:rPr>
                <w:rFonts w:ascii="游ゴシック" w:hAnsi="游ゴシック" w:eastAsia="游ゴシック"/>
                <w:b w:val="0"/>
                <w:sz w:val="16"/>
              </w:rPr>
              <w:t>No.160</w:t>
            </w:r>
          </w:p>
        </w:tc>
        <w:tc>
          <w:tcPr>
            <w:tcW w:type="dxa" w:w="2608"/>
            <w:vAlign w:val="center"/>
          </w:tcPr>
          <w:p>
            <w:pPr>
              <w:spacing w:after="0"/>
            </w:pPr>
            <w:r>
              <w:rPr>
                <w:rFonts w:ascii="游ゴシック" w:hAnsi="游ゴシック" w:eastAsia="游ゴシック"/>
                <w:b w:val="0"/>
                <w:sz w:val="16"/>
              </w:rPr>
              <w:t>東川町の認知症サポーター養成講座の実施状況</w:t>
            </w:r>
          </w:p>
        </w:tc>
        <w:tc>
          <w:tcPr>
            <w:tcW w:type="dxa" w:w="4649"/>
            <w:vAlign w:val="center"/>
          </w:tcPr>
          <w:p>
            <w:pPr>
              <w:spacing w:after="0"/>
            </w:pPr>
            <w:r>
              <w:rPr>
                <w:rFonts w:ascii="游ゴシック" w:hAnsi="游ゴシック" w:eastAsia="游ゴシック"/>
                <w:b w:val="0"/>
                <w:sz w:val="16"/>
              </w:rPr>
              <w:t>認知症サポーターの養成は現に確認できる取組の範囲で掲げ、養成人数の目標値を置いていない旨を注に明示した</w:t>
            </w:r>
          </w:p>
        </w:tc>
        <w:tc>
          <w:tcPr>
            <w:tcW w:type="dxa" w:w="1701"/>
            <w:vAlign w:val="center"/>
          </w:tcPr>
          <w:p>
            <w:pPr>
              <w:spacing w:after="0"/>
            </w:pPr>
            <w:r>
              <w:rPr>
                <w:rFonts w:ascii="游ゴシック" w:hAnsi="游ゴシック" w:eastAsia="游ゴシック"/>
                <w:b w:val="0"/>
                <w:sz w:val="16"/>
              </w:rPr>
              <w:t>第5章 基本目標2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No.161</w:t>
            </w:r>
          </w:p>
        </w:tc>
        <w:tc>
          <w:tcPr>
            <w:tcW w:type="dxa" w:w="2608"/>
            <w:shd w:val="clear" w:color="auto" w:fill="F2F5FA"/>
            <w:vAlign w:val="center"/>
          </w:tcPr>
          <w:p>
            <w:pPr>
              <w:spacing w:after="0"/>
            </w:pPr>
            <w:r>
              <w:rPr>
                <w:rFonts w:ascii="游ゴシック" w:hAnsi="游ゴシック" w:eastAsia="游ゴシック"/>
                <w:b w:val="0"/>
                <w:sz w:val="16"/>
              </w:rPr>
              <w:t>東川町のチームオレンジ事業の位置づけ</w:t>
            </w:r>
          </w:p>
        </w:tc>
        <w:tc>
          <w:tcPr>
            <w:tcW w:type="dxa" w:w="4649"/>
            <w:shd w:val="clear" w:color="auto" w:fill="F2F5FA"/>
            <w:vAlign w:val="center"/>
          </w:tcPr>
          <w:p>
            <w:pPr>
              <w:spacing w:after="0"/>
            </w:pPr>
            <w:r>
              <w:rPr>
                <w:rFonts w:ascii="游ゴシック" w:hAnsi="游ゴシック" w:eastAsia="游ゴシック"/>
                <w:b w:val="0"/>
                <w:sz w:val="16"/>
              </w:rPr>
              <w:t>チームオレンジは東川町の取組として掲げ、他の町への展開は3町と協議して定める旨を注に明示した</w:t>
            </w:r>
          </w:p>
        </w:tc>
        <w:tc>
          <w:tcPr>
            <w:tcW w:type="dxa" w:w="1701"/>
            <w:shd w:val="clear" w:color="auto" w:fill="F2F5FA"/>
            <w:vAlign w:val="center"/>
          </w:tcPr>
          <w:p>
            <w:pPr>
              <w:spacing w:after="0"/>
            </w:pPr>
            <w:r>
              <w:rPr>
                <w:rFonts w:ascii="游ゴシック" w:hAnsi="游ゴシック" w:eastAsia="游ゴシック"/>
                <w:b w:val="0"/>
                <w:sz w:val="16"/>
              </w:rPr>
              <w:t>第5章 基本目標2</w:t>
            </w:r>
          </w:p>
        </w:tc>
      </w:tr>
      <w:tr>
        <w:trPr>
          <w:cantSplit/>
        </w:trPr>
        <w:tc>
          <w:tcPr>
            <w:tcW w:type="dxa" w:w="794"/>
            <w:vAlign w:val="center"/>
          </w:tcPr>
          <w:p>
            <w:pPr>
              <w:spacing w:after="0"/>
              <w:jc w:val="center"/>
            </w:pPr>
            <w:r>
              <w:rPr>
                <w:rFonts w:ascii="游ゴシック" w:hAnsi="游ゴシック" w:eastAsia="游ゴシック"/>
                <w:b w:val="0"/>
                <w:sz w:val="16"/>
              </w:rPr>
              <w:t>No.162</w:t>
            </w:r>
          </w:p>
        </w:tc>
        <w:tc>
          <w:tcPr>
            <w:tcW w:type="dxa" w:w="2608"/>
            <w:vAlign w:val="center"/>
          </w:tcPr>
          <w:p>
            <w:pPr>
              <w:spacing w:after="0"/>
            </w:pPr>
            <w:r>
              <w:rPr>
                <w:rFonts w:ascii="游ゴシック" w:hAnsi="游ゴシック" w:eastAsia="游ゴシック"/>
                <w:b w:val="0"/>
                <w:sz w:val="16"/>
              </w:rPr>
              <w:t>美瑛町の認知症初期集中支援推進事業の再開の見通し</w:t>
            </w:r>
          </w:p>
        </w:tc>
        <w:tc>
          <w:tcPr>
            <w:tcW w:type="dxa" w:w="4649"/>
            <w:vAlign w:val="center"/>
          </w:tcPr>
          <w:p>
            <w:pPr>
              <w:spacing w:after="0"/>
            </w:pPr>
            <w:r>
              <w:rPr>
                <w:rFonts w:ascii="游ゴシック" w:hAnsi="游ゴシック" w:eastAsia="游ゴシック"/>
                <w:b w:val="0"/>
                <w:sz w:val="16"/>
              </w:rPr>
              <w:t>美瑛町の認知症初期集中支援推進事業は令和7年度の実施状況のとおり記述し、再開の時期は［要協議］のまま残した</w:t>
            </w:r>
          </w:p>
        </w:tc>
        <w:tc>
          <w:tcPr>
            <w:tcW w:type="dxa" w:w="1701"/>
            <w:vAlign w:val="center"/>
          </w:tcPr>
          <w:p>
            <w:pPr>
              <w:spacing w:after="0"/>
            </w:pPr>
            <w:r>
              <w:rPr>
                <w:rFonts w:ascii="游ゴシック" w:hAnsi="游ゴシック" w:eastAsia="游ゴシック"/>
                <w:b w:val="0"/>
                <w:sz w:val="16"/>
              </w:rPr>
              <w:t>第5章 基本目標2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No.163</w:t>
            </w:r>
          </w:p>
        </w:tc>
        <w:tc>
          <w:tcPr>
            <w:tcW w:type="dxa" w:w="2608"/>
            <w:shd w:val="clear" w:color="auto" w:fill="F2F5FA"/>
            <w:vAlign w:val="center"/>
          </w:tcPr>
          <w:p>
            <w:pPr>
              <w:spacing w:after="0"/>
            </w:pPr>
            <w:r>
              <w:rPr>
                <w:rFonts w:ascii="游ゴシック" w:hAnsi="游ゴシック" w:eastAsia="游ゴシック"/>
                <w:b w:val="0"/>
                <w:sz w:val="16"/>
              </w:rPr>
              <w:t>美瑛町の地域リハビリテーション活動支援事業の3町展開</w:t>
            </w:r>
          </w:p>
        </w:tc>
        <w:tc>
          <w:tcPr>
            <w:tcW w:type="dxa" w:w="4649"/>
            <w:shd w:val="clear" w:color="auto" w:fill="F2F5FA"/>
            <w:vAlign w:val="center"/>
          </w:tcPr>
          <w:p>
            <w:pPr>
              <w:spacing w:after="0"/>
            </w:pPr>
            <w:r>
              <w:rPr>
                <w:rFonts w:ascii="游ゴシック" w:hAnsi="游ゴシック" w:eastAsia="游ゴシック"/>
                <w:b w:val="0"/>
                <w:sz w:val="16"/>
              </w:rPr>
              <w:t>地域リハビリテーション活動支援事業は美瑛町の取組として記述し、3町展開とは書かないことに改めた</w:t>
            </w:r>
          </w:p>
        </w:tc>
        <w:tc>
          <w:tcPr>
            <w:tcW w:type="dxa" w:w="1701"/>
            <w:shd w:val="clear" w:color="auto" w:fill="F2F5FA"/>
            <w:vAlign w:val="center"/>
          </w:tcPr>
          <w:p>
            <w:pPr>
              <w:spacing w:after="0"/>
            </w:pPr>
            <w:r>
              <w:rPr>
                <w:rFonts w:ascii="游ゴシック" w:hAnsi="游ゴシック" w:eastAsia="游ゴシック"/>
                <w:b w:val="0"/>
                <w:sz w:val="16"/>
              </w:rPr>
              <w:t>第3章第2節・第5章 基本目標2</w:t>
            </w:r>
          </w:p>
        </w:tc>
      </w:tr>
      <w:tr>
        <w:trPr>
          <w:cantSplit/>
        </w:trPr>
        <w:tc>
          <w:tcPr>
            <w:tcW w:type="dxa" w:w="794"/>
            <w:vAlign w:val="center"/>
          </w:tcPr>
          <w:p>
            <w:pPr>
              <w:spacing w:after="0"/>
              <w:jc w:val="center"/>
            </w:pPr>
            <w:r>
              <w:rPr>
                <w:rFonts w:ascii="游ゴシック" w:hAnsi="游ゴシック" w:eastAsia="游ゴシック"/>
                <w:b w:val="0"/>
                <w:sz w:val="16"/>
              </w:rPr>
              <w:t>No.16</w:t>
            </w:r>
          </w:p>
        </w:tc>
        <w:tc>
          <w:tcPr>
            <w:tcW w:type="dxa" w:w="2608"/>
            <w:vAlign w:val="center"/>
          </w:tcPr>
          <w:p>
            <w:pPr>
              <w:spacing w:after="0"/>
            </w:pPr>
            <w:r>
              <w:rPr>
                <w:rFonts w:ascii="游ゴシック" w:hAnsi="游ゴシック" w:eastAsia="游ゴシック"/>
                <w:b w:val="0"/>
                <w:sz w:val="16"/>
              </w:rPr>
              <w:t>保険料算定の前提</w:t>
            </w:r>
          </w:p>
        </w:tc>
        <w:tc>
          <w:tcPr>
            <w:tcW w:type="dxa" w:w="4649"/>
            <w:vAlign w:val="center"/>
          </w:tcPr>
          <w:p>
            <w:pPr>
              <w:spacing w:after="0"/>
            </w:pPr>
            <w:r>
              <w:rPr>
                <w:rFonts w:ascii="游ゴシック" w:hAnsi="游ゴシック" w:eastAsia="游ゴシック"/>
                <w:b w:val="0"/>
                <w:sz w:val="16"/>
              </w:rPr>
              <w:t>保険料算定の前提は単価固定・施策反映なし・適正化を織り込まない・基金取崩しなしによることを明示した（No.60と同じ前提）</w:t>
            </w:r>
          </w:p>
        </w:tc>
        <w:tc>
          <w:tcPr>
            <w:tcW w:type="dxa" w:w="1701"/>
            <w:vAlign w:val="center"/>
          </w:tcPr>
          <w:p>
            <w:pPr>
              <w:spacing w:after="0"/>
            </w:pPr>
            <w:r>
              <w:rPr>
                <w:rFonts w:ascii="游ゴシック" w:hAnsi="游ゴシック" w:eastAsia="游ゴシック"/>
                <w:b w:val="0"/>
                <w:sz w:val="16"/>
              </w:rPr>
              <w:t>第6章第6節2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No.164</w:t>
            </w:r>
          </w:p>
        </w:tc>
        <w:tc>
          <w:tcPr>
            <w:tcW w:type="dxa" w:w="2608"/>
            <w:shd w:val="clear" w:color="auto" w:fill="F2F5FA"/>
            <w:vAlign w:val="center"/>
          </w:tcPr>
          <w:p>
            <w:pPr>
              <w:spacing w:after="0"/>
            </w:pPr>
            <w:r>
              <w:rPr>
                <w:rFonts w:ascii="游ゴシック" w:hAnsi="游ゴシック" w:eastAsia="游ゴシック"/>
                <w:b w:val="0"/>
                <w:sz w:val="16"/>
              </w:rPr>
              <w:t>美瑛町の地域密着型介護老人福祉施設の整備方針</w:t>
            </w:r>
          </w:p>
        </w:tc>
        <w:tc>
          <w:tcPr>
            <w:tcW w:type="dxa" w:w="4649"/>
            <w:shd w:val="clear" w:color="auto" w:fill="F2F5FA"/>
            <w:vAlign w:val="center"/>
          </w:tcPr>
          <w:p>
            <w:pPr>
              <w:spacing w:after="0"/>
            </w:pPr>
            <w:r>
              <w:rPr>
                <w:rFonts w:ascii="游ゴシック" w:hAnsi="游ゴシック" w:eastAsia="游ゴシック"/>
                <w:b w:val="0"/>
                <w:sz w:val="16"/>
              </w:rPr>
              <w:t>美瑛町の地域密着型介護老人福祉施設は現定員の据え置き案を掲げ、本文は［要協議］のまま残した</w:t>
            </w:r>
          </w:p>
        </w:tc>
        <w:tc>
          <w:tcPr>
            <w:tcW w:type="dxa" w:w="1701"/>
            <w:shd w:val="clear" w:color="auto" w:fill="F2F5FA"/>
            <w:vAlign w:val="center"/>
          </w:tcPr>
          <w:p>
            <w:pPr>
              <w:spacing w:after="0"/>
            </w:pPr>
            <w:r>
              <w:rPr>
                <w:rFonts w:ascii="游ゴシック" w:hAnsi="游ゴシック" w:eastAsia="游ゴシック"/>
                <w:b w:val="0"/>
                <w:sz w:val="16"/>
              </w:rPr>
              <w:t>第6章第4節4</w:t>
            </w:r>
          </w:p>
        </w:tc>
      </w:tr>
      <w:tr>
        <w:trPr>
          <w:cantSplit/>
        </w:trPr>
        <w:tc>
          <w:tcPr>
            <w:tcW w:type="dxa" w:w="794"/>
            <w:vAlign w:val="center"/>
          </w:tcPr>
          <w:p>
            <w:pPr>
              <w:spacing w:after="0"/>
              <w:jc w:val="center"/>
            </w:pPr>
            <w:r>
              <w:rPr>
                <w:rFonts w:ascii="游ゴシック" w:hAnsi="游ゴシック" w:eastAsia="游ゴシック"/>
                <w:b w:val="0"/>
                <w:sz w:val="16"/>
              </w:rPr>
              <w:t>No.165</w:t>
            </w:r>
          </w:p>
        </w:tc>
        <w:tc>
          <w:tcPr>
            <w:tcW w:type="dxa" w:w="2608"/>
            <w:vAlign w:val="center"/>
          </w:tcPr>
          <w:p>
            <w:pPr>
              <w:spacing w:after="0"/>
            </w:pPr>
            <w:r>
              <w:rPr>
                <w:rFonts w:ascii="游ゴシック" w:hAnsi="游ゴシック" w:eastAsia="游ゴシック"/>
                <w:b w:val="0"/>
                <w:sz w:val="16"/>
              </w:rPr>
              <w:t>美瑛町の難聴高齢者の早期発見・早期介入の取組</w:t>
            </w:r>
          </w:p>
        </w:tc>
        <w:tc>
          <w:tcPr>
            <w:tcW w:type="dxa" w:w="4649"/>
            <w:vAlign w:val="center"/>
          </w:tcPr>
          <w:p>
            <w:pPr>
              <w:spacing w:after="0"/>
            </w:pPr>
            <w:r>
              <w:rPr>
                <w:rFonts w:ascii="游ゴシック" w:hAnsi="游ゴシック" w:eastAsia="游ゴシック"/>
                <w:b w:val="0"/>
                <w:sz w:val="16"/>
              </w:rPr>
              <w:t>難聴高齢者の早期発見・早期介入は令和8年度に新たに加えられた交付金の評価項目であり町により得点に差があることを示し、現に確認できる範囲で掲げるにとどめた</w:t>
            </w:r>
          </w:p>
        </w:tc>
        <w:tc>
          <w:tcPr>
            <w:tcW w:type="dxa" w:w="1701"/>
            <w:vAlign w:val="center"/>
          </w:tcPr>
          <w:p>
            <w:pPr>
              <w:spacing w:after="0"/>
            </w:pPr>
            <w:r>
              <w:rPr>
                <w:rFonts w:ascii="游ゴシック" w:hAnsi="游ゴシック" w:eastAsia="游ゴシック"/>
                <w:b w:val="0"/>
                <w:sz w:val="16"/>
              </w:rPr>
              <w:t>第5章 基本目標2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No.166</w:t>
            </w:r>
          </w:p>
        </w:tc>
        <w:tc>
          <w:tcPr>
            <w:tcW w:type="dxa" w:w="2608"/>
            <w:shd w:val="clear" w:color="auto" w:fill="F2F5FA"/>
            <w:vAlign w:val="center"/>
          </w:tcPr>
          <w:p>
            <w:pPr>
              <w:spacing w:after="0"/>
            </w:pPr>
            <w:r>
              <w:rPr>
                <w:rFonts w:ascii="游ゴシック" w:hAnsi="游ゴシック" w:eastAsia="游ゴシック"/>
                <w:b w:val="0"/>
                <w:sz w:val="16"/>
              </w:rPr>
              <w:t>東神楽町の通いの場の維持</w:t>
            </w:r>
          </w:p>
        </w:tc>
        <w:tc>
          <w:tcPr>
            <w:tcW w:type="dxa" w:w="4649"/>
            <w:shd w:val="clear" w:color="auto" w:fill="F2F5FA"/>
            <w:vAlign w:val="center"/>
          </w:tcPr>
          <w:p>
            <w:pPr>
              <w:spacing w:after="0"/>
            </w:pPr>
            <w:r>
              <w:rPr>
                <w:rFonts w:ascii="游ゴシック" w:hAnsi="游ゴシック" w:eastAsia="游ゴシック"/>
                <w:b w:val="0"/>
                <w:sz w:val="16"/>
              </w:rPr>
              <w:t>通いの場の目標値は令和6年度の水準が続くものとして置いた</w:t>
            </w:r>
          </w:p>
        </w:tc>
        <w:tc>
          <w:tcPr>
            <w:tcW w:type="dxa" w:w="1701"/>
            <w:shd w:val="clear" w:color="auto" w:fill="F2F5FA"/>
            <w:vAlign w:val="center"/>
          </w:tcPr>
          <w:p>
            <w:pPr>
              <w:spacing w:after="0"/>
            </w:pPr>
            <w:r>
              <w:rPr>
                <w:rFonts w:ascii="游ゴシック" w:hAnsi="游ゴシック" w:eastAsia="游ゴシック"/>
                <w:b w:val="0"/>
                <w:sz w:val="16"/>
              </w:rPr>
              <w:t>第5章 基本目標2</w:t>
            </w:r>
          </w:p>
        </w:tc>
      </w:tr>
      <w:tr>
        <w:trPr>
          <w:cantSplit/>
        </w:trPr>
        <w:tc>
          <w:tcPr>
            <w:tcW w:type="dxa" w:w="794"/>
            <w:vAlign w:val="center"/>
          </w:tcPr>
          <w:p>
            <w:pPr>
              <w:spacing w:after="0"/>
              <w:jc w:val="center"/>
            </w:pPr>
            <w:r>
              <w:rPr>
                <w:rFonts w:ascii="游ゴシック" w:hAnsi="游ゴシック" w:eastAsia="游ゴシック"/>
                <w:b w:val="0"/>
                <w:sz w:val="16"/>
              </w:rPr>
              <w:t>No.167</w:t>
            </w:r>
          </w:p>
        </w:tc>
        <w:tc>
          <w:tcPr>
            <w:tcW w:type="dxa" w:w="2608"/>
            <w:vAlign w:val="center"/>
          </w:tcPr>
          <w:p>
            <w:pPr>
              <w:spacing w:after="0"/>
            </w:pPr>
            <w:r>
              <w:rPr>
                <w:rFonts w:ascii="游ゴシック" w:hAnsi="游ゴシック" w:eastAsia="游ゴシック"/>
                <w:b w:val="0"/>
                <w:sz w:val="16"/>
              </w:rPr>
              <w:t>東神楽町の認知症サポーター・ステップアップ講座の実施状況</w:t>
            </w:r>
          </w:p>
        </w:tc>
        <w:tc>
          <w:tcPr>
            <w:tcW w:type="dxa" w:w="4649"/>
            <w:vAlign w:val="center"/>
          </w:tcPr>
          <w:p>
            <w:pPr>
              <w:spacing w:after="0"/>
            </w:pPr>
            <w:r>
              <w:rPr>
                <w:rFonts w:ascii="游ゴシック" w:hAnsi="游ゴシック" w:eastAsia="游ゴシック"/>
                <w:b w:val="0"/>
                <w:sz w:val="16"/>
              </w:rPr>
              <w:t>認知症サポーター・ステップアップ講座は現に確認できる取組の範囲で記述し目標値を置いていない</w:t>
            </w:r>
          </w:p>
        </w:tc>
        <w:tc>
          <w:tcPr>
            <w:tcW w:type="dxa" w:w="1701"/>
            <w:vAlign w:val="center"/>
          </w:tcPr>
          <w:p>
            <w:pPr>
              <w:spacing w:after="0"/>
            </w:pPr>
            <w:r>
              <w:rPr>
                <w:rFonts w:ascii="游ゴシック" w:hAnsi="游ゴシック" w:eastAsia="游ゴシック"/>
                <w:b w:val="0"/>
                <w:sz w:val="16"/>
              </w:rPr>
              <w:t>第5章 基本目標2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No.170</w:t>
            </w:r>
          </w:p>
        </w:tc>
        <w:tc>
          <w:tcPr>
            <w:tcW w:type="dxa" w:w="2608"/>
            <w:shd w:val="clear" w:color="auto" w:fill="F2F5FA"/>
            <w:vAlign w:val="center"/>
          </w:tcPr>
          <w:p>
            <w:pPr>
              <w:spacing w:after="0"/>
            </w:pPr>
            <w:r>
              <w:rPr>
                <w:rFonts w:ascii="游ゴシック" w:hAnsi="游ゴシック" w:eastAsia="游ゴシック"/>
                <w:b w:val="0"/>
                <w:sz w:val="16"/>
              </w:rPr>
              <w:t>計画素案に独自に加えた記載のうち、打合せ協議用へ移すもの</w:t>
            </w:r>
          </w:p>
        </w:tc>
        <w:tc>
          <w:tcPr>
            <w:tcW w:type="dxa" w:w="4649"/>
            <w:shd w:val="clear" w:color="auto" w:fill="F2F5FA"/>
            <w:vAlign w:val="center"/>
          </w:tcPr>
          <w:p>
            <w:pPr>
              <w:spacing w:after="0"/>
            </w:pPr>
            <w:r>
              <w:rPr>
                <w:rFonts w:ascii="游ゴシック" w:hAnsi="游ゴシック" w:eastAsia="游ゴシック"/>
                <w:b w:val="0"/>
                <w:sz w:val="16"/>
              </w:rPr>
              <w:t>計画素案から協議用の成果品へ移す8件を移し、「協議」判定の16件は素案に残した</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No.172</w:t>
            </w:r>
          </w:p>
        </w:tc>
        <w:tc>
          <w:tcPr>
            <w:tcW w:type="dxa" w:w="2608"/>
            <w:vAlign w:val="center"/>
          </w:tcPr>
          <w:p>
            <w:pPr>
              <w:spacing w:after="0"/>
            </w:pPr>
            <w:r>
              <w:rPr>
                <w:rFonts w:ascii="游ゴシック" w:hAnsi="游ゴシック" w:eastAsia="游ゴシック"/>
                <w:b w:val="0"/>
                <w:sz w:val="16"/>
              </w:rPr>
              <w:t>保険者機能強化推進交付金等の評価を示す図の計画本文への掲載</w:t>
            </w:r>
          </w:p>
        </w:tc>
        <w:tc>
          <w:tcPr>
            <w:tcW w:type="dxa" w:w="4649"/>
            <w:vAlign w:val="center"/>
          </w:tcPr>
          <w:p>
            <w:pPr>
              <w:spacing w:after="0"/>
            </w:pPr>
            <w:r>
              <w:rPr>
                <w:rFonts w:ascii="游ゴシック" w:hAnsi="游ゴシック" w:eastAsia="游ゴシック"/>
                <w:b w:val="0"/>
                <w:sz w:val="16"/>
              </w:rPr>
              <w:t>交付金の評価を示す図は計画本文に掲げず、策定委員会の資料にとどめた</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No.174</w:t>
            </w:r>
          </w:p>
        </w:tc>
        <w:tc>
          <w:tcPr>
            <w:tcW w:type="dxa" w:w="2608"/>
            <w:shd w:val="clear" w:color="auto" w:fill="F2F5FA"/>
            <w:vAlign w:val="center"/>
          </w:tcPr>
          <w:p>
            <w:pPr>
              <w:spacing w:after="0"/>
            </w:pPr>
            <w:r>
              <w:rPr>
                <w:rFonts w:ascii="游ゴシック" w:hAnsi="游ゴシック" w:eastAsia="游ゴシック"/>
                <w:b w:val="0"/>
                <w:sz w:val="16"/>
              </w:rPr>
              <w:t>人口及び第1号被保険者数の入力値をどの系列にそろえるか（内部整合）</w:t>
            </w:r>
          </w:p>
        </w:tc>
        <w:tc>
          <w:tcPr>
            <w:tcW w:type="dxa" w:w="4649"/>
            <w:shd w:val="clear" w:color="auto" w:fill="F2F5FA"/>
            <w:vAlign w:val="center"/>
          </w:tcPr>
          <w:p>
            <w:pPr>
              <w:spacing w:after="0"/>
            </w:pPr>
            <w:r>
              <w:rPr>
                <w:rFonts w:ascii="游ゴシック" w:hAnsi="游ゴシック" w:eastAsia="游ゴシック"/>
                <w:b w:val="0"/>
                <w:sz w:val="16"/>
              </w:rPr>
              <w:t>人口及び第1号被保険者数は案Cにそろえ、見える化システムへの入力値も案Cによった</w:t>
            </w:r>
          </w:p>
        </w:tc>
        <w:tc>
          <w:tcPr>
            <w:tcW w:type="dxa" w:w="1701"/>
            <w:shd w:val="clear" w:color="auto" w:fill="F2F5FA"/>
            <w:vAlign w:val="center"/>
          </w:tcPr>
          <w:p>
            <w:pPr>
              <w:spacing w:after="0"/>
            </w:pPr>
            <w:r>
              <w:rPr>
                <w:rFonts w:ascii="游ゴシック" w:hAnsi="游ゴシック" w:eastAsia="游ゴシック"/>
                <w:b w:val="0"/>
                <w:sz w:val="16"/>
              </w:rPr>
              <w:t>第6章第1節</w:t>
            </w:r>
          </w:p>
        </w:tc>
      </w:tr>
      <w:tr>
        <w:trPr>
          <w:cantSplit/>
        </w:trPr>
        <w:tc>
          <w:tcPr>
            <w:tcW w:type="dxa" w:w="794"/>
            <w:vAlign w:val="center"/>
          </w:tcPr>
          <w:p>
            <w:pPr>
              <w:spacing w:after="0"/>
              <w:jc w:val="center"/>
            </w:pPr>
            <w:r>
              <w:rPr>
                <w:rFonts w:ascii="游ゴシック" w:hAnsi="游ゴシック" w:eastAsia="游ゴシック"/>
                <w:b w:val="0"/>
                <w:sz w:val="16"/>
              </w:rPr>
              <w:t>No.2</w:t>
            </w:r>
          </w:p>
        </w:tc>
        <w:tc>
          <w:tcPr>
            <w:tcW w:type="dxa" w:w="2608"/>
            <w:vAlign w:val="center"/>
          </w:tcPr>
          <w:p>
            <w:pPr>
              <w:spacing w:after="0"/>
            </w:pPr>
            <w:r>
              <w:rPr>
                <w:rFonts w:ascii="游ゴシック" w:hAnsi="游ゴシック" w:eastAsia="游ゴシック"/>
                <w:b w:val="0"/>
                <w:sz w:val="16"/>
              </w:rPr>
              <w:t>特定地域の指定に係る意向表明の手続</w:t>
            </w:r>
          </w:p>
        </w:tc>
        <w:tc>
          <w:tcPr>
            <w:tcW w:type="dxa" w:w="4649"/>
            <w:vAlign w:val="center"/>
          </w:tcPr>
          <w:p>
            <w:pPr>
              <w:spacing w:after="0"/>
            </w:pPr>
            <w:r>
              <w:rPr>
                <w:rFonts w:ascii="游ゴシック" w:hAnsi="游ゴシック" w:eastAsia="游ゴシック"/>
                <w:b w:val="0"/>
                <w:sz w:val="16"/>
              </w:rPr>
              <w:t>特定地域の指定に係る意向の表明は、基準及び手続が確定していないため行わないものとし、省令等の確定後に3町と協議して定める旨を注に明示した</w:t>
            </w:r>
          </w:p>
        </w:tc>
        <w:tc>
          <w:tcPr>
            <w:tcW w:type="dxa" w:w="1701"/>
            <w:vAlign w:val="center"/>
          </w:tcPr>
          <w:p>
            <w:pPr>
              <w:spacing w:after="0"/>
            </w:pPr>
            <w:r>
              <w:rPr>
                <w:rFonts w:ascii="游ゴシック" w:hAnsi="游ゴシック" w:eastAsia="游ゴシック"/>
                <w:b w:val="0"/>
                <w:sz w:val="16"/>
              </w:rPr>
              <w:t>第1章第9節1</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No.13</w:t>
            </w:r>
          </w:p>
        </w:tc>
        <w:tc>
          <w:tcPr>
            <w:tcW w:type="dxa" w:w="2608"/>
            <w:shd w:val="clear" w:color="auto" w:fill="F2F5FA"/>
            <w:vAlign w:val="center"/>
          </w:tcPr>
          <w:p>
            <w:pPr>
              <w:spacing w:after="0"/>
            </w:pPr>
            <w:r>
              <w:rPr>
                <w:rFonts w:ascii="游ゴシック" w:hAnsi="游ゴシック" w:eastAsia="游ゴシック"/>
                <w:b w:val="0"/>
                <w:sz w:val="16"/>
              </w:rPr>
              <w:t>訪問・通所困難地域の判定資料</w:t>
            </w:r>
          </w:p>
        </w:tc>
        <w:tc>
          <w:tcPr>
            <w:tcW w:type="dxa" w:w="4649"/>
            <w:shd w:val="clear" w:color="auto" w:fill="F2F5FA"/>
            <w:vAlign w:val="center"/>
          </w:tcPr>
          <w:p>
            <w:pPr>
              <w:spacing w:after="0"/>
            </w:pPr>
            <w:r>
              <w:rPr>
                <w:rFonts w:ascii="游ゴシック" w:hAnsi="游ゴシック" w:eastAsia="游ゴシック"/>
                <w:b w:val="0"/>
                <w:sz w:val="16"/>
              </w:rPr>
              <w:t>訪問・通所困難地域は、北海道の指定事業所一覧の「通常の事業の実施地域」により判定することとした</w:t>
            </w:r>
          </w:p>
        </w:tc>
        <w:tc>
          <w:tcPr>
            <w:tcW w:type="dxa" w:w="1701"/>
            <w:shd w:val="clear" w:color="auto" w:fill="F2F5FA"/>
            <w:vAlign w:val="center"/>
          </w:tcPr>
          <w:p>
            <w:pPr>
              <w:spacing w:after="0"/>
            </w:pPr>
            <w:r>
              <w:rPr>
                <w:rFonts w:ascii="游ゴシック" w:hAnsi="游ゴシック" w:eastAsia="游ゴシック"/>
                <w:b w:val="0"/>
                <w:sz w:val="16"/>
              </w:rPr>
              <w:t>第1章第7節</w:t>
            </w:r>
          </w:p>
        </w:tc>
      </w:tr>
      <w:tr>
        <w:trPr>
          <w:cantSplit/>
        </w:trPr>
        <w:tc>
          <w:tcPr>
            <w:tcW w:type="dxa" w:w="794"/>
            <w:vAlign w:val="center"/>
          </w:tcPr>
          <w:p>
            <w:pPr>
              <w:spacing w:after="0"/>
              <w:jc w:val="center"/>
            </w:pPr>
            <w:r>
              <w:rPr>
                <w:rFonts w:ascii="游ゴシック" w:hAnsi="游ゴシック" w:eastAsia="游ゴシック"/>
                <w:b w:val="0"/>
                <w:sz w:val="16"/>
              </w:rPr>
              <w:t>No.14</w:t>
            </w:r>
          </w:p>
        </w:tc>
        <w:tc>
          <w:tcPr>
            <w:tcW w:type="dxa" w:w="2608"/>
            <w:vAlign w:val="center"/>
          </w:tcPr>
          <w:p>
            <w:pPr>
              <w:spacing w:after="0"/>
            </w:pPr>
            <w:r>
              <w:rPr>
                <w:rFonts w:ascii="游ゴシック" w:hAnsi="游ゴシック" w:eastAsia="游ゴシック"/>
                <w:b w:val="0"/>
                <w:sz w:val="16"/>
              </w:rPr>
              <w:t>人口推計の基礎とする系列</w:t>
            </w:r>
          </w:p>
        </w:tc>
        <w:tc>
          <w:tcPr>
            <w:tcW w:type="dxa" w:w="4649"/>
            <w:vAlign w:val="center"/>
          </w:tcPr>
          <w:p>
            <w:pPr>
              <w:spacing w:after="0"/>
            </w:pPr>
            <w:r>
              <w:rPr>
                <w:rFonts w:ascii="游ゴシック" w:hAnsi="游ゴシック" w:eastAsia="游ゴシック"/>
                <w:b w:val="0"/>
                <w:sz w:val="16"/>
              </w:rPr>
              <w:t>人口推計の基礎は案C（総合戦略と住民基本台帳の実績趨勢）による</w:t>
            </w:r>
          </w:p>
        </w:tc>
        <w:tc>
          <w:tcPr>
            <w:tcW w:type="dxa" w:w="1701"/>
            <w:vAlign w:val="center"/>
          </w:tcPr>
          <w:p>
            <w:pPr>
              <w:spacing w:after="0"/>
            </w:pPr>
            <w:r>
              <w:rPr>
                <w:rFonts w:ascii="游ゴシック" w:hAnsi="游ゴシック" w:eastAsia="游ゴシック"/>
                <w:b w:val="0"/>
                <w:sz w:val="16"/>
              </w:rPr>
              <w:t>第6章第1節</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No.15</w:t>
            </w:r>
          </w:p>
        </w:tc>
        <w:tc>
          <w:tcPr>
            <w:tcW w:type="dxa" w:w="2608"/>
            <w:shd w:val="clear" w:color="auto" w:fill="F2F5FA"/>
            <w:vAlign w:val="center"/>
          </w:tcPr>
          <w:p>
            <w:pPr>
              <w:spacing w:after="0"/>
            </w:pPr>
            <w:r>
              <w:rPr>
                <w:rFonts w:ascii="游ゴシック" w:hAnsi="游ゴシック" w:eastAsia="游ゴシック"/>
                <w:b w:val="0"/>
                <w:sz w:val="16"/>
              </w:rPr>
              <w:t>認定者数の基準月と月次推移</w:t>
            </w:r>
          </w:p>
        </w:tc>
        <w:tc>
          <w:tcPr>
            <w:tcW w:type="dxa" w:w="4649"/>
            <w:shd w:val="clear" w:color="auto" w:fill="F2F5FA"/>
            <w:vAlign w:val="center"/>
          </w:tcPr>
          <w:p>
            <w:pPr>
              <w:spacing w:after="0"/>
            </w:pPr>
            <w:r>
              <w:rPr>
                <w:rFonts w:ascii="游ゴシック" w:hAnsi="游ゴシック" w:eastAsia="游ゴシック"/>
                <w:b w:val="0"/>
                <w:sz w:val="16"/>
              </w:rPr>
              <w:t>認定者数は年報の年度末現在を基準とし、月次推移は計画本文に掲げていない</w:t>
            </w:r>
          </w:p>
        </w:tc>
        <w:tc>
          <w:tcPr>
            <w:tcW w:type="dxa" w:w="1701"/>
            <w:shd w:val="clear" w:color="auto" w:fill="F2F5FA"/>
            <w:vAlign w:val="center"/>
          </w:tcPr>
          <w:p>
            <w:pPr>
              <w:spacing w:after="0"/>
            </w:pPr>
            <w:r>
              <w:rPr>
                <w:rFonts w:ascii="游ゴシック" w:hAnsi="游ゴシック" w:eastAsia="游ゴシック"/>
                <w:b w:val="0"/>
                <w:sz w:val="16"/>
              </w:rPr>
              <w:t>第6章第1節</w:t>
            </w:r>
          </w:p>
        </w:tc>
      </w:tr>
      <w:tr>
        <w:trPr>
          <w:cantSplit/>
        </w:trPr>
        <w:tc>
          <w:tcPr>
            <w:tcW w:type="dxa" w:w="794"/>
            <w:vAlign w:val="center"/>
          </w:tcPr>
          <w:p>
            <w:pPr>
              <w:spacing w:after="0"/>
              <w:jc w:val="center"/>
            </w:pPr>
            <w:r>
              <w:rPr>
                <w:rFonts w:ascii="游ゴシック" w:hAnsi="游ゴシック" w:eastAsia="游ゴシック"/>
                <w:b w:val="0"/>
                <w:sz w:val="16"/>
              </w:rPr>
              <w:t>No.17</w:t>
            </w:r>
          </w:p>
        </w:tc>
        <w:tc>
          <w:tcPr>
            <w:tcW w:type="dxa" w:w="2608"/>
            <w:vAlign w:val="center"/>
          </w:tcPr>
          <w:p>
            <w:pPr>
              <w:spacing w:after="0"/>
            </w:pPr>
            <w:r>
              <w:rPr>
                <w:rFonts w:ascii="游ゴシック" w:hAnsi="游ゴシック" w:eastAsia="游ゴシック"/>
                <w:b w:val="0"/>
                <w:sz w:val="16"/>
              </w:rPr>
              <w:t>3町計画への共通指標の掲載</w:t>
            </w:r>
          </w:p>
        </w:tc>
        <w:tc>
          <w:tcPr>
            <w:tcW w:type="dxa" w:w="4649"/>
            <w:vAlign w:val="center"/>
          </w:tcPr>
          <w:p>
            <w:pPr>
              <w:spacing w:after="0"/>
            </w:pPr>
            <w:r>
              <w:rPr>
                <w:rFonts w:ascii="游ゴシック" w:hAnsi="游ゴシック" w:eastAsia="游ゴシック"/>
                <w:b w:val="0"/>
                <w:sz w:val="16"/>
              </w:rPr>
              <w:t>広域連合の代表KPI16項目を掲げ、3町計画への掲載は求めず、役割分担と共通KPIにより接続することとした</w:t>
            </w:r>
          </w:p>
        </w:tc>
        <w:tc>
          <w:tcPr>
            <w:tcW w:type="dxa" w:w="1701"/>
            <w:vAlign w:val="center"/>
          </w:tcPr>
          <w:p>
            <w:pPr>
              <w:spacing w:after="0"/>
            </w:pPr>
            <w:r>
              <w:rPr>
                <w:rFonts w:ascii="游ゴシック" w:hAnsi="游ゴシック" w:eastAsia="游ゴシック"/>
                <w:b w:val="0"/>
                <w:sz w:val="16"/>
              </w:rPr>
              <w:t>資料2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No.20</w:t>
            </w:r>
          </w:p>
        </w:tc>
        <w:tc>
          <w:tcPr>
            <w:tcW w:type="dxa" w:w="2608"/>
            <w:shd w:val="clear" w:color="auto" w:fill="F2F5FA"/>
            <w:vAlign w:val="center"/>
          </w:tcPr>
          <w:p>
            <w:pPr>
              <w:spacing w:after="0"/>
            </w:pPr>
            <w:r>
              <w:rPr>
                <w:rFonts w:ascii="游ゴシック" w:hAnsi="游ゴシック" w:eastAsia="游ゴシック"/>
                <w:b w:val="0"/>
                <w:sz w:val="16"/>
              </w:rPr>
              <w:t>北海道・圏域との調整の場</w:t>
            </w:r>
          </w:p>
        </w:tc>
        <w:tc>
          <w:tcPr>
            <w:tcW w:type="dxa" w:w="4649"/>
            <w:shd w:val="clear" w:color="auto" w:fill="F2F5FA"/>
            <w:vAlign w:val="center"/>
          </w:tcPr>
          <w:p>
            <w:pPr>
              <w:spacing w:after="0"/>
            </w:pPr>
            <w:r>
              <w:rPr>
                <w:rFonts w:ascii="游ゴシック" w:hAnsi="游ゴシック" w:eastAsia="游ゴシック"/>
                <w:b w:val="0"/>
                <w:sz w:val="16"/>
              </w:rPr>
              <w:t>北海道の第9期支援計画の8基本目標との対応により整合を図った</w:t>
            </w:r>
          </w:p>
        </w:tc>
        <w:tc>
          <w:tcPr>
            <w:tcW w:type="dxa" w:w="1701"/>
            <w:shd w:val="clear" w:color="auto" w:fill="F2F5FA"/>
            <w:vAlign w:val="center"/>
          </w:tcPr>
          <w:p>
            <w:pPr>
              <w:spacing w:after="0"/>
            </w:pPr>
            <w:r>
              <w:rPr>
                <w:rFonts w:ascii="游ゴシック" w:hAnsi="游ゴシック" w:eastAsia="游ゴシック"/>
                <w:b w:val="0"/>
                <w:sz w:val="16"/>
              </w:rPr>
              <w:t>第1章第8節</w:t>
            </w:r>
          </w:p>
        </w:tc>
      </w:tr>
      <w:tr>
        <w:trPr>
          <w:cantSplit/>
        </w:trPr>
        <w:tc>
          <w:tcPr>
            <w:tcW w:type="dxa" w:w="794"/>
            <w:vAlign w:val="center"/>
          </w:tcPr>
          <w:p>
            <w:pPr>
              <w:spacing w:after="0"/>
              <w:jc w:val="center"/>
            </w:pPr>
            <w:r>
              <w:rPr>
                <w:rFonts w:ascii="游ゴシック" w:hAnsi="游ゴシック" w:eastAsia="游ゴシック"/>
                <w:b w:val="0"/>
                <w:sz w:val="16"/>
              </w:rPr>
              <w:t>No.21</w:t>
            </w:r>
          </w:p>
        </w:tc>
        <w:tc>
          <w:tcPr>
            <w:tcW w:type="dxa" w:w="2608"/>
            <w:vAlign w:val="center"/>
          </w:tcPr>
          <w:p>
            <w:pPr>
              <w:spacing w:after="0"/>
            </w:pPr>
            <w:r>
              <w:rPr>
                <w:rFonts w:ascii="游ゴシック" w:hAnsi="游ゴシック" w:eastAsia="游ゴシック"/>
                <w:b w:val="0"/>
                <w:sz w:val="16"/>
              </w:rPr>
              <w:t>成果品の仕様</w:t>
            </w:r>
          </w:p>
        </w:tc>
        <w:tc>
          <w:tcPr>
            <w:tcW w:type="dxa" w:w="4649"/>
            <w:vAlign w:val="center"/>
          </w:tcPr>
          <w:p>
            <w:pPr>
              <w:spacing w:after="0"/>
            </w:pPr>
            <w:r>
              <w:rPr>
                <w:rFonts w:ascii="游ゴシック" w:hAnsi="游ゴシック" w:eastAsia="游ゴシック"/>
                <w:b w:val="0"/>
                <w:sz w:val="16"/>
              </w:rPr>
              <w:t>成果品の仕様は仕様書の定めによる</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No.23</w:t>
            </w:r>
          </w:p>
        </w:tc>
        <w:tc>
          <w:tcPr>
            <w:tcW w:type="dxa" w:w="2608"/>
            <w:shd w:val="clear" w:color="auto" w:fill="F2F5FA"/>
            <w:vAlign w:val="center"/>
          </w:tcPr>
          <w:p>
            <w:pPr>
              <w:spacing w:after="0"/>
            </w:pPr>
            <w:r>
              <w:rPr>
                <w:rFonts w:ascii="游ゴシック" w:hAnsi="游ゴシック" w:eastAsia="游ゴシック"/>
                <w:b w:val="0"/>
                <w:sz w:val="16"/>
              </w:rPr>
              <w:t>事業所の定員・稼働率データ</w:t>
            </w:r>
          </w:p>
        </w:tc>
        <w:tc>
          <w:tcPr>
            <w:tcW w:type="dxa" w:w="4649"/>
            <w:shd w:val="clear" w:color="auto" w:fill="F2F5FA"/>
            <w:vAlign w:val="center"/>
          </w:tcPr>
          <w:p>
            <w:pPr>
              <w:spacing w:after="0"/>
            </w:pPr>
            <w:r>
              <w:rPr>
                <w:rFonts w:ascii="游ゴシック" w:hAnsi="游ゴシック" w:eastAsia="游ゴシック"/>
                <w:b w:val="0"/>
                <w:sz w:val="16"/>
              </w:rPr>
              <w:t>事業所の定員は北海道の各名簿及び介護サービス情報公表システムによることとし、未確認のものは［要確認］として残した</w:t>
            </w:r>
          </w:p>
        </w:tc>
        <w:tc>
          <w:tcPr>
            <w:tcW w:type="dxa" w:w="1701"/>
            <w:shd w:val="clear" w:color="auto" w:fill="F2F5FA"/>
            <w:vAlign w:val="center"/>
          </w:tcPr>
          <w:p>
            <w:pPr>
              <w:spacing w:after="0"/>
            </w:pPr>
            <w:r>
              <w:rPr>
                <w:rFonts w:ascii="游ゴシック" w:hAnsi="游ゴシック" w:eastAsia="游ゴシック"/>
                <w:b w:val="0"/>
                <w:sz w:val="16"/>
              </w:rPr>
              <w:t>第2章第3節6</w:t>
            </w:r>
          </w:p>
        </w:tc>
      </w:tr>
      <w:tr>
        <w:trPr>
          <w:cantSplit/>
        </w:trPr>
        <w:tc>
          <w:tcPr>
            <w:tcW w:type="dxa" w:w="794"/>
            <w:vAlign w:val="center"/>
          </w:tcPr>
          <w:p>
            <w:pPr>
              <w:spacing w:after="0"/>
              <w:jc w:val="center"/>
            </w:pPr>
            <w:r>
              <w:rPr>
                <w:rFonts w:ascii="游ゴシック" w:hAnsi="游ゴシック" w:eastAsia="游ゴシック"/>
                <w:b w:val="0"/>
                <w:sz w:val="16"/>
              </w:rPr>
              <w:t>No.26</w:t>
            </w:r>
          </w:p>
        </w:tc>
        <w:tc>
          <w:tcPr>
            <w:tcW w:type="dxa" w:w="2608"/>
            <w:vAlign w:val="center"/>
          </w:tcPr>
          <w:p>
            <w:pPr>
              <w:spacing w:after="0"/>
            </w:pPr>
            <w:r>
              <w:rPr>
                <w:rFonts w:ascii="游ゴシック" w:hAnsi="游ゴシック" w:eastAsia="游ゴシック"/>
                <w:b w:val="0"/>
                <w:sz w:val="16"/>
              </w:rPr>
              <w:t>認知症・医療介護連携の実績データ</w:t>
            </w:r>
          </w:p>
        </w:tc>
        <w:tc>
          <w:tcPr>
            <w:tcW w:type="dxa" w:w="4649"/>
            <w:vAlign w:val="center"/>
          </w:tcPr>
          <w:p>
            <w:pPr>
              <w:spacing w:after="0"/>
            </w:pPr>
            <w:r>
              <w:rPr>
                <w:rFonts w:ascii="游ゴシック" w:hAnsi="游ゴシック" w:eastAsia="游ゴシック"/>
                <w:b w:val="0"/>
                <w:sz w:val="16"/>
              </w:rPr>
              <w:t>認知症・医療介護連携の実績は、交付金の評価結果及び3町の地域包括支援センター事業実施報告書の範囲で記述した</w:t>
            </w:r>
          </w:p>
        </w:tc>
        <w:tc>
          <w:tcPr>
            <w:tcW w:type="dxa" w:w="1701"/>
            <w:vAlign w:val="center"/>
          </w:tcPr>
          <w:p>
            <w:pPr>
              <w:spacing w:after="0"/>
            </w:pPr>
            <w:r>
              <w:rPr>
                <w:rFonts w:ascii="游ゴシック" w:hAnsi="游ゴシック" w:eastAsia="游ゴシック"/>
                <w:b w:val="0"/>
                <w:sz w:val="16"/>
              </w:rPr>
              <w:t>第5章 基本目標2・基本目標3</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No.29</w:t>
            </w:r>
          </w:p>
        </w:tc>
        <w:tc>
          <w:tcPr>
            <w:tcW w:type="dxa" w:w="2608"/>
            <w:shd w:val="clear" w:color="auto" w:fill="F2F5FA"/>
            <w:vAlign w:val="center"/>
          </w:tcPr>
          <w:p>
            <w:pPr>
              <w:spacing w:after="0"/>
            </w:pPr>
            <w:r>
              <w:rPr>
                <w:rFonts w:ascii="游ゴシック" w:hAnsi="游ゴシック" w:eastAsia="游ゴシック"/>
                <w:b w:val="0"/>
                <w:sz w:val="16"/>
              </w:rPr>
              <w:t>重度化の速度の前提</w:t>
            </w:r>
          </w:p>
        </w:tc>
        <w:tc>
          <w:tcPr>
            <w:tcW w:type="dxa" w:w="4649"/>
            <w:shd w:val="clear" w:color="auto" w:fill="F2F5FA"/>
            <w:vAlign w:val="center"/>
          </w:tcPr>
          <w:p>
            <w:pPr>
              <w:spacing w:after="0"/>
            </w:pPr>
            <w:r>
              <w:rPr>
                <w:rFonts w:ascii="游ゴシック" w:hAnsi="游ゴシック" w:eastAsia="游ゴシック"/>
                <w:b w:val="0"/>
                <w:sz w:val="16"/>
              </w:rPr>
              <w:t>年齢階級ごとの要介護度の構成を令和7年度末の実績で固定し、重度化は人口の高齢化による分のみを見込んだ</w:t>
            </w:r>
          </w:p>
        </w:tc>
        <w:tc>
          <w:tcPr>
            <w:tcW w:type="dxa" w:w="1701"/>
            <w:shd w:val="clear" w:color="auto" w:fill="F2F5FA"/>
            <w:vAlign w:val="center"/>
          </w:tcPr>
          <w:p>
            <w:pPr>
              <w:spacing w:after="0"/>
            </w:pPr>
            <w:r>
              <w:rPr>
                <w:rFonts w:ascii="游ゴシック" w:hAnsi="游ゴシック" w:eastAsia="游ゴシック"/>
                <w:b w:val="0"/>
                <w:sz w:val="16"/>
              </w:rPr>
              <w:t>第6章第1節</w:t>
            </w:r>
          </w:p>
        </w:tc>
      </w:tr>
      <w:tr>
        <w:trPr>
          <w:cantSplit/>
        </w:trPr>
        <w:tc>
          <w:tcPr>
            <w:tcW w:type="dxa" w:w="794"/>
            <w:vAlign w:val="center"/>
          </w:tcPr>
          <w:p>
            <w:pPr>
              <w:spacing w:after="0"/>
              <w:jc w:val="center"/>
            </w:pPr>
            <w:r>
              <w:rPr>
                <w:rFonts w:ascii="游ゴシック" w:hAnsi="游ゴシック" w:eastAsia="游ゴシック"/>
                <w:b w:val="0"/>
                <w:sz w:val="16"/>
              </w:rPr>
              <w:t>No.31</w:t>
            </w:r>
          </w:p>
        </w:tc>
        <w:tc>
          <w:tcPr>
            <w:tcW w:type="dxa" w:w="2608"/>
            <w:vAlign w:val="center"/>
          </w:tcPr>
          <w:p>
            <w:pPr>
              <w:spacing w:after="0"/>
            </w:pPr>
            <w:r>
              <w:rPr>
                <w:rFonts w:ascii="游ゴシック" w:hAnsi="游ゴシック" w:eastAsia="游ゴシック"/>
                <w:b w:val="0"/>
                <w:sz w:val="16"/>
              </w:rPr>
              <w:t>給付適正化の実施予定と推計での扱い</w:t>
            </w:r>
          </w:p>
        </w:tc>
        <w:tc>
          <w:tcPr>
            <w:tcW w:type="dxa" w:w="4649"/>
            <w:vAlign w:val="center"/>
          </w:tcPr>
          <w:p>
            <w:pPr>
              <w:spacing w:after="0"/>
            </w:pPr>
            <w:r>
              <w:rPr>
                <w:rFonts w:ascii="游ゴシック" w:hAnsi="游ゴシック" w:eastAsia="游ゴシック"/>
                <w:b w:val="0"/>
                <w:sz w:val="16"/>
              </w:rPr>
              <w:t>給付適正化による抑制を推計に織り込まず、対象サービスの割合と10％抑制の効きを併記した</w:t>
            </w:r>
          </w:p>
        </w:tc>
        <w:tc>
          <w:tcPr>
            <w:tcW w:type="dxa" w:w="1701"/>
            <w:vAlign w:val="center"/>
          </w:tcPr>
          <w:p>
            <w:pPr>
              <w:spacing w:after="0"/>
            </w:pPr>
            <w:r>
              <w:rPr>
                <w:rFonts w:ascii="游ゴシック" w:hAnsi="游ゴシック" w:eastAsia="游ゴシック"/>
                <w:b w:val="0"/>
                <w:sz w:val="16"/>
              </w:rPr>
              <w:t>第6章第6節2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No.74</w:t>
            </w:r>
          </w:p>
        </w:tc>
        <w:tc>
          <w:tcPr>
            <w:tcW w:type="dxa" w:w="2608"/>
            <w:shd w:val="clear" w:color="auto" w:fill="F2F5FA"/>
            <w:vAlign w:val="center"/>
          </w:tcPr>
          <w:p>
            <w:pPr>
              <w:spacing w:after="0"/>
            </w:pPr>
            <w:r>
              <w:rPr>
                <w:rFonts w:ascii="游ゴシック" w:hAnsi="游ゴシック" w:eastAsia="游ゴシック"/>
                <w:b w:val="0"/>
                <w:sz w:val="16"/>
              </w:rPr>
              <w:t>有料老人ホーム等の家賃等の情報収集（北海道）</w:t>
            </w:r>
          </w:p>
        </w:tc>
        <w:tc>
          <w:tcPr>
            <w:tcW w:type="dxa" w:w="4649"/>
            <w:shd w:val="clear" w:color="auto" w:fill="F2F5FA"/>
            <w:vAlign w:val="center"/>
          </w:tcPr>
          <w:p>
            <w:pPr>
              <w:spacing w:after="0"/>
            </w:pPr>
            <w:r>
              <w:rPr>
                <w:rFonts w:ascii="游ゴシック" w:hAnsi="游ゴシック" w:eastAsia="游ゴシック"/>
                <w:b w:val="0"/>
                <w:sz w:val="16"/>
              </w:rPr>
              <w:t>家賃等の費用の水準は北海道における情報の収集を確認できないため把握しておらず、費用の面からの選択は扱っていない旨を注に明示した</w:t>
            </w:r>
          </w:p>
        </w:tc>
        <w:tc>
          <w:tcPr>
            <w:tcW w:type="dxa" w:w="1701"/>
            <w:shd w:val="clear" w:color="auto" w:fill="F2F5FA"/>
            <w:vAlign w:val="center"/>
          </w:tcPr>
          <w:p>
            <w:pPr>
              <w:spacing w:after="0"/>
            </w:pPr>
            <w:r>
              <w:rPr>
                <w:rFonts w:ascii="游ゴシック" w:hAnsi="游ゴシック" w:eastAsia="游ゴシック"/>
                <w:b w:val="0"/>
                <w:sz w:val="16"/>
              </w:rPr>
              <w:t>第2章第3節6</w:t>
            </w:r>
          </w:p>
        </w:tc>
      </w:tr>
      <w:tr>
        <w:trPr>
          <w:cantSplit/>
        </w:trPr>
        <w:tc>
          <w:tcPr>
            <w:tcW w:type="dxa" w:w="794"/>
            <w:vAlign w:val="center"/>
          </w:tcPr>
          <w:p>
            <w:pPr>
              <w:spacing w:after="0"/>
              <w:jc w:val="center"/>
            </w:pPr>
            <w:r>
              <w:rPr>
                <w:rFonts w:ascii="游ゴシック" w:hAnsi="游ゴシック" w:eastAsia="游ゴシック"/>
                <w:b w:val="0"/>
                <w:sz w:val="16"/>
              </w:rPr>
              <w:t>No.144</w:t>
            </w:r>
          </w:p>
        </w:tc>
        <w:tc>
          <w:tcPr>
            <w:tcW w:type="dxa" w:w="2608"/>
            <w:vAlign w:val="center"/>
          </w:tcPr>
          <w:p>
            <w:pPr>
              <w:spacing w:after="0"/>
            </w:pPr>
            <w:r>
              <w:rPr>
                <w:rFonts w:ascii="游ゴシック" w:hAnsi="游ゴシック" w:eastAsia="游ゴシック"/>
                <w:b w:val="0"/>
                <w:sz w:val="16"/>
              </w:rPr>
              <w:t>統合した成果品の元の資料を残すか</w:t>
            </w:r>
          </w:p>
        </w:tc>
        <w:tc>
          <w:tcPr>
            <w:tcW w:type="dxa" w:w="4649"/>
            <w:vAlign w:val="center"/>
          </w:tcPr>
          <w:p>
            <w:pPr>
              <w:spacing w:after="0"/>
            </w:pPr>
            <w:r>
              <w:rPr>
                <w:rFonts w:ascii="游ゴシック" w:hAnsi="游ゴシック" w:eastAsia="游ゴシック"/>
                <w:b w:val="0"/>
                <w:sz w:val="16"/>
              </w:rPr>
              <w:t>統合した成果品の元の資料を残す</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No.156</w:t>
            </w:r>
          </w:p>
        </w:tc>
        <w:tc>
          <w:tcPr>
            <w:tcW w:type="dxa" w:w="2608"/>
            <w:shd w:val="clear" w:color="auto" w:fill="F2F5FA"/>
            <w:vAlign w:val="center"/>
          </w:tcPr>
          <w:p>
            <w:pPr>
              <w:spacing w:after="0"/>
            </w:pPr>
            <w:r>
              <w:rPr>
                <w:rFonts w:ascii="游ゴシック" w:hAnsi="游ゴシック" w:eastAsia="游ゴシック"/>
                <w:b w:val="0"/>
                <w:sz w:val="16"/>
              </w:rPr>
              <w:t>所得段階別第1号被保険者数の将来8年度分を当方で算定してよいか</w:t>
            </w:r>
          </w:p>
        </w:tc>
        <w:tc>
          <w:tcPr>
            <w:tcW w:type="dxa" w:w="4649"/>
            <w:shd w:val="clear" w:color="auto" w:fill="F2F5FA"/>
            <w:vAlign w:val="center"/>
          </w:tcPr>
          <w:p>
            <w:pPr>
              <w:spacing w:after="0"/>
            </w:pPr>
            <w:r>
              <w:rPr>
                <w:rFonts w:ascii="游ゴシック" w:hAnsi="游ゴシック" w:eastAsia="游ゴシック"/>
                <w:b w:val="0"/>
                <w:sz w:val="16"/>
              </w:rPr>
              <w:t>所得段階別第1号被保険者数は当方の算定（16段階×8年度）により、所得段階の設定は弾力化を選ぶ</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No.169</w:t>
            </w:r>
          </w:p>
        </w:tc>
        <w:tc>
          <w:tcPr>
            <w:tcW w:type="dxa" w:w="2608"/>
            <w:vAlign w:val="center"/>
          </w:tcPr>
          <w:p>
            <w:pPr>
              <w:spacing w:after="0"/>
            </w:pPr>
            <w:r>
              <w:rPr>
                <w:rFonts w:ascii="游ゴシック" w:hAnsi="游ゴシック" w:eastAsia="游ゴシック"/>
                <w:b w:val="0"/>
                <w:sz w:val="16"/>
              </w:rPr>
              <w:t>構成町により得点が分かれている項目の区域内での取扱い</w:t>
            </w:r>
          </w:p>
        </w:tc>
        <w:tc>
          <w:tcPr>
            <w:tcW w:type="dxa" w:w="4649"/>
            <w:vAlign w:val="center"/>
          </w:tcPr>
          <w:p>
            <w:pPr>
              <w:spacing w:after="0"/>
            </w:pPr>
            <w:r>
              <w:rPr>
                <w:rFonts w:ascii="游ゴシック" w:hAnsi="游ゴシック" w:eastAsia="游ゴシック"/>
                <w:b w:val="0"/>
                <w:sz w:val="16"/>
              </w:rPr>
              <w:t>町ごとの取組の状況をそのまま記述し、区域内での統一は計画に位置づけていない</w:t>
            </w:r>
          </w:p>
        </w:tc>
        <w:tc>
          <w:tcPr>
            <w:tcW w:type="dxa" w:w="1701"/>
            <w:vAlign w:val="center"/>
          </w:tcPr>
          <w:p>
            <w:pPr>
              <w:spacing w:after="0"/>
            </w:pPr>
            <w:r>
              <w:rPr>
                <w:rFonts w:ascii="游ゴシック" w:hAnsi="游ゴシック" w:eastAsia="游ゴシック"/>
                <w:b w:val="0"/>
                <w:sz w:val="16"/>
              </w:rPr>
              <w:t>第3章第2節・第5章 基本目標2</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No.171</w:t>
            </w:r>
          </w:p>
        </w:tc>
        <w:tc>
          <w:tcPr>
            <w:tcW w:type="dxa" w:w="2608"/>
            <w:shd w:val="clear" w:color="auto" w:fill="F2F5FA"/>
            <w:vAlign w:val="center"/>
          </w:tcPr>
          <w:p>
            <w:pPr>
              <w:spacing w:after="0"/>
            </w:pPr>
            <w:r>
              <w:rPr>
                <w:rFonts w:ascii="游ゴシック" w:hAnsi="游ゴシック" w:eastAsia="游ゴシック"/>
                <w:b w:val="0"/>
                <w:sz w:val="16"/>
              </w:rPr>
              <w:t>第9期計画にない体裁の取扱い（小見出し【　】ほか）</w:t>
            </w:r>
          </w:p>
        </w:tc>
        <w:tc>
          <w:tcPr>
            <w:tcW w:type="dxa" w:w="4649"/>
            <w:shd w:val="clear" w:color="auto" w:fill="F2F5FA"/>
            <w:vAlign w:val="center"/>
          </w:tcPr>
          <w:p>
            <w:pPr>
              <w:spacing w:after="0"/>
            </w:pPr>
            <w:r>
              <w:rPr>
                <w:rFonts w:ascii="游ゴシック" w:hAnsi="游ゴシック" w:eastAsia="游ゴシック"/>
                <w:b w:val="0"/>
                <w:sz w:val="16"/>
              </w:rPr>
              <w:t>第9期計画にない体裁は現在のままとし、計画として確定する前に改めてお諮りする</w:t>
            </w:r>
          </w:p>
        </w:tc>
        <w:tc>
          <w:tcPr>
            <w:tcW w:type="dxa" w:w="1701"/>
            <w:shd w:val="clear" w:color="auto" w:fill="F2F5FA"/>
            <w:vAlign w:val="center"/>
          </w:tcPr>
          <w:p>
            <w:pPr>
              <w:spacing w:after="0"/>
            </w:pPr>
            <w:r>
              <w:rPr>
                <w:rFonts w:ascii="游ゴシック" w:hAnsi="游ゴシック" w:eastAsia="游ゴシック"/>
                <w:b w:val="0"/>
                <w:sz w:val="16"/>
              </w:rPr>
              <w:t>―</w:t>
            </w:r>
          </w:p>
        </w:tc>
      </w:tr>
      <w:tr>
        <w:trPr>
          <w:cantSplit/>
        </w:trPr>
        <w:tc>
          <w:tcPr>
            <w:tcW w:type="dxa" w:w="794"/>
            <w:vAlign w:val="center"/>
          </w:tcPr>
          <w:p>
            <w:pPr>
              <w:spacing w:after="0"/>
              <w:jc w:val="center"/>
            </w:pPr>
            <w:r>
              <w:rPr>
                <w:rFonts w:ascii="游ゴシック" w:hAnsi="游ゴシック" w:eastAsia="游ゴシック"/>
                <w:b w:val="0"/>
                <w:sz w:val="16"/>
              </w:rPr>
              <w:t>No.173</w:t>
            </w:r>
          </w:p>
        </w:tc>
        <w:tc>
          <w:tcPr>
            <w:tcW w:type="dxa" w:w="2608"/>
            <w:vAlign w:val="center"/>
          </w:tcPr>
          <w:p>
            <w:pPr>
              <w:spacing w:after="0"/>
            </w:pPr>
            <w:r>
              <w:rPr>
                <w:rFonts w:ascii="游ゴシック" w:hAnsi="游ゴシック" w:eastAsia="游ゴシック"/>
                <w:b w:val="0"/>
                <w:sz w:val="16"/>
              </w:rPr>
              <w:t>計画本文の図と別冊の図表集の対応（作りが異なるもの・図表集にないもの）</w:t>
            </w:r>
          </w:p>
        </w:tc>
        <w:tc>
          <w:tcPr>
            <w:tcW w:type="dxa" w:w="4649"/>
            <w:vAlign w:val="center"/>
          </w:tcPr>
          <w:p>
            <w:pPr>
              <w:spacing w:after="0"/>
            </w:pPr>
            <w:r>
              <w:rPr>
                <w:rFonts w:ascii="游ゴシック" w:hAnsi="游ゴシック" w:eastAsia="游ゴシック"/>
                <w:b w:val="0"/>
                <w:sz w:val="16"/>
              </w:rPr>
              <w:t>本文の図と別冊の図表集の対応は現行のままとした</w:t>
            </w:r>
          </w:p>
        </w:tc>
        <w:tc>
          <w:tcPr>
            <w:tcW w:type="dxa" w:w="1701"/>
            <w:vAlign w:val="center"/>
          </w:tcPr>
          <w:p>
            <w:pPr>
              <w:spacing w:after="0"/>
            </w:pPr>
            <w:r>
              <w:rPr>
                <w:rFonts w:ascii="游ゴシック" w:hAnsi="游ゴシック" w:eastAsia="游ゴシック"/>
                <w:b w:val="0"/>
                <w:sz w:val="16"/>
              </w:rPr>
              <w:t>―</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No.24</w:t>
            </w:r>
          </w:p>
        </w:tc>
        <w:tc>
          <w:tcPr>
            <w:tcW w:type="dxa" w:w="2608"/>
            <w:shd w:val="clear" w:color="auto" w:fill="F2F5FA"/>
            <w:vAlign w:val="center"/>
          </w:tcPr>
          <w:p>
            <w:pPr>
              <w:spacing w:after="0"/>
            </w:pPr>
            <w:r>
              <w:rPr>
                <w:rFonts w:ascii="游ゴシック" w:hAnsi="游ゴシック" w:eastAsia="游ゴシック"/>
                <w:b w:val="0"/>
                <w:sz w:val="16"/>
              </w:rPr>
              <w:t>24時間対応サービスの確保方策の決定</w:t>
            </w:r>
          </w:p>
        </w:tc>
        <w:tc>
          <w:tcPr>
            <w:tcW w:type="dxa" w:w="4649"/>
            <w:shd w:val="clear" w:color="auto" w:fill="F2F5FA"/>
            <w:vAlign w:val="center"/>
          </w:tcPr>
          <w:p>
            <w:pPr>
              <w:spacing w:after="0"/>
            </w:pPr>
            <w:r>
              <w:rPr>
                <w:rFonts w:ascii="游ゴシック" w:hAnsi="游ゴシック" w:eastAsia="游ゴシック"/>
                <w:b w:val="0"/>
                <w:sz w:val="16"/>
              </w:rPr>
              <w:t>24時間対応サービスは自然体の算定値を置き、整備による上乗せを行わなかった</w:t>
            </w:r>
          </w:p>
        </w:tc>
        <w:tc>
          <w:tcPr>
            <w:tcW w:type="dxa" w:w="1701"/>
            <w:shd w:val="clear" w:color="auto" w:fill="F2F5FA"/>
            <w:vAlign w:val="center"/>
          </w:tcPr>
          <w:p>
            <w:pPr>
              <w:spacing w:after="0"/>
            </w:pPr>
            <w:r>
              <w:rPr>
                <w:rFonts w:ascii="游ゴシック" w:hAnsi="游ゴシック" w:eastAsia="游ゴシック"/>
                <w:b w:val="0"/>
                <w:sz w:val="16"/>
              </w:rPr>
              <w:t>第6章第2節・第4節1</w:t>
            </w:r>
          </w:p>
        </w:tc>
      </w:tr>
      <w:tr>
        <w:trPr>
          <w:cantSplit/>
        </w:trPr>
        <w:tc>
          <w:tcPr>
            <w:tcW w:type="dxa" w:w="794"/>
            <w:vAlign w:val="center"/>
          </w:tcPr>
          <w:p>
            <w:pPr>
              <w:spacing w:after="0"/>
              <w:jc w:val="center"/>
            </w:pPr>
            <w:r>
              <w:rPr>
                <w:rFonts w:ascii="游ゴシック" w:hAnsi="游ゴシック" w:eastAsia="游ゴシック"/>
                <w:b w:val="0"/>
                <w:sz w:val="16"/>
              </w:rPr>
              <w:t>No.25</w:t>
            </w:r>
          </w:p>
        </w:tc>
        <w:tc>
          <w:tcPr>
            <w:tcW w:type="dxa" w:w="2608"/>
            <w:vAlign w:val="center"/>
          </w:tcPr>
          <w:p>
            <w:pPr>
              <w:spacing w:after="0"/>
            </w:pPr>
            <w:r>
              <w:rPr>
                <w:rFonts w:ascii="游ゴシック" w:hAnsi="游ゴシック" w:eastAsia="游ゴシック"/>
                <w:b w:val="0"/>
                <w:sz w:val="16"/>
              </w:rPr>
              <w:t>代表KPIの目標値の決定</w:t>
            </w:r>
          </w:p>
        </w:tc>
        <w:tc>
          <w:tcPr>
            <w:tcW w:type="dxa" w:w="4649"/>
            <w:vAlign w:val="center"/>
          </w:tcPr>
          <w:p>
            <w:pPr>
              <w:spacing w:after="0"/>
            </w:pPr>
            <w:r>
              <w:rPr>
                <w:rFonts w:ascii="游ゴシック" w:hAnsi="游ゴシック" w:eastAsia="游ゴシック"/>
                <w:b w:val="0"/>
                <w:sz w:val="16"/>
              </w:rPr>
              <w:t>代表KPIのうち基準値のないものは令和9年度を基準値の把握に充て、令和10年度・令和11年度に目標値を置くこととした</w:t>
            </w:r>
          </w:p>
        </w:tc>
        <w:tc>
          <w:tcPr>
            <w:tcW w:type="dxa" w:w="1701"/>
            <w:vAlign w:val="center"/>
          </w:tcPr>
          <w:p>
            <w:pPr>
              <w:spacing w:after="0"/>
            </w:pPr>
            <w:r>
              <w:rPr>
                <w:rFonts w:ascii="游ゴシック" w:hAnsi="游ゴシック" w:eastAsia="游ゴシック"/>
                <w:b w:val="0"/>
                <w:sz w:val="16"/>
              </w:rPr>
              <w:t>第4章第3節・第5章</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No.175</w:t>
            </w:r>
          </w:p>
        </w:tc>
        <w:tc>
          <w:tcPr>
            <w:tcW w:type="dxa" w:w="2608"/>
            <w:shd w:val="clear" w:color="auto" w:fill="F2F5FA"/>
            <w:vAlign w:val="center"/>
          </w:tcPr>
          <w:p>
            <w:pPr>
              <w:spacing w:after="0"/>
            </w:pPr>
            <w:r>
              <w:rPr>
                <w:rFonts w:ascii="游ゴシック" w:hAnsi="游ゴシック" w:eastAsia="游ゴシック"/>
                <w:b w:val="0"/>
                <w:sz w:val="16"/>
              </w:rPr>
              <w:t>介護情報基盤及びケアプランデータ連携への対応の工程</w:t>
            </w:r>
          </w:p>
        </w:tc>
        <w:tc>
          <w:tcPr>
            <w:tcW w:type="dxa" w:w="4649"/>
            <w:shd w:val="clear" w:color="auto" w:fill="F2F5FA"/>
            <w:vAlign w:val="center"/>
          </w:tcPr>
          <w:p>
            <w:pPr>
              <w:spacing w:after="0"/>
            </w:pPr>
            <w:r>
              <w:rPr>
                <w:rFonts w:ascii="游ゴシック" w:hAnsi="游ゴシック" w:eastAsia="游ゴシック"/>
                <w:b w:val="0"/>
                <w:sz w:val="16"/>
              </w:rPr>
              <w:t>介護情報基盤の活用は本格運用開始日（令和10年4月1日）までに完了することを前提として記載し、年度ごとの事務の工程は［要確認］として残した。事業所への周知と登録の支援は広域連合・3町・事業者が担うものとして掲げた</w:t>
            </w:r>
          </w:p>
        </w:tc>
        <w:tc>
          <w:tcPr>
            <w:tcW w:type="dxa" w:w="1701"/>
            <w:shd w:val="clear" w:color="auto" w:fill="F2F5FA"/>
            <w:vAlign w:val="center"/>
          </w:tcPr>
          <w:p>
            <w:pPr>
              <w:spacing w:after="0"/>
            </w:pPr>
            <w:r>
              <w:rPr>
                <w:rFonts w:ascii="游ゴシック" w:hAnsi="游ゴシック" w:eastAsia="游ゴシック"/>
                <w:b w:val="0"/>
                <w:sz w:val="16"/>
              </w:rPr>
              <w:t>第1章第9節5・第5章 基本目標1・基本目標4</w:t>
            </w:r>
          </w:p>
        </w:tc>
      </w:tr>
      <w:tr>
        <w:trPr>
          <w:cantSplit/>
        </w:trPr>
        <w:tc>
          <w:tcPr>
            <w:tcW w:type="dxa" w:w="794"/>
            <w:vAlign w:val="center"/>
          </w:tcPr>
          <w:p>
            <w:pPr>
              <w:spacing w:after="0"/>
              <w:jc w:val="center"/>
            </w:pPr>
            <w:r>
              <w:rPr>
                <w:rFonts w:ascii="游ゴシック" w:hAnsi="游ゴシック" w:eastAsia="游ゴシック"/>
                <w:b w:val="0"/>
                <w:sz w:val="16"/>
              </w:rPr>
              <w:t>No.176</w:t>
            </w:r>
          </w:p>
        </w:tc>
        <w:tc>
          <w:tcPr>
            <w:tcW w:type="dxa" w:w="2608"/>
            <w:vAlign w:val="center"/>
          </w:tcPr>
          <w:p>
            <w:pPr>
              <w:spacing w:after="0"/>
            </w:pPr>
            <w:r>
              <w:rPr>
                <w:rFonts w:ascii="游ゴシック" w:hAnsi="游ゴシック" w:eastAsia="游ゴシック"/>
                <w:b w:val="0"/>
                <w:sz w:val="16"/>
              </w:rPr>
              <w:t>介護サービス事業者経営情報データベースの公表結果の活用の範囲</w:t>
            </w:r>
          </w:p>
        </w:tc>
        <w:tc>
          <w:tcPr>
            <w:tcW w:type="dxa" w:w="4649"/>
            <w:vAlign w:val="center"/>
          </w:tcPr>
          <w:p>
            <w:pPr>
              <w:spacing w:after="0"/>
            </w:pPr>
            <w:r>
              <w:rPr>
                <w:rFonts w:ascii="游ゴシック" w:hAnsi="游ゴシック" w:eastAsia="游ゴシック"/>
                <w:b w:val="0"/>
                <w:sz w:val="16"/>
              </w:rPr>
              <w:t>介護サービス事業者経営情報データベースは活用の方針のみを記載し、数値は掲げていない。用いられる範囲を確認して用いる旨を［要確認］として残した</w:t>
            </w:r>
          </w:p>
        </w:tc>
        <w:tc>
          <w:tcPr>
            <w:tcW w:type="dxa" w:w="1701"/>
            <w:vAlign w:val="center"/>
          </w:tcPr>
          <w:p>
            <w:pPr>
              <w:spacing w:after="0"/>
            </w:pPr>
            <w:r>
              <w:rPr>
                <w:rFonts w:ascii="游ゴシック" w:hAnsi="游ゴシック" w:eastAsia="游ゴシック"/>
                <w:b w:val="0"/>
                <w:sz w:val="16"/>
              </w:rPr>
              <w:t>第1章第9節5・第5章 基本目標4</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6"/>
              </w:rPr>
              <w:t>No.177</w:t>
            </w:r>
          </w:p>
        </w:tc>
        <w:tc>
          <w:tcPr>
            <w:tcW w:type="dxa" w:w="2608"/>
            <w:shd w:val="clear" w:color="auto" w:fill="F2F5FA"/>
            <w:vAlign w:val="center"/>
          </w:tcPr>
          <w:p>
            <w:pPr>
              <w:spacing w:after="0"/>
            </w:pPr>
            <w:r>
              <w:rPr>
                <w:rFonts w:ascii="游ゴシック" w:hAnsi="游ゴシック" w:eastAsia="游ゴシック"/>
                <w:b w:val="0"/>
                <w:sz w:val="16"/>
              </w:rPr>
              <w:t>都道府県との協定に基づく連携への関与</w:t>
            </w:r>
          </w:p>
        </w:tc>
        <w:tc>
          <w:tcPr>
            <w:tcW w:type="dxa" w:w="4649"/>
            <w:shd w:val="clear" w:color="auto" w:fill="F2F5FA"/>
            <w:vAlign w:val="center"/>
          </w:tcPr>
          <w:p>
            <w:pPr>
              <w:spacing w:after="0"/>
            </w:pPr>
            <w:r>
              <w:rPr>
                <w:rFonts w:ascii="游ゴシック" w:hAnsi="游ゴシック" w:eastAsia="游ゴシック"/>
                <w:b w:val="0"/>
                <w:sz w:val="16"/>
              </w:rPr>
              <w:t>都道府県との協定に基づく連携は北海道及び事業者とともに活用を検討する旨のみを記載し、市町村の役割が示された時点で関与の仕方を定めることとした</w:t>
            </w:r>
          </w:p>
        </w:tc>
        <w:tc>
          <w:tcPr>
            <w:tcW w:type="dxa" w:w="1701"/>
            <w:shd w:val="clear" w:color="auto" w:fill="F2F5FA"/>
            <w:vAlign w:val="center"/>
          </w:tcPr>
          <w:p>
            <w:pPr>
              <w:spacing w:after="0"/>
            </w:pPr>
            <w:r>
              <w:rPr>
                <w:rFonts w:ascii="游ゴシック" w:hAnsi="游ゴシック" w:eastAsia="游ゴシック"/>
                <w:b w:val="0"/>
                <w:sz w:val="16"/>
              </w:rPr>
              <w:t>第1章第9節5・第5章 基本目標3・基本目標4</w:t>
            </w:r>
          </w:p>
        </w:tc>
      </w:tr>
    </w:tbl>
    <w:p>
      <w:pPr>
        <w:spacing w:after="80"/>
      </w:pPr>
      <w:r>
        <w:rPr>
          <w:rFonts w:ascii="游ゴシック" w:hAnsi="游ゴシック" w:eastAsia="游ゴシック"/>
          <w:b w:val="0"/>
          <w:sz w:val="17"/>
        </w:rPr>
        <w:t>資料：業務工程管理表 03_確認事項一覧、計画素案</w:t>
      </w:r>
    </w:p>
    <w:p>
      <w:pPr>
        <w:keepNext/>
        <w:pageBreakBefore w:val="0"/>
        <w:spacing w:before="280" w:after="120"/>
      </w:pPr>
      <w:r>
        <w:rPr>
          <w:rFonts w:ascii="游ゴシック" w:hAnsi="游ゴシック" w:eastAsia="游ゴシック"/>
          <w:b/>
          <w:color w:val="1F3864"/>
          <w:sz w:val="26"/>
        </w:rPr>
        <w:t>第8節　認知症施策推進計画の扱い</w:t>
      </w:r>
    </w:p>
    <w:p>
      <w:pPr>
        <w:spacing w:after="80"/>
      </w:pPr>
      <w:r>
        <w:rPr>
          <w:rFonts w:ascii="游ゴシック" w:hAnsi="游ゴシック" w:eastAsia="游ゴシック"/>
          <w:b w:val="0"/>
          <w:sz w:val="21"/>
        </w:rPr>
        <w:t>共生社会の実現を推進するための認知症基本法（令和5年法律第65号）は、第11条で国の認知症施策推進基本計画、第12条で都道府県認知症施策推進計画、第13条で市町村認知症施策推進計画を定めています。</w:t>
      </w:r>
    </w:p>
    <w:p>
      <w:pPr>
        <w:keepNext/>
        <w:spacing w:before="160" w:after="40"/>
      </w:pPr>
      <w:r>
        <w:rPr>
          <w:rFonts w:ascii="游ゴシック" w:hAnsi="游ゴシック" w:eastAsia="游ゴシック"/>
          <w:b/>
          <w:sz w:val="20"/>
        </w:rPr>
        <w:t>表24　計画の階層と当広域連合の扱い</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381"/>
            <w:shd w:val="clear" w:color="auto" w:fill="1F3864"/>
            <w:vAlign w:val="center"/>
          </w:tcPr>
          <w:p>
            <w:pPr>
              <w:keepNext/>
              <w:spacing w:after="0"/>
              <w:jc w:val="center"/>
            </w:pPr>
            <w:r>
              <w:rPr>
                <w:rFonts w:ascii="游ゴシック" w:hAnsi="游ゴシック" w:eastAsia="游ゴシック"/>
                <w:b/>
                <w:color w:val="FFFFFF"/>
                <w:sz w:val="18"/>
              </w:rPr>
              <w:t>区分</w:t>
            </w:r>
          </w:p>
        </w:tc>
        <w:tc>
          <w:tcPr>
            <w:tcW w:type="dxa" w:w="1814"/>
            <w:shd w:val="clear" w:color="auto" w:fill="1F3864"/>
            <w:vAlign w:val="center"/>
          </w:tcPr>
          <w:p>
            <w:pPr>
              <w:keepNext/>
              <w:spacing w:after="0"/>
              <w:jc w:val="center"/>
            </w:pPr>
            <w:r>
              <w:rPr>
                <w:rFonts w:ascii="游ゴシック" w:hAnsi="游ゴシック" w:eastAsia="游ゴシック"/>
                <w:b/>
                <w:color w:val="FFFFFF"/>
                <w:sz w:val="18"/>
              </w:rPr>
              <w:t>根拠</w:t>
            </w:r>
          </w:p>
        </w:tc>
        <w:tc>
          <w:tcPr>
            <w:tcW w:type="dxa" w:w="2268"/>
            <w:shd w:val="clear" w:color="auto" w:fill="1F3864"/>
            <w:vAlign w:val="center"/>
          </w:tcPr>
          <w:p>
            <w:pPr>
              <w:keepNext/>
              <w:spacing w:after="0"/>
              <w:jc w:val="center"/>
            </w:pPr>
            <w:r>
              <w:rPr>
                <w:rFonts w:ascii="游ゴシック" w:hAnsi="游ゴシック" w:eastAsia="游ゴシック"/>
                <w:b/>
                <w:color w:val="FFFFFF"/>
                <w:sz w:val="18"/>
              </w:rPr>
              <w:t>策定主体</w:t>
            </w:r>
          </w:p>
        </w:tc>
        <w:tc>
          <w:tcPr>
            <w:tcW w:type="dxa" w:w="3288"/>
            <w:shd w:val="clear" w:color="auto" w:fill="1F3864"/>
            <w:vAlign w:val="center"/>
          </w:tcPr>
          <w:p>
            <w:pPr>
              <w:keepNext/>
              <w:spacing w:after="0"/>
              <w:jc w:val="center"/>
            </w:pPr>
            <w:r>
              <w:rPr>
                <w:rFonts w:ascii="游ゴシック" w:hAnsi="游ゴシック" w:eastAsia="游ゴシック"/>
                <w:b/>
                <w:color w:val="FFFFFF"/>
                <w:sz w:val="18"/>
              </w:rPr>
              <w:t>本計画との関係</w:t>
            </w:r>
          </w:p>
        </w:tc>
      </w:tr>
      <w:tr>
        <w:trPr>
          <w:cantSplit/>
        </w:trPr>
        <w:tc>
          <w:tcPr>
            <w:tcW w:type="dxa" w:w="2381"/>
            <w:vAlign w:val="center"/>
          </w:tcPr>
          <w:p>
            <w:pPr>
              <w:keepNext/>
              <w:spacing w:after="0"/>
            </w:pPr>
            <w:r>
              <w:rPr>
                <w:rFonts w:ascii="游ゴシック" w:hAnsi="游ゴシック" w:eastAsia="游ゴシック"/>
                <w:b/>
                <w:sz w:val="18"/>
              </w:rPr>
              <w:t>認知症施策推進基本計画</w:t>
            </w:r>
          </w:p>
        </w:tc>
        <w:tc>
          <w:tcPr>
            <w:tcW w:type="dxa" w:w="1814"/>
            <w:vAlign w:val="center"/>
          </w:tcPr>
          <w:p>
            <w:pPr>
              <w:keepNext/>
              <w:spacing w:after="0"/>
            </w:pPr>
            <w:r>
              <w:rPr>
                <w:rFonts w:ascii="游ゴシック" w:hAnsi="游ゴシック" w:eastAsia="游ゴシック"/>
                <w:b w:val="0"/>
                <w:sz w:val="18"/>
              </w:rPr>
              <w:t>認知症基本法第11条</w:t>
            </w:r>
          </w:p>
        </w:tc>
        <w:tc>
          <w:tcPr>
            <w:tcW w:type="dxa" w:w="2268"/>
            <w:vAlign w:val="center"/>
          </w:tcPr>
          <w:p>
            <w:pPr>
              <w:keepNext/>
              <w:spacing w:after="0"/>
            </w:pPr>
            <w:r>
              <w:rPr>
                <w:rFonts w:ascii="游ゴシック" w:hAnsi="游ゴシック" w:eastAsia="游ゴシック"/>
                <w:b w:val="0"/>
                <w:sz w:val="18"/>
              </w:rPr>
              <w:t>国</w:t>
            </w:r>
          </w:p>
        </w:tc>
        <w:tc>
          <w:tcPr>
            <w:tcW w:type="dxa" w:w="3288"/>
            <w:vAlign w:val="center"/>
          </w:tcPr>
          <w:p>
            <w:pPr>
              <w:keepNext/>
              <w:spacing w:after="0"/>
            </w:pPr>
            <w:r>
              <w:rPr>
                <w:rFonts w:ascii="游ゴシック" w:hAnsi="游ゴシック" w:eastAsia="游ゴシック"/>
                <w:b w:val="0"/>
                <w:sz w:val="18"/>
              </w:rPr>
              <w:t>基本計画の内容を踏まえます</w:t>
            </w:r>
          </w:p>
        </w:tc>
      </w:tr>
      <w:tr>
        <w:trPr>
          <w:cantSplit/>
        </w:trPr>
        <w:tc>
          <w:tcPr>
            <w:tcW w:type="dxa" w:w="2381"/>
            <w:shd w:val="clear" w:color="auto" w:fill="F2F5FA"/>
            <w:vAlign w:val="center"/>
          </w:tcPr>
          <w:p>
            <w:pPr>
              <w:keepNext/>
              <w:spacing w:after="0"/>
            </w:pPr>
            <w:r>
              <w:rPr>
                <w:rFonts w:ascii="游ゴシック" w:hAnsi="游ゴシック" w:eastAsia="游ゴシック"/>
                <w:b/>
                <w:sz w:val="18"/>
              </w:rPr>
              <w:t>都道府県認知症施策推進計画</w:t>
            </w:r>
          </w:p>
        </w:tc>
        <w:tc>
          <w:tcPr>
            <w:tcW w:type="dxa" w:w="1814"/>
            <w:shd w:val="clear" w:color="auto" w:fill="F2F5FA"/>
            <w:vAlign w:val="center"/>
          </w:tcPr>
          <w:p>
            <w:pPr>
              <w:keepNext/>
              <w:spacing w:after="0"/>
            </w:pPr>
            <w:r>
              <w:rPr>
                <w:rFonts w:ascii="游ゴシック" w:hAnsi="游ゴシック" w:eastAsia="游ゴシック"/>
                <w:b w:val="0"/>
                <w:sz w:val="18"/>
              </w:rPr>
              <w:t>同法第12条</w:t>
            </w:r>
          </w:p>
        </w:tc>
        <w:tc>
          <w:tcPr>
            <w:tcW w:type="dxa" w:w="2268"/>
            <w:shd w:val="clear" w:color="auto" w:fill="F2F5FA"/>
            <w:vAlign w:val="center"/>
          </w:tcPr>
          <w:p>
            <w:pPr>
              <w:keepNext/>
              <w:spacing w:after="0"/>
            </w:pPr>
            <w:r>
              <w:rPr>
                <w:rFonts w:ascii="游ゴシック" w:hAnsi="游ゴシック" w:eastAsia="游ゴシック"/>
                <w:b w:val="0"/>
                <w:sz w:val="18"/>
              </w:rPr>
              <w:t>北海道</w:t>
            </w:r>
          </w:p>
        </w:tc>
        <w:tc>
          <w:tcPr>
            <w:tcW w:type="dxa" w:w="3288"/>
            <w:shd w:val="clear" w:color="auto" w:fill="F2F5FA"/>
            <w:vAlign w:val="center"/>
          </w:tcPr>
          <w:p>
            <w:pPr>
              <w:keepNext/>
              <w:spacing w:after="0"/>
            </w:pPr>
            <w:r>
              <w:rPr>
                <w:rFonts w:ascii="游ゴシック" w:hAnsi="游ゴシック" w:eastAsia="游ゴシック"/>
                <w:b w:val="0"/>
                <w:sz w:val="18"/>
              </w:rPr>
              <w:t>策定の状況は［要確認］です</w:t>
            </w:r>
          </w:p>
        </w:tc>
      </w:tr>
      <w:tr>
        <w:trPr>
          <w:cantSplit/>
        </w:trPr>
        <w:tc>
          <w:tcPr>
            <w:tcW w:type="dxa" w:w="2381"/>
            <w:vAlign w:val="center"/>
          </w:tcPr>
          <w:p>
            <w:pPr>
              <w:keepNext/>
              <w:spacing w:after="0"/>
            </w:pPr>
            <w:r>
              <w:rPr>
                <w:rFonts w:ascii="游ゴシック" w:hAnsi="游ゴシック" w:eastAsia="游ゴシック"/>
                <w:b/>
                <w:sz w:val="18"/>
              </w:rPr>
              <w:t>市町村認知症施策推進計画</w:t>
            </w:r>
          </w:p>
        </w:tc>
        <w:tc>
          <w:tcPr>
            <w:tcW w:type="dxa" w:w="1814"/>
            <w:vAlign w:val="center"/>
          </w:tcPr>
          <w:p>
            <w:pPr>
              <w:keepNext/>
              <w:spacing w:after="0"/>
            </w:pPr>
            <w:r>
              <w:rPr>
                <w:rFonts w:ascii="游ゴシック" w:hAnsi="游ゴシック" w:eastAsia="游ゴシック"/>
                <w:b w:val="0"/>
                <w:sz w:val="18"/>
              </w:rPr>
              <w:t>同法第13条</w:t>
            </w:r>
          </w:p>
        </w:tc>
        <w:tc>
          <w:tcPr>
            <w:tcW w:type="dxa" w:w="2268"/>
            <w:vAlign w:val="center"/>
          </w:tcPr>
          <w:p>
            <w:pPr>
              <w:keepNext/>
              <w:spacing w:after="0"/>
            </w:pPr>
            <w:r>
              <w:rPr>
                <w:rFonts w:ascii="游ゴシック" w:hAnsi="游ゴシック" w:eastAsia="游ゴシック"/>
                <w:b w:val="0"/>
                <w:sz w:val="18"/>
              </w:rPr>
              <w:t>東川町・美瑛町・東神楽町</w:t>
            </w:r>
          </w:p>
        </w:tc>
        <w:tc>
          <w:tcPr>
            <w:tcW w:type="dxa" w:w="3288"/>
            <w:vAlign w:val="center"/>
          </w:tcPr>
          <w:p>
            <w:pPr>
              <w:keepNext/>
              <w:spacing w:after="0"/>
            </w:pPr>
            <w:r>
              <w:rPr>
                <w:rFonts w:ascii="游ゴシック" w:hAnsi="游ゴシック" w:eastAsia="游ゴシック"/>
                <w:b w:val="0"/>
                <w:sz w:val="18"/>
              </w:rPr>
              <w:t>3町がそれぞれ策定します</w:t>
            </w:r>
          </w:p>
        </w:tc>
      </w:tr>
      <w:tr>
        <w:trPr>
          <w:cantSplit/>
        </w:trPr>
        <w:tc>
          <w:tcPr>
            <w:tcW w:type="dxa" w:w="2381"/>
            <w:shd w:val="clear" w:color="auto" w:fill="F2F5FA"/>
            <w:vAlign w:val="center"/>
          </w:tcPr>
          <w:p>
            <w:pPr>
              <w:spacing w:after="0"/>
            </w:pPr>
            <w:r>
              <w:rPr>
                <w:rFonts w:ascii="游ゴシック" w:hAnsi="游ゴシック" w:eastAsia="游ゴシック"/>
                <w:b/>
                <w:sz w:val="18"/>
              </w:rPr>
              <w:t>第10期介護保険事業計画</w:t>
            </w:r>
          </w:p>
        </w:tc>
        <w:tc>
          <w:tcPr>
            <w:tcW w:type="dxa" w:w="1814"/>
            <w:shd w:val="clear" w:color="auto" w:fill="F2F5FA"/>
            <w:vAlign w:val="center"/>
          </w:tcPr>
          <w:p>
            <w:pPr>
              <w:spacing w:after="0"/>
            </w:pPr>
            <w:r>
              <w:rPr>
                <w:rFonts w:ascii="游ゴシック" w:hAnsi="游ゴシック" w:eastAsia="游ゴシック"/>
                <w:b w:val="0"/>
                <w:sz w:val="18"/>
              </w:rPr>
              <w:t>介護保険法第117条第3項</w:t>
            </w:r>
          </w:p>
        </w:tc>
        <w:tc>
          <w:tcPr>
            <w:tcW w:type="dxa" w:w="2268"/>
            <w:shd w:val="clear" w:color="auto" w:fill="F2F5FA"/>
            <w:vAlign w:val="center"/>
          </w:tcPr>
          <w:p>
            <w:pPr>
              <w:spacing w:after="0"/>
            </w:pPr>
            <w:r>
              <w:rPr>
                <w:rFonts w:ascii="游ゴシック" w:hAnsi="游ゴシック" w:eastAsia="游ゴシック"/>
                <w:b w:val="0"/>
                <w:sz w:val="18"/>
              </w:rPr>
              <w:t>大雪地区広域連合</w:t>
            </w:r>
          </w:p>
        </w:tc>
        <w:tc>
          <w:tcPr>
            <w:tcW w:type="dxa" w:w="3288"/>
            <w:shd w:val="clear" w:color="auto" w:fill="F2F5FA"/>
            <w:vAlign w:val="center"/>
          </w:tcPr>
          <w:p>
            <w:pPr>
              <w:spacing w:after="0"/>
            </w:pPr>
            <w:r>
              <w:rPr>
                <w:rFonts w:ascii="游ゴシック" w:hAnsi="游ゴシック" w:eastAsia="游ゴシック"/>
                <w:b w:val="0"/>
                <w:sz w:val="18"/>
              </w:rPr>
              <w:t>同項により定める事項として認知症施策を掲げ、3町の市町村計画とは資料2により接続します</w:t>
            </w:r>
          </w:p>
        </w:tc>
      </w:tr>
    </w:tbl>
    <w:p>
      <w:pPr>
        <w:spacing w:after="80"/>
      </w:pPr>
      <w:r>
        <w:rPr>
          <w:rFonts w:ascii="游ゴシック" w:hAnsi="游ゴシック" w:eastAsia="游ゴシック"/>
          <w:b w:val="0"/>
          <w:sz w:val="20"/>
        </w:rPr>
        <w:t>認知症基本法第13条の名宛人は市町村です。広域連合は地方自治法第284条により設けられ、介護保険法上の保険者としての事務を共同処理する特別地方公共団体であり、広域連合の計画に一体のものとして定めても市町村計画としての効力は生じません。このため</w:t>
      </w:r>
      <w:r>
        <w:rPr>
          <w:rFonts w:ascii="游ゴシック" w:hAnsi="游ゴシック" w:eastAsia="游ゴシック"/>
          <w:b/>
          <w:sz w:val="20"/>
        </w:rPr>
        <w:t>3町がそれぞれ市町村認知症施策推進計画を策定する</w:t>
      </w:r>
      <w:r>
        <w:rPr>
          <w:rFonts w:ascii="游ゴシック" w:hAnsi="游ゴシック" w:eastAsia="游ゴシック"/>
          <w:b w:val="0"/>
          <w:sz w:val="20"/>
        </w:rPr>
        <w:t>案により計画素案に反映しています（令和8年9月16日ご了承）。</w:t>
      </w:r>
    </w:p>
    <w:p>
      <w:pPr>
        <w:ind w:left="227"/>
      </w:pPr>
      <w:r>
        <w:rPr>
          <w:rFonts w:ascii="游ゴシック" w:hAnsi="游ゴシック" w:eastAsia="游ゴシック"/>
          <w:b w:val="0"/>
          <w:sz w:val="18"/>
        </w:rPr>
        <w:t>※ 条文を受領していないため、計画素案には条番号のみを記載し、項番号は記載していません［要確認］。</w:t>
      </w:r>
    </w:p>
    <w:p>
      <w:pPr>
        <w:keepNext/>
        <w:spacing w:before="180" w:after="60"/>
      </w:pPr>
      <w:r>
        <w:rPr>
          <w:rFonts w:ascii="游ゴシック" w:hAnsi="游ゴシック" w:eastAsia="游ゴシック"/>
          <w:b/>
          <w:sz w:val="22"/>
        </w:rPr>
        <w:t>ご決定をお願いする事項</w:t>
      </w:r>
    </w:p>
    <w:p>
      <w:pPr>
        <w:keepNext/>
        <w:spacing w:before="160" w:after="40"/>
      </w:pPr>
      <w:r>
        <w:rPr>
          <w:rFonts w:ascii="游ゴシック" w:hAnsi="游ゴシック" w:eastAsia="游ゴシック"/>
          <w:b/>
          <w:sz w:val="20"/>
        </w:rPr>
        <w:t>表25　認知症施策に関する確認事項</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794"/>
            <w:shd w:val="clear" w:color="auto" w:fill="1F3864"/>
            <w:vAlign w:val="center"/>
          </w:tcPr>
          <w:p>
            <w:pPr>
              <w:keepNext/>
              <w:spacing w:after="0"/>
              <w:jc w:val="center"/>
            </w:pPr>
            <w:r>
              <w:rPr>
                <w:rFonts w:ascii="游ゴシック" w:hAnsi="游ゴシック" w:eastAsia="游ゴシック"/>
                <w:b/>
                <w:color w:val="FFFFFF"/>
                <w:sz w:val="18"/>
              </w:rPr>
              <w:t>No.</w:t>
            </w:r>
          </w:p>
        </w:tc>
        <w:tc>
          <w:tcPr>
            <w:tcW w:type="dxa" w:w="3175"/>
            <w:shd w:val="clear" w:color="auto" w:fill="1F3864"/>
            <w:vAlign w:val="center"/>
          </w:tcPr>
          <w:p>
            <w:pPr>
              <w:keepNext/>
              <w:spacing w:after="0"/>
              <w:jc w:val="center"/>
            </w:pPr>
            <w:r>
              <w:rPr>
                <w:rFonts w:ascii="游ゴシック" w:hAnsi="游ゴシック" w:eastAsia="游ゴシック"/>
                <w:b/>
                <w:color w:val="FFFFFF"/>
                <w:sz w:val="18"/>
              </w:rPr>
              <w:t>確認事項</w:t>
            </w:r>
          </w:p>
        </w:tc>
        <w:tc>
          <w:tcPr>
            <w:tcW w:type="dxa" w:w="5783"/>
            <w:shd w:val="clear" w:color="auto" w:fill="1F3864"/>
            <w:vAlign w:val="center"/>
          </w:tcPr>
          <w:p>
            <w:pPr>
              <w:keepNext/>
              <w:spacing w:after="0"/>
              <w:jc w:val="center"/>
            </w:pPr>
            <w:r>
              <w:rPr>
                <w:rFonts w:ascii="游ゴシック" w:hAnsi="游ゴシック" w:eastAsia="游ゴシック"/>
                <w:b/>
                <w:color w:val="FFFFFF"/>
                <w:sz w:val="18"/>
              </w:rPr>
              <w:t>決まらない場合の当方の扱い（仮置き）</w:t>
            </w:r>
          </w:p>
        </w:tc>
      </w:tr>
      <w:tr>
        <w:trPr>
          <w:cantSplit/>
        </w:trPr>
        <w:tc>
          <w:tcPr>
            <w:tcW w:type="dxa" w:w="794"/>
            <w:vAlign w:val="center"/>
          </w:tcPr>
          <w:p>
            <w:pPr>
              <w:keepNext/>
              <w:spacing w:after="0"/>
              <w:jc w:val="center"/>
            </w:pPr>
            <w:r>
              <w:rPr>
                <w:rFonts w:ascii="游ゴシック" w:hAnsi="游ゴシック" w:eastAsia="游ゴシック"/>
                <w:b w:val="0"/>
                <w:sz w:val="18"/>
              </w:rPr>
              <w:t>No.130</w:t>
            </w:r>
          </w:p>
        </w:tc>
        <w:tc>
          <w:tcPr>
            <w:tcW w:type="dxa" w:w="3175"/>
            <w:vAlign w:val="center"/>
          </w:tcPr>
          <w:p>
            <w:pPr>
              <w:keepNext/>
              <w:spacing w:after="0"/>
            </w:pPr>
            <w:r>
              <w:rPr>
                <w:rFonts w:ascii="游ゴシック" w:hAnsi="游ゴシック" w:eastAsia="游ゴシック"/>
                <w:b w:val="0"/>
                <w:sz w:val="18"/>
              </w:rPr>
              <w:t>認知症基本法第13条の市町村認知症施策推進計画をどう扱うか</w:t>
            </w:r>
          </w:p>
        </w:tc>
        <w:tc>
          <w:tcPr>
            <w:tcW w:type="dxa" w:w="5783"/>
            <w:vAlign w:val="center"/>
          </w:tcPr>
          <w:p>
            <w:pPr>
              <w:keepNext/>
              <w:spacing w:after="0"/>
            </w:pPr>
            <w:r>
              <w:rPr>
                <w:rFonts w:ascii="游ゴシック" w:hAnsi="游ゴシック" w:eastAsia="游ゴシック"/>
                <w:b w:val="0"/>
                <w:sz w:val="18"/>
              </w:rPr>
              <w:t>案B（3町がそれぞれ市町村計画を策定する）のまま素案に反映する</w:t>
            </w:r>
          </w:p>
        </w:tc>
      </w:tr>
      <w:tr>
        <w:trPr>
          <w:cantSplit/>
        </w:trPr>
        <w:tc>
          <w:tcPr>
            <w:tcW w:type="dxa" w:w="794"/>
            <w:shd w:val="clear" w:color="auto" w:fill="F2F5FA"/>
            <w:vAlign w:val="center"/>
          </w:tcPr>
          <w:p>
            <w:pPr>
              <w:keepNext/>
              <w:spacing w:after="0"/>
              <w:jc w:val="center"/>
            </w:pPr>
            <w:r>
              <w:rPr>
                <w:rFonts w:ascii="游ゴシック" w:hAnsi="游ゴシック" w:eastAsia="游ゴシック"/>
                <w:b w:val="0"/>
                <w:sz w:val="18"/>
              </w:rPr>
              <w:t>No.150</w:t>
            </w:r>
          </w:p>
        </w:tc>
        <w:tc>
          <w:tcPr>
            <w:tcW w:type="dxa" w:w="3175"/>
            <w:shd w:val="clear" w:color="auto" w:fill="F2F5FA"/>
            <w:vAlign w:val="center"/>
          </w:tcPr>
          <w:p>
            <w:pPr>
              <w:keepNext/>
              <w:spacing w:after="0"/>
            </w:pPr>
            <w:r>
              <w:rPr>
                <w:rFonts w:ascii="游ゴシック" w:hAnsi="游ゴシック" w:eastAsia="游ゴシック"/>
                <w:b w:val="0"/>
                <w:sz w:val="18"/>
              </w:rPr>
              <w:t>認知症総合支援事業の実績のご提供</w:t>
            </w:r>
          </w:p>
        </w:tc>
        <w:tc>
          <w:tcPr>
            <w:tcW w:type="dxa" w:w="5783"/>
            <w:shd w:val="clear" w:color="auto" w:fill="F2F5FA"/>
            <w:vAlign w:val="center"/>
          </w:tcPr>
          <w:p>
            <w:pPr>
              <w:keepNext/>
              <w:spacing w:after="0"/>
            </w:pPr>
            <w:r>
              <w:rPr>
                <w:rFonts w:ascii="游ゴシック" w:hAnsi="游ゴシック" w:eastAsia="游ゴシック"/>
                <w:b w:val="0"/>
                <w:sz w:val="18"/>
              </w:rPr>
              <w:t>6事業別の事業費を受領できないものとして、認知症総合支援事業の量の見込みは立てず、3町の取組の回数のみを掲げる</w:t>
            </w:r>
          </w:p>
        </w:tc>
      </w:tr>
      <w:tr>
        <w:trPr>
          <w:cantSplit/>
        </w:trPr>
        <w:tc>
          <w:tcPr>
            <w:tcW w:type="dxa" w:w="794"/>
            <w:vAlign w:val="center"/>
          </w:tcPr>
          <w:p>
            <w:pPr>
              <w:spacing w:after="0"/>
              <w:jc w:val="center"/>
            </w:pPr>
            <w:r>
              <w:rPr>
                <w:rFonts w:ascii="游ゴシック" w:hAnsi="游ゴシック" w:eastAsia="游ゴシック"/>
                <w:b w:val="0"/>
                <w:sz w:val="18"/>
              </w:rPr>
              <w:t>No.149</w:t>
            </w:r>
          </w:p>
        </w:tc>
        <w:tc>
          <w:tcPr>
            <w:tcW w:type="dxa" w:w="3175"/>
            <w:vAlign w:val="center"/>
          </w:tcPr>
          <w:p>
            <w:pPr>
              <w:spacing w:after="0"/>
            </w:pPr>
            <w:r>
              <w:rPr>
                <w:rFonts w:ascii="游ゴシック" w:hAnsi="游ゴシック" w:eastAsia="游ゴシック"/>
                <w:b w:val="0"/>
                <w:sz w:val="18"/>
              </w:rPr>
              <w:t>認知症基本法の条文ほか認知症施策の根拠資料のご提供</w:t>
            </w:r>
          </w:p>
        </w:tc>
        <w:tc>
          <w:tcPr>
            <w:tcW w:type="dxa" w:w="5783"/>
            <w:vAlign w:val="center"/>
          </w:tcPr>
          <w:p>
            <w:pPr>
              <w:spacing w:after="0"/>
            </w:pPr>
            <w:r>
              <w:rPr>
                <w:rFonts w:ascii="游ゴシック" w:hAnsi="游ゴシック" w:eastAsia="游ゴシック"/>
                <w:b w:val="0"/>
                <w:sz w:val="18"/>
              </w:rPr>
              <w:t>認知症基本法の条文を受領できないものとして、計画素案には条番号のみを書き項番号は［要確認］のまま残す</w:t>
            </w:r>
          </w:p>
        </w:tc>
      </w:tr>
    </w:tbl>
    <w:p>
      <w:pPr>
        <w:spacing w:after="80"/>
      </w:pPr>
      <w:r>
        <w:rPr>
          <w:rFonts w:ascii="游ゴシック" w:hAnsi="游ゴシック" w:eastAsia="游ゴシック"/>
          <w:b w:val="0"/>
          <w:sz w:val="20"/>
        </w:rPr>
        <w:t>認知症の人及びその家族等からの意見の聴取は、記述の追加では満たされません。主体・方法・時期を3町と調整のうえ定める必要があり、策定委員会及び運営協議会の構成が決まる前にご判断を要します。</w:t>
      </w:r>
    </w:p>
    <w:p>
      <w:pPr>
        <w:ind w:left="227"/>
      </w:pPr>
      <w:r>
        <w:rPr>
          <w:rFonts w:ascii="游ゴシック" w:hAnsi="游ゴシック" w:eastAsia="游ゴシック"/>
          <w:b w:val="0"/>
          <w:sz w:val="18"/>
        </w:rPr>
        <w:t>※ 美瑛町の認知症初期集中支援推進事業は、医師を確保できないため令和7年度の実績が0件で休止中である旨が実施報告書に記載されています。市町村計画を3町がそれぞれ策定する場合、取組の差が計画の差として現れます。</w:t>
      </w:r>
    </w:p>
    <w:p>
      <w:pPr>
        <w:keepNext/>
        <w:pageBreakBefore w:val="0"/>
        <w:spacing w:before="280" w:after="120"/>
      </w:pPr>
      <w:r>
        <w:rPr>
          <w:rFonts w:ascii="游ゴシック" w:hAnsi="游ゴシック" w:eastAsia="游ゴシック"/>
          <w:b/>
          <w:color w:val="1F3864"/>
          <w:sz w:val="26"/>
        </w:rPr>
        <w:t>第9節　町ごとの個別協議でお伺いする事項</w:t>
      </w:r>
    </w:p>
    <w:p>
      <w:pPr>
        <w:spacing w:after="80"/>
      </w:pPr>
      <w:r>
        <w:rPr>
          <w:rFonts w:ascii="游ゴシック" w:hAnsi="游ゴシック" w:eastAsia="游ゴシック"/>
          <w:b w:val="0"/>
          <w:sz w:val="20"/>
        </w:rPr>
        <w:t>令和8年10月中旬から下旬の個別協議でお伺いする事項です。本意見交換会では扱いません。日程の調整をお願いします。</w:t>
      </w:r>
    </w:p>
    <w:p>
      <w:pPr>
        <w:keepNext/>
        <w:spacing w:before="160" w:after="40"/>
      </w:pPr>
      <w:r>
        <w:rPr>
          <w:rFonts w:ascii="游ゴシック" w:hAnsi="游ゴシック" w:eastAsia="游ゴシック"/>
          <w:b/>
          <w:sz w:val="20"/>
        </w:rPr>
        <w:t>表26　東川町　4件</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794"/>
            <w:shd w:val="clear" w:color="auto" w:fill="1F3864"/>
            <w:vAlign w:val="center"/>
          </w:tcPr>
          <w:p>
            <w:pPr>
              <w:keepNext/>
              <w:spacing w:after="0"/>
              <w:jc w:val="center"/>
            </w:pPr>
            <w:r>
              <w:rPr>
                <w:rFonts w:ascii="游ゴシック" w:hAnsi="游ゴシック" w:eastAsia="游ゴシック"/>
                <w:b/>
                <w:color w:val="FFFFFF"/>
                <w:sz w:val="18"/>
              </w:rPr>
              <w:t>No.</w:t>
            </w:r>
          </w:p>
        </w:tc>
        <w:tc>
          <w:tcPr>
            <w:tcW w:type="dxa" w:w="2948"/>
            <w:shd w:val="clear" w:color="auto" w:fill="1F3864"/>
            <w:vAlign w:val="center"/>
          </w:tcPr>
          <w:p>
            <w:pPr>
              <w:keepNext/>
              <w:spacing w:after="0"/>
              <w:jc w:val="center"/>
            </w:pPr>
            <w:r>
              <w:rPr>
                <w:rFonts w:ascii="游ゴシック" w:hAnsi="游ゴシック" w:eastAsia="游ゴシック"/>
                <w:b/>
                <w:color w:val="FFFFFF"/>
                <w:sz w:val="18"/>
              </w:rPr>
              <w:t>確認事項</w:t>
            </w:r>
          </w:p>
        </w:tc>
        <w:tc>
          <w:tcPr>
            <w:tcW w:type="dxa" w:w="4876"/>
            <w:shd w:val="clear" w:color="auto" w:fill="1F3864"/>
            <w:vAlign w:val="center"/>
          </w:tcPr>
          <w:p>
            <w:pPr>
              <w:keepNext/>
              <w:spacing w:after="0"/>
              <w:jc w:val="center"/>
            </w:pPr>
            <w:r>
              <w:rPr>
                <w:rFonts w:ascii="游ゴシック" w:hAnsi="游ゴシック" w:eastAsia="游ゴシック"/>
                <w:b/>
                <w:color w:val="FFFFFF"/>
                <w:sz w:val="18"/>
              </w:rPr>
              <w:t>決まらない場合の当方の扱い（仮置き）</w:t>
            </w:r>
          </w:p>
        </w:tc>
        <w:tc>
          <w:tcPr>
            <w:tcW w:type="dxa" w:w="1134"/>
            <w:shd w:val="clear" w:color="auto" w:fill="1F3864"/>
            <w:vAlign w:val="center"/>
          </w:tcPr>
          <w:p>
            <w:pPr>
              <w:keepNext/>
              <w:spacing w:after="0"/>
              <w:jc w:val="center"/>
            </w:pPr>
            <w:r>
              <w:rPr>
                <w:rFonts w:ascii="游ゴシック" w:hAnsi="游ゴシック" w:eastAsia="游ゴシック"/>
                <w:b/>
                <w:color w:val="FFFFFF"/>
                <w:sz w:val="18"/>
              </w:rPr>
              <w:t>期限</w:t>
            </w:r>
          </w:p>
        </w:tc>
      </w:tr>
      <w:tr>
        <w:trPr>
          <w:cantSplit/>
        </w:trPr>
        <w:tc>
          <w:tcPr>
            <w:tcW w:type="dxa" w:w="794"/>
            <w:vAlign w:val="center"/>
          </w:tcPr>
          <w:p>
            <w:pPr>
              <w:keepNext/>
              <w:spacing w:after="0"/>
              <w:jc w:val="center"/>
            </w:pPr>
            <w:r>
              <w:rPr>
                <w:rFonts w:ascii="游ゴシック" w:hAnsi="游ゴシック" w:eastAsia="游ゴシック"/>
                <w:b w:val="0"/>
                <w:sz w:val="18"/>
              </w:rPr>
              <w:t>No.84</w:t>
            </w:r>
          </w:p>
        </w:tc>
        <w:tc>
          <w:tcPr>
            <w:tcW w:type="dxa" w:w="2948"/>
            <w:vAlign w:val="center"/>
          </w:tcPr>
          <w:p>
            <w:pPr>
              <w:keepNext/>
              <w:spacing w:after="0"/>
            </w:pPr>
            <w:r>
              <w:rPr>
                <w:rFonts w:ascii="游ゴシック" w:hAnsi="游ゴシック" w:eastAsia="游ゴシック"/>
                <w:b w:val="0"/>
                <w:sz w:val="18"/>
              </w:rPr>
              <w:t>東川町の施設整備・サービス提供方針</w:t>
            </w:r>
          </w:p>
        </w:tc>
        <w:tc>
          <w:tcPr>
            <w:tcW w:type="dxa" w:w="4876"/>
            <w:vAlign w:val="center"/>
          </w:tcPr>
          <w:p>
            <w:pPr>
              <w:keepNext/>
              <w:spacing w:after="0"/>
            </w:pPr>
            <w:r>
              <w:rPr>
                <w:rFonts w:ascii="游ゴシック" w:hAnsi="游ゴシック" w:eastAsia="游ゴシック"/>
                <w:b w:val="0"/>
                <w:sz w:val="18"/>
              </w:rPr>
              <w:t>現定員の据え置き案を掲げ、本文は［要協議］のまま残す</w:t>
            </w:r>
          </w:p>
        </w:tc>
        <w:tc>
          <w:tcPr>
            <w:tcW w:type="dxa" w:w="1134"/>
            <w:vAlign w:val="center"/>
          </w:tcPr>
          <w:p>
            <w:pPr>
              <w:keepNext/>
              <w:spacing w:after="0"/>
              <w:jc w:val="center"/>
            </w:pPr>
            <w:r>
              <w:rPr>
                <w:rFonts w:ascii="游ゴシック" w:hAnsi="游ゴシック" w:eastAsia="游ゴシック"/>
                <w:b w:val="0"/>
                <w:sz w:val="18"/>
              </w:rPr>
              <w:t>R8.10</w:t>
            </w:r>
          </w:p>
        </w:tc>
      </w:tr>
      <w:tr>
        <w:trPr>
          <w:cantSplit/>
        </w:trPr>
        <w:tc>
          <w:tcPr>
            <w:tcW w:type="dxa" w:w="794"/>
            <w:shd w:val="clear" w:color="auto" w:fill="F2F5FA"/>
            <w:vAlign w:val="center"/>
          </w:tcPr>
          <w:p>
            <w:pPr>
              <w:keepNext/>
              <w:spacing w:after="0"/>
              <w:jc w:val="center"/>
            </w:pPr>
            <w:r>
              <w:rPr>
                <w:rFonts w:ascii="游ゴシック" w:hAnsi="游ゴシック" w:eastAsia="游ゴシック"/>
                <w:b w:val="0"/>
                <w:sz w:val="18"/>
              </w:rPr>
              <w:t>No.159</w:t>
            </w:r>
          </w:p>
        </w:tc>
        <w:tc>
          <w:tcPr>
            <w:tcW w:type="dxa" w:w="2948"/>
            <w:shd w:val="clear" w:color="auto" w:fill="F2F5FA"/>
            <w:vAlign w:val="center"/>
          </w:tcPr>
          <w:p>
            <w:pPr>
              <w:keepNext/>
              <w:spacing w:after="0"/>
            </w:pPr>
            <w:r>
              <w:rPr>
                <w:rFonts w:ascii="游ゴシック" w:hAnsi="游ゴシック" w:eastAsia="游ゴシック"/>
                <w:b w:val="0"/>
                <w:sz w:val="18"/>
              </w:rPr>
              <w:t>東川町の通いの場の整備と担い手の確保</w:t>
            </w:r>
          </w:p>
        </w:tc>
        <w:tc>
          <w:tcPr>
            <w:tcW w:type="dxa" w:w="4876"/>
            <w:shd w:val="clear" w:color="auto" w:fill="F2F5FA"/>
            <w:vAlign w:val="center"/>
          </w:tcPr>
          <w:p>
            <w:pPr>
              <w:keepNext/>
              <w:spacing w:after="0"/>
            </w:pPr>
            <w:r>
              <w:rPr>
                <w:rFonts w:ascii="游ゴシック" w:hAnsi="游ゴシック" w:eastAsia="游ゴシック"/>
                <w:b w:val="0"/>
                <w:sz w:val="18"/>
              </w:rPr>
              <w:t>現状のまま（東川町の整備を見込まない）第10期の目標値を置く</w:t>
            </w:r>
          </w:p>
        </w:tc>
        <w:tc>
          <w:tcPr>
            <w:tcW w:type="dxa" w:w="1134"/>
            <w:shd w:val="clear" w:color="auto" w:fill="F2F5FA"/>
            <w:vAlign w:val="center"/>
          </w:tcPr>
          <w:p>
            <w:pPr>
              <w:keepNext/>
              <w:spacing w:after="0"/>
              <w:jc w:val="center"/>
            </w:pPr>
            <w:r>
              <w:rPr>
                <w:rFonts w:ascii="游ゴシック" w:hAnsi="游ゴシック" w:eastAsia="游ゴシック"/>
                <w:b w:val="0"/>
                <w:sz w:val="18"/>
              </w:rPr>
              <w:t>R8.10</w:t>
            </w:r>
          </w:p>
        </w:tc>
      </w:tr>
      <w:tr>
        <w:trPr>
          <w:cantSplit/>
        </w:trPr>
        <w:tc>
          <w:tcPr>
            <w:tcW w:type="dxa" w:w="794"/>
            <w:vAlign w:val="center"/>
          </w:tcPr>
          <w:p>
            <w:pPr>
              <w:keepNext/>
              <w:spacing w:after="0"/>
              <w:jc w:val="center"/>
            </w:pPr>
            <w:r>
              <w:rPr>
                <w:rFonts w:ascii="游ゴシック" w:hAnsi="游ゴシック" w:eastAsia="游ゴシック"/>
                <w:b w:val="0"/>
                <w:sz w:val="18"/>
              </w:rPr>
              <w:t>No.160</w:t>
            </w:r>
          </w:p>
        </w:tc>
        <w:tc>
          <w:tcPr>
            <w:tcW w:type="dxa" w:w="2948"/>
            <w:vAlign w:val="center"/>
          </w:tcPr>
          <w:p>
            <w:pPr>
              <w:keepNext/>
              <w:spacing w:after="0"/>
            </w:pPr>
            <w:r>
              <w:rPr>
                <w:rFonts w:ascii="游ゴシック" w:hAnsi="游ゴシック" w:eastAsia="游ゴシック"/>
                <w:b w:val="0"/>
                <w:sz w:val="18"/>
              </w:rPr>
              <w:t>東川町の認知症サポーター養成講座の実施状況</w:t>
            </w:r>
          </w:p>
        </w:tc>
        <w:tc>
          <w:tcPr>
            <w:tcW w:type="dxa" w:w="4876"/>
            <w:vAlign w:val="center"/>
          </w:tcPr>
          <w:p>
            <w:pPr>
              <w:keepNext/>
              <w:spacing w:after="0"/>
            </w:pPr>
            <w:r>
              <w:rPr>
                <w:rFonts w:ascii="游ゴシック" w:hAnsi="游ゴシック" w:eastAsia="游ゴシック"/>
                <w:b w:val="0"/>
                <w:sz w:val="18"/>
              </w:rPr>
              <w:t>現に確認できる取組の範囲で記述し目標値は置かない</w:t>
            </w:r>
          </w:p>
        </w:tc>
        <w:tc>
          <w:tcPr>
            <w:tcW w:type="dxa" w:w="1134"/>
            <w:vAlign w:val="center"/>
          </w:tcPr>
          <w:p>
            <w:pPr>
              <w:keepNext/>
              <w:spacing w:after="0"/>
              <w:jc w:val="center"/>
            </w:pPr>
            <w:r>
              <w:rPr>
                <w:rFonts w:ascii="游ゴシック" w:hAnsi="游ゴシック" w:eastAsia="游ゴシック"/>
                <w:b w:val="0"/>
                <w:sz w:val="18"/>
              </w:rPr>
              <w:t>R8.10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No.161</w:t>
            </w:r>
          </w:p>
        </w:tc>
        <w:tc>
          <w:tcPr>
            <w:tcW w:type="dxa" w:w="2948"/>
            <w:shd w:val="clear" w:color="auto" w:fill="F2F5FA"/>
            <w:vAlign w:val="center"/>
          </w:tcPr>
          <w:p>
            <w:pPr>
              <w:spacing w:after="0"/>
            </w:pPr>
            <w:r>
              <w:rPr>
                <w:rFonts w:ascii="游ゴシック" w:hAnsi="游ゴシック" w:eastAsia="游ゴシック"/>
                <w:b w:val="0"/>
                <w:sz w:val="18"/>
              </w:rPr>
              <w:t>東川町のチームオレンジ事業の位置づけ</w:t>
            </w:r>
          </w:p>
        </w:tc>
        <w:tc>
          <w:tcPr>
            <w:tcW w:type="dxa" w:w="4876"/>
            <w:shd w:val="clear" w:color="auto" w:fill="F2F5FA"/>
            <w:vAlign w:val="center"/>
          </w:tcPr>
          <w:p>
            <w:pPr>
              <w:spacing w:after="0"/>
            </w:pPr>
            <w:r>
              <w:rPr>
                <w:rFonts w:ascii="游ゴシック" w:hAnsi="游ゴシック" w:eastAsia="游ゴシック"/>
                <w:b w:val="0"/>
                <w:sz w:val="18"/>
              </w:rPr>
              <w:t>東川町の取組として記述し3町展開は記述しない</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bl>
    <w:p>
      <w:pPr>
        <w:keepNext/>
        <w:spacing w:before="160" w:after="40"/>
      </w:pPr>
      <w:r>
        <w:rPr>
          <w:rFonts w:ascii="游ゴシック" w:hAnsi="游ゴシック" w:eastAsia="游ゴシック"/>
          <w:b/>
          <w:sz w:val="20"/>
        </w:rPr>
        <w:t>表27　美瑛町　5件</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794"/>
            <w:shd w:val="clear" w:color="auto" w:fill="1F3864"/>
            <w:vAlign w:val="center"/>
          </w:tcPr>
          <w:p>
            <w:pPr>
              <w:keepNext/>
              <w:spacing w:after="0"/>
              <w:jc w:val="center"/>
            </w:pPr>
            <w:r>
              <w:rPr>
                <w:rFonts w:ascii="游ゴシック" w:hAnsi="游ゴシック" w:eastAsia="游ゴシック"/>
                <w:b/>
                <w:color w:val="FFFFFF"/>
                <w:sz w:val="18"/>
              </w:rPr>
              <w:t>No.</w:t>
            </w:r>
          </w:p>
        </w:tc>
        <w:tc>
          <w:tcPr>
            <w:tcW w:type="dxa" w:w="2948"/>
            <w:shd w:val="clear" w:color="auto" w:fill="1F3864"/>
            <w:vAlign w:val="center"/>
          </w:tcPr>
          <w:p>
            <w:pPr>
              <w:keepNext/>
              <w:spacing w:after="0"/>
              <w:jc w:val="center"/>
            </w:pPr>
            <w:r>
              <w:rPr>
                <w:rFonts w:ascii="游ゴシック" w:hAnsi="游ゴシック" w:eastAsia="游ゴシック"/>
                <w:b/>
                <w:color w:val="FFFFFF"/>
                <w:sz w:val="18"/>
              </w:rPr>
              <w:t>確認事項</w:t>
            </w:r>
          </w:p>
        </w:tc>
        <w:tc>
          <w:tcPr>
            <w:tcW w:type="dxa" w:w="4876"/>
            <w:shd w:val="clear" w:color="auto" w:fill="1F3864"/>
            <w:vAlign w:val="center"/>
          </w:tcPr>
          <w:p>
            <w:pPr>
              <w:keepNext/>
              <w:spacing w:after="0"/>
              <w:jc w:val="center"/>
            </w:pPr>
            <w:r>
              <w:rPr>
                <w:rFonts w:ascii="游ゴシック" w:hAnsi="游ゴシック" w:eastAsia="游ゴシック"/>
                <w:b/>
                <w:color w:val="FFFFFF"/>
                <w:sz w:val="18"/>
              </w:rPr>
              <w:t>決まらない場合の当方の扱い（仮置き）</w:t>
            </w:r>
          </w:p>
        </w:tc>
        <w:tc>
          <w:tcPr>
            <w:tcW w:type="dxa" w:w="1134"/>
            <w:shd w:val="clear" w:color="auto" w:fill="1F3864"/>
            <w:vAlign w:val="center"/>
          </w:tcPr>
          <w:p>
            <w:pPr>
              <w:keepNext/>
              <w:spacing w:after="0"/>
              <w:jc w:val="center"/>
            </w:pPr>
            <w:r>
              <w:rPr>
                <w:rFonts w:ascii="游ゴシック" w:hAnsi="游ゴシック" w:eastAsia="游ゴシック"/>
                <w:b/>
                <w:color w:val="FFFFFF"/>
                <w:sz w:val="18"/>
              </w:rPr>
              <w:t>期限</w:t>
            </w:r>
          </w:p>
        </w:tc>
      </w:tr>
      <w:tr>
        <w:trPr>
          <w:cantSplit/>
        </w:trPr>
        <w:tc>
          <w:tcPr>
            <w:tcW w:type="dxa" w:w="794"/>
            <w:vAlign w:val="center"/>
          </w:tcPr>
          <w:p>
            <w:pPr>
              <w:keepNext/>
              <w:spacing w:after="0"/>
              <w:jc w:val="center"/>
            </w:pPr>
            <w:r>
              <w:rPr>
                <w:rFonts w:ascii="游ゴシック" w:hAnsi="游ゴシック" w:eastAsia="游ゴシック"/>
                <w:b w:val="0"/>
                <w:sz w:val="18"/>
              </w:rPr>
              <w:t>No.78</w:t>
            </w:r>
          </w:p>
        </w:tc>
        <w:tc>
          <w:tcPr>
            <w:tcW w:type="dxa" w:w="2948"/>
            <w:vAlign w:val="center"/>
          </w:tcPr>
          <w:p>
            <w:pPr>
              <w:keepNext/>
              <w:spacing w:after="0"/>
            </w:pPr>
            <w:r>
              <w:rPr>
                <w:rFonts w:ascii="游ゴシック" w:hAnsi="游ゴシック" w:eastAsia="游ゴシック"/>
                <w:b w:val="0"/>
                <w:sz w:val="18"/>
              </w:rPr>
              <w:t>グループホームびえいの郷の定員減の時期</w:t>
            </w:r>
          </w:p>
        </w:tc>
        <w:tc>
          <w:tcPr>
            <w:tcW w:type="dxa" w:w="4876"/>
            <w:vAlign w:val="center"/>
          </w:tcPr>
          <w:p>
            <w:pPr>
              <w:keepNext/>
              <w:spacing w:after="0"/>
            </w:pPr>
            <w:r>
              <w:rPr>
                <w:rFonts w:ascii="游ゴシック" w:hAnsi="游ゴシック" w:eastAsia="游ゴシック"/>
                <w:b w:val="0"/>
                <w:sz w:val="18"/>
              </w:rPr>
              <w:t>北海道の名簿の定員のまま概算する</w:t>
            </w:r>
          </w:p>
        </w:tc>
        <w:tc>
          <w:tcPr>
            <w:tcW w:type="dxa" w:w="1134"/>
            <w:vAlign w:val="center"/>
          </w:tcPr>
          <w:p>
            <w:pPr>
              <w:keepNext/>
              <w:spacing w:after="0"/>
              <w:jc w:val="center"/>
            </w:pPr>
            <w:r>
              <w:rPr>
                <w:rFonts w:ascii="游ゴシック" w:hAnsi="游ゴシック" w:eastAsia="游ゴシック"/>
                <w:b w:val="0"/>
                <w:sz w:val="18"/>
              </w:rPr>
              <w:t>R8.9</w:t>
            </w:r>
          </w:p>
        </w:tc>
      </w:tr>
      <w:tr>
        <w:trPr>
          <w:cantSplit/>
        </w:trPr>
        <w:tc>
          <w:tcPr>
            <w:tcW w:type="dxa" w:w="794"/>
            <w:shd w:val="clear" w:color="auto" w:fill="F2F5FA"/>
            <w:vAlign w:val="center"/>
          </w:tcPr>
          <w:p>
            <w:pPr>
              <w:keepNext/>
              <w:spacing w:after="0"/>
              <w:jc w:val="center"/>
            </w:pPr>
            <w:r>
              <w:rPr>
                <w:rFonts w:ascii="游ゴシック" w:hAnsi="游ゴシック" w:eastAsia="游ゴシック"/>
                <w:b w:val="0"/>
                <w:sz w:val="18"/>
              </w:rPr>
              <w:t>No.162</w:t>
            </w:r>
          </w:p>
        </w:tc>
        <w:tc>
          <w:tcPr>
            <w:tcW w:type="dxa" w:w="2948"/>
            <w:shd w:val="clear" w:color="auto" w:fill="F2F5FA"/>
            <w:vAlign w:val="center"/>
          </w:tcPr>
          <w:p>
            <w:pPr>
              <w:keepNext/>
              <w:spacing w:after="0"/>
            </w:pPr>
            <w:r>
              <w:rPr>
                <w:rFonts w:ascii="游ゴシック" w:hAnsi="游ゴシック" w:eastAsia="游ゴシック"/>
                <w:b w:val="0"/>
                <w:sz w:val="18"/>
              </w:rPr>
              <w:t>美瑛町の認知症初期集中支援推進事業の再開の見通し</w:t>
            </w:r>
          </w:p>
        </w:tc>
        <w:tc>
          <w:tcPr>
            <w:tcW w:type="dxa" w:w="4876"/>
            <w:shd w:val="clear" w:color="auto" w:fill="F2F5FA"/>
            <w:vAlign w:val="center"/>
          </w:tcPr>
          <w:p>
            <w:pPr>
              <w:keepNext/>
              <w:spacing w:after="0"/>
            </w:pPr>
            <w:r>
              <w:rPr>
                <w:rFonts w:ascii="游ゴシック" w:hAnsi="游ゴシック" w:eastAsia="游ゴシック"/>
                <w:b w:val="0"/>
                <w:sz w:val="18"/>
              </w:rPr>
              <w:t>令和7年度の実施状況のとおり記述し、再開の時期は［要協議］のまま残す</w:t>
            </w:r>
          </w:p>
        </w:tc>
        <w:tc>
          <w:tcPr>
            <w:tcW w:type="dxa" w:w="1134"/>
            <w:shd w:val="clear" w:color="auto" w:fill="F2F5FA"/>
            <w:vAlign w:val="center"/>
          </w:tcPr>
          <w:p>
            <w:pPr>
              <w:keepNext/>
              <w:spacing w:after="0"/>
              <w:jc w:val="center"/>
            </w:pPr>
            <w:r>
              <w:rPr>
                <w:rFonts w:ascii="游ゴシック" w:hAnsi="游ゴシック" w:eastAsia="游ゴシック"/>
                <w:b w:val="0"/>
                <w:sz w:val="18"/>
              </w:rPr>
              <w:t>R8.10</w:t>
            </w:r>
          </w:p>
        </w:tc>
      </w:tr>
      <w:tr>
        <w:trPr>
          <w:cantSplit/>
        </w:trPr>
        <w:tc>
          <w:tcPr>
            <w:tcW w:type="dxa" w:w="794"/>
            <w:vAlign w:val="center"/>
          </w:tcPr>
          <w:p>
            <w:pPr>
              <w:keepNext/>
              <w:spacing w:after="0"/>
              <w:jc w:val="center"/>
            </w:pPr>
            <w:r>
              <w:rPr>
                <w:rFonts w:ascii="游ゴシック" w:hAnsi="游ゴシック" w:eastAsia="游ゴシック"/>
                <w:b w:val="0"/>
                <w:sz w:val="18"/>
              </w:rPr>
              <w:t>No.163</w:t>
            </w:r>
          </w:p>
        </w:tc>
        <w:tc>
          <w:tcPr>
            <w:tcW w:type="dxa" w:w="2948"/>
            <w:vAlign w:val="center"/>
          </w:tcPr>
          <w:p>
            <w:pPr>
              <w:keepNext/>
              <w:spacing w:after="0"/>
            </w:pPr>
            <w:r>
              <w:rPr>
                <w:rFonts w:ascii="游ゴシック" w:hAnsi="游ゴシック" w:eastAsia="游ゴシック"/>
                <w:b w:val="0"/>
                <w:sz w:val="18"/>
              </w:rPr>
              <w:t>美瑛町の地域リハビリテーション活動支援事業の3町展開</w:t>
            </w:r>
          </w:p>
        </w:tc>
        <w:tc>
          <w:tcPr>
            <w:tcW w:type="dxa" w:w="4876"/>
            <w:vAlign w:val="center"/>
          </w:tcPr>
          <w:p>
            <w:pPr>
              <w:keepNext/>
              <w:spacing w:after="0"/>
            </w:pPr>
            <w:r>
              <w:rPr>
                <w:rFonts w:ascii="游ゴシック" w:hAnsi="游ゴシック" w:eastAsia="游ゴシック"/>
                <w:b w:val="0"/>
                <w:sz w:val="18"/>
              </w:rPr>
              <w:t>美瑛町の取組として記述し3町展開は記述しない</w:t>
            </w:r>
          </w:p>
        </w:tc>
        <w:tc>
          <w:tcPr>
            <w:tcW w:type="dxa" w:w="1134"/>
            <w:vAlign w:val="center"/>
          </w:tcPr>
          <w:p>
            <w:pPr>
              <w:keepNext/>
              <w:spacing w:after="0"/>
              <w:jc w:val="center"/>
            </w:pPr>
            <w:r>
              <w:rPr>
                <w:rFonts w:ascii="游ゴシック" w:hAnsi="游ゴシック" w:eastAsia="游ゴシック"/>
                <w:b w:val="0"/>
                <w:sz w:val="18"/>
              </w:rPr>
              <w:t>R8.10</w:t>
            </w:r>
          </w:p>
        </w:tc>
      </w:tr>
      <w:tr>
        <w:trPr>
          <w:cantSplit/>
        </w:trPr>
        <w:tc>
          <w:tcPr>
            <w:tcW w:type="dxa" w:w="794"/>
            <w:shd w:val="clear" w:color="auto" w:fill="F2F5FA"/>
            <w:vAlign w:val="center"/>
          </w:tcPr>
          <w:p>
            <w:pPr>
              <w:keepNext/>
              <w:spacing w:after="0"/>
              <w:jc w:val="center"/>
            </w:pPr>
            <w:r>
              <w:rPr>
                <w:rFonts w:ascii="游ゴシック" w:hAnsi="游ゴシック" w:eastAsia="游ゴシック"/>
                <w:b w:val="0"/>
                <w:sz w:val="18"/>
              </w:rPr>
              <w:t>No.164</w:t>
            </w:r>
          </w:p>
        </w:tc>
        <w:tc>
          <w:tcPr>
            <w:tcW w:type="dxa" w:w="2948"/>
            <w:shd w:val="clear" w:color="auto" w:fill="F2F5FA"/>
            <w:vAlign w:val="center"/>
          </w:tcPr>
          <w:p>
            <w:pPr>
              <w:keepNext/>
              <w:spacing w:after="0"/>
            </w:pPr>
            <w:r>
              <w:rPr>
                <w:rFonts w:ascii="游ゴシック" w:hAnsi="游ゴシック" w:eastAsia="游ゴシック"/>
                <w:b w:val="0"/>
                <w:sz w:val="18"/>
              </w:rPr>
              <w:t>美瑛町の地域密着型介護老人福祉施設の整備方針</w:t>
            </w:r>
          </w:p>
        </w:tc>
        <w:tc>
          <w:tcPr>
            <w:tcW w:type="dxa" w:w="4876"/>
            <w:shd w:val="clear" w:color="auto" w:fill="F2F5FA"/>
            <w:vAlign w:val="center"/>
          </w:tcPr>
          <w:p>
            <w:pPr>
              <w:keepNext/>
              <w:spacing w:after="0"/>
            </w:pPr>
            <w:r>
              <w:rPr>
                <w:rFonts w:ascii="游ゴシック" w:hAnsi="游ゴシック" w:eastAsia="游ゴシック"/>
                <w:b w:val="0"/>
                <w:sz w:val="18"/>
              </w:rPr>
              <w:t>現定員の据え置き案を掲げ本文は［要協議］のまま残す</w:t>
            </w:r>
          </w:p>
        </w:tc>
        <w:tc>
          <w:tcPr>
            <w:tcW w:type="dxa" w:w="1134"/>
            <w:shd w:val="clear" w:color="auto" w:fill="F2F5FA"/>
            <w:vAlign w:val="center"/>
          </w:tcPr>
          <w:p>
            <w:pPr>
              <w:keepNext/>
              <w:spacing w:after="0"/>
              <w:jc w:val="center"/>
            </w:pPr>
            <w:r>
              <w:rPr>
                <w:rFonts w:ascii="游ゴシック" w:hAnsi="游ゴシック" w:eastAsia="游ゴシック"/>
                <w:b w:val="0"/>
                <w:sz w:val="18"/>
              </w:rPr>
              <w:t>R8.10</w:t>
            </w:r>
          </w:p>
        </w:tc>
      </w:tr>
      <w:tr>
        <w:trPr>
          <w:cantSplit/>
        </w:trPr>
        <w:tc>
          <w:tcPr>
            <w:tcW w:type="dxa" w:w="794"/>
            <w:vAlign w:val="center"/>
          </w:tcPr>
          <w:p>
            <w:pPr>
              <w:spacing w:after="0"/>
              <w:jc w:val="center"/>
            </w:pPr>
            <w:r>
              <w:rPr>
                <w:rFonts w:ascii="游ゴシック" w:hAnsi="游ゴシック" w:eastAsia="游ゴシック"/>
                <w:b w:val="0"/>
                <w:sz w:val="18"/>
              </w:rPr>
              <w:t>No.165</w:t>
            </w:r>
          </w:p>
        </w:tc>
        <w:tc>
          <w:tcPr>
            <w:tcW w:type="dxa" w:w="2948"/>
            <w:vAlign w:val="center"/>
          </w:tcPr>
          <w:p>
            <w:pPr>
              <w:spacing w:after="0"/>
            </w:pPr>
            <w:r>
              <w:rPr>
                <w:rFonts w:ascii="游ゴシック" w:hAnsi="游ゴシック" w:eastAsia="游ゴシック"/>
                <w:b w:val="0"/>
                <w:sz w:val="18"/>
              </w:rPr>
              <w:t>美瑛町の難聴高齢者の早期発見・早期介入の取組</w:t>
            </w:r>
          </w:p>
        </w:tc>
        <w:tc>
          <w:tcPr>
            <w:tcW w:type="dxa" w:w="4876"/>
            <w:vAlign w:val="center"/>
          </w:tcPr>
          <w:p>
            <w:pPr>
              <w:spacing w:after="0"/>
            </w:pPr>
            <w:r>
              <w:rPr>
                <w:rFonts w:ascii="游ゴシック" w:hAnsi="游ゴシック" w:eastAsia="游ゴシック"/>
                <w:b w:val="0"/>
                <w:sz w:val="18"/>
              </w:rPr>
              <w:t>現に確認できる取組の範囲で記述する</w:t>
            </w:r>
          </w:p>
        </w:tc>
        <w:tc>
          <w:tcPr>
            <w:tcW w:type="dxa" w:w="1134"/>
            <w:vAlign w:val="center"/>
          </w:tcPr>
          <w:p>
            <w:pPr>
              <w:spacing w:after="0"/>
              <w:jc w:val="center"/>
            </w:pPr>
            <w:r>
              <w:rPr>
                <w:rFonts w:ascii="游ゴシック" w:hAnsi="游ゴシック" w:eastAsia="游ゴシック"/>
                <w:b w:val="0"/>
                <w:sz w:val="18"/>
              </w:rPr>
              <w:t>R8.10</w:t>
            </w:r>
          </w:p>
        </w:tc>
      </w:tr>
    </w:tbl>
    <w:p>
      <w:pPr>
        <w:keepNext/>
        <w:spacing w:before="160" w:after="40"/>
      </w:pPr>
      <w:r>
        <w:rPr>
          <w:rFonts w:ascii="游ゴシック" w:hAnsi="游ゴシック" w:eastAsia="游ゴシック"/>
          <w:b/>
          <w:sz w:val="20"/>
        </w:rPr>
        <w:t>表28　東神楽町　2件</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794"/>
            <w:shd w:val="clear" w:color="auto" w:fill="1F3864"/>
            <w:vAlign w:val="center"/>
          </w:tcPr>
          <w:p>
            <w:pPr>
              <w:keepNext/>
              <w:spacing w:after="0"/>
              <w:jc w:val="center"/>
            </w:pPr>
            <w:r>
              <w:rPr>
                <w:rFonts w:ascii="游ゴシック" w:hAnsi="游ゴシック" w:eastAsia="游ゴシック"/>
                <w:b/>
                <w:color w:val="FFFFFF"/>
                <w:sz w:val="18"/>
              </w:rPr>
              <w:t>No.</w:t>
            </w:r>
          </w:p>
        </w:tc>
        <w:tc>
          <w:tcPr>
            <w:tcW w:type="dxa" w:w="2948"/>
            <w:shd w:val="clear" w:color="auto" w:fill="1F3864"/>
            <w:vAlign w:val="center"/>
          </w:tcPr>
          <w:p>
            <w:pPr>
              <w:keepNext/>
              <w:spacing w:after="0"/>
              <w:jc w:val="center"/>
            </w:pPr>
            <w:r>
              <w:rPr>
                <w:rFonts w:ascii="游ゴシック" w:hAnsi="游ゴシック" w:eastAsia="游ゴシック"/>
                <w:b/>
                <w:color w:val="FFFFFF"/>
                <w:sz w:val="18"/>
              </w:rPr>
              <w:t>確認事項</w:t>
            </w:r>
          </w:p>
        </w:tc>
        <w:tc>
          <w:tcPr>
            <w:tcW w:type="dxa" w:w="4876"/>
            <w:shd w:val="clear" w:color="auto" w:fill="1F3864"/>
            <w:vAlign w:val="center"/>
          </w:tcPr>
          <w:p>
            <w:pPr>
              <w:keepNext/>
              <w:spacing w:after="0"/>
              <w:jc w:val="center"/>
            </w:pPr>
            <w:r>
              <w:rPr>
                <w:rFonts w:ascii="游ゴシック" w:hAnsi="游ゴシック" w:eastAsia="游ゴシック"/>
                <w:b/>
                <w:color w:val="FFFFFF"/>
                <w:sz w:val="18"/>
              </w:rPr>
              <w:t>決まらない場合の当方の扱い（仮置き）</w:t>
            </w:r>
          </w:p>
        </w:tc>
        <w:tc>
          <w:tcPr>
            <w:tcW w:type="dxa" w:w="1134"/>
            <w:shd w:val="clear" w:color="auto" w:fill="1F3864"/>
            <w:vAlign w:val="center"/>
          </w:tcPr>
          <w:p>
            <w:pPr>
              <w:keepNext/>
              <w:spacing w:after="0"/>
              <w:jc w:val="center"/>
            </w:pPr>
            <w:r>
              <w:rPr>
                <w:rFonts w:ascii="游ゴシック" w:hAnsi="游ゴシック" w:eastAsia="游ゴシック"/>
                <w:b/>
                <w:color w:val="FFFFFF"/>
                <w:sz w:val="18"/>
              </w:rPr>
              <w:t>期限</w:t>
            </w:r>
          </w:p>
        </w:tc>
      </w:tr>
      <w:tr>
        <w:trPr>
          <w:cantSplit/>
        </w:trPr>
        <w:tc>
          <w:tcPr>
            <w:tcW w:type="dxa" w:w="794"/>
            <w:vAlign w:val="center"/>
          </w:tcPr>
          <w:p>
            <w:pPr>
              <w:keepNext/>
              <w:spacing w:after="0"/>
              <w:jc w:val="center"/>
            </w:pPr>
            <w:r>
              <w:rPr>
                <w:rFonts w:ascii="游ゴシック" w:hAnsi="游ゴシック" w:eastAsia="游ゴシック"/>
                <w:b w:val="0"/>
                <w:sz w:val="18"/>
              </w:rPr>
              <w:t>No.166</w:t>
            </w:r>
          </w:p>
        </w:tc>
        <w:tc>
          <w:tcPr>
            <w:tcW w:type="dxa" w:w="2948"/>
            <w:vAlign w:val="center"/>
          </w:tcPr>
          <w:p>
            <w:pPr>
              <w:keepNext/>
              <w:spacing w:after="0"/>
            </w:pPr>
            <w:r>
              <w:rPr>
                <w:rFonts w:ascii="游ゴシック" w:hAnsi="游ゴシック" w:eastAsia="游ゴシック"/>
                <w:b w:val="0"/>
                <w:sz w:val="18"/>
              </w:rPr>
              <w:t>東神楽町の通いの場の維持</w:t>
            </w:r>
          </w:p>
        </w:tc>
        <w:tc>
          <w:tcPr>
            <w:tcW w:type="dxa" w:w="4876"/>
            <w:vAlign w:val="center"/>
          </w:tcPr>
          <w:p>
            <w:pPr>
              <w:keepNext/>
              <w:spacing w:after="0"/>
            </w:pPr>
            <w:r>
              <w:rPr>
                <w:rFonts w:ascii="游ゴシック" w:hAnsi="游ゴシック" w:eastAsia="游ゴシック"/>
                <w:b w:val="0"/>
                <w:sz w:val="18"/>
              </w:rPr>
              <w:t>令和6年度の水準が続くものとして目標値を置く</w:t>
            </w:r>
          </w:p>
        </w:tc>
        <w:tc>
          <w:tcPr>
            <w:tcW w:type="dxa" w:w="1134"/>
            <w:vAlign w:val="center"/>
          </w:tcPr>
          <w:p>
            <w:pPr>
              <w:keepNext/>
              <w:spacing w:after="0"/>
              <w:jc w:val="center"/>
            </w:pPr>
            <w:r>
              <w:rPr>
                <w:rFonts w:ascii="游ゴシック" w:hAnsi="游ゴシック" w:eastAsia="游ゴシック"/>
                <w:b w:val="0"/>
                <w:sz w:val="18"/>
              </w:rPr>
              <w:t>R8.10</w:t>
            </w:r>
          </w:p>
        </w:tc>
      </w:tr>
      <w:tr>
        <w:trPr>
          <w:cantSplit/>
        </w:trPr>
        <w:tc>
          <w:tcPr>
            <w:tcW w:type="dxa" w:w="794"/>
            <w:shd w:val="clear" w:color="auto" w:fill="F2F5FA"/>
            <w:vAlign w:val="center"/>
          </w:tcPr>
          <w:p>
            <w:pPr>
              <w:spacing w:after="0"/>
              <w:jc w:val="center"/>
            </w:pPr>
            <w:r>
              <w:rPr>
                <w:rFonts w:ascii="游ゴシック" w:hAnsi="游ゴシック" w:eastAsia="游ゴシック"/>
                <w:b w:val="0"/>
                <w:sz w:val="18"/>
              </w:rPr>
              <w:t>No.167</w:t>
            </w:r>
          </w:p>
        </w:tc>
        <w:tc>
          <w:tcPr>
            <w:tcW w:type="dxa" w:w="2948"/>
            <w:shd w:val="clear" w:color="auto" w:fill="F2F5FA"/>
            <w:vAlign w:val="center"/>
          </w:tcPr>
          <w:p>
            <w:pPr>
              <w:spacing w:after="0"/>
            </w:pPr>
            <w:r>
              <w:rPr>
                <w:rFonts w:ascii="游ゴシック" w:hAnsi="游ゴシック" w:eastAsia="游ゴシック"/>
                <w:b w:val="0"/>
                <w:sz w:val="18"/>
              </w:rPr>
              <w:t>東神楽町の認知症サポーター・ステップアップ講座の実施状況</w:t>
            </w:r>
          </w:p>
        </w:tc>
        <w:tc>
          <w:tcPr>
            <w:tcW w:type="dxa" w:w="4876"/>
            <w:shd w:val="clear" w:color="auto" w:fill="F2F5FA"/>
            <w:vAlign w:val="center"/>
          </w:tcPr>
          <w:p>
            <w:pPr>
              <w:spacing w:after="0"/>
            </w:pPr>
            <w:r>
              <w:rPr>
                <w:rFonts w:ascii="游ゴシック" w:hAnsi="游ゴシック" w:eastAsia="游ゴシック"/>
                <w:b w:val="0"/>
                <w:sz w:val="18"/>
              </w:rPr>
              <w:t>現に確認できる取組の範囲で記述し目標値は置かない</w:t>
            </w:r>
          </w:p>
        </w:tc>
        <w:tc>
          <w:tcPr>
            <w:tcW w:type="dxa" w:w="1134"/>
            <w:shd w:val="clear" w:color="auto" w:fill="F2F5FA"/>
            <w:vAlign w:val="center"/>
          </w:tcPr>
          <w:p>
            <w:pPr>
              <w:spacing w:after="0"/>
              <w:jc w:val="center"/>
            </w:pPr>
            <w:r>
              <w:rPr>
                <w:rFonts w:ascii="游ゴシック" w:hAnsi="游ゴシック" w:eastAsia="游ゴシック"/>
                <w:b w:val="0"/>
                <w:sz w:val="18"/>
              </w:rPr>
              <w:t>R8.10</w:t>
            </w:r>
          </w:p>
        </w:tc>
      </w:tr>
    </w:tbl>
    <w:p>
      <w:pPr>
        <w:spacing w:after="80"/>
      </w:pPr>
      <w:r>
        <w:rPr>
          <w:rFonts w:ascii="游ゴシック" w:hAnsi="游ゴシック" w:eastAsia="游ゴシック"/>
          <w:b w:val="0"/>
          <w:sz w:val="17"/>
        </w:rPr>
        <w:t>資料：10月 地域課題の整理と3町協議の確認事項（03〜05シート）</w:t>
      </w:r>
    </w:p>
    <w:p>
      <w:pPr>
        <w:keepNext/>
        <w:pageBreakBefore w:val="0"/>
        <w:spacing w:before="280" w:after="120"/>
      </w:pPr>
      <w:r>
        <w:rPr>
          <w:rFonts w:ascii="游ゴシック" w:hAnsi="游ゴシック" w:eastAsia="游ゴシック"/>
          <w:b/>
          <w:color w:val="1F3864"/>
          <w:sz w:val="26"/>
        </w:rPr>
        <w:t>第10節　資料のご提供をお願いしたいもの</w:t>
      </w:r>
    </w:p>
    <w:p>
      <w:pPr>
        <w:spacing w:after="80"/>
      </w:pPr>
      <w:r>
        <w:rPr>
          <w:rFonts w:ascii="游ゴシック" w:hAnsi="游ゴシック" w:eastAsia="游ゴシック"/>
          <w:b w:val="0"/>
          <w:sz w:val="20"/>
        </w:rPr>
        <w:t>資料の提供依頼23件のうち、まだ受領していないものが19件あります。うち優先度の高いものが12件です。</w:t>
      </w:r>
    </w:p>
    <w:p>
      <w:pPr>
        <w:spacing w:after="80"/>
      </w:pPr>
      <w:r>
        <w:rPr>
          <w:rFonts w:ascii="游ゴシック" w:hAnsi="游ゴシック" w:eastAsia="游ゴシック"/>
          <w:b w:val="0"/>
          <w:sz w:val="20"/>
        </w:rPr>
        <w:t>いずれも届かない場合は現に確認できている値のまま確定します。算定そのものが止まるものはありません。ただし、国の告示・公布を待つもの（第4節）は資料のご提供とは別に残ります。</w:t>
      </w:r>
    </w:p>
    <w:p>
      <w:pPr>
        <w:keepNext/>
        <w:spacing w:before="160" w:after="40"/>
      </w:pPr>
      <w:r>
        <w:rPr>
          <w:rFonts w:ascii="游ゴシック" w:hAnsi="游ゴシック" w:eastAsia="游ゴシック"/>
          <w:b/>
          <w:sz w:val="20"/>
        </w:rPr>
        <w:t>表29　優先度の高い資料　12件</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567"/>
            <w:shd w:val="clear" w:color="auto" w:fill="1F3864"/>
            <w:vAlign w:val="center"/>
          </w:tcPr>
          <w:p>
            <w:pPr>
              <w:spacing w:after="0"/>
              <w:jc w:val="center"/>
            </w:pPr>
            <w:r>
              <w:rPr>
                <w:rFonts w:ascii="游ゴシック" w:hAnsi="游ゴシック" w:eastAsia="游ゴシック"/>
                <w:b/>
                <w:color w:val="FFFFFF"/>
                <w:sz w:val="16"/>
              </w:rPr>
              <w:t>No.</w:t>
            </w:r>
          </w:p>
        </w:tc>
        <w:tc>
          <w:tcPr>
            <w:tcW w:type="dxa" w:w="3628"/>
            <w:shd w:val="clear" w:color="auto" w:fill="1F3864"/>
            <w:vAlign w:val="center"/>
          </w:tcPr>
          <w:p>
            <w:pPr>
              <w:spacing w:after="0"/>
              <w:jc w:val="center"/>
            </w:pPr>
            <w:r>
              <w:rPr>
                <w:rFonts w:ascii="游ゴシック" w:hAnsi="游ゴシック" w:eastAsia="游ゴシック"/>
                <w:b/>
                <w:color w:val="FFFFFF"/>
                <w:sz w:val="16"/>
              </w:rPr>
              <w:t>資料</w:t>
            </w:r>
          </w:p>
        </w:tc>
        <w:tc>
          <w:tcPr>
            <w:tcW w:type="dxa" w:w="2835"/>
            <w:shd w:val="clear" w:color="auto" w:fill="1F3864"/>
            <w:vAlign w:val="center"/>
          </w:tcPr>
          <w:p>
            <w:pPr>
              <w:spacing w:after="0"/>
              <w:jc w:val="center"/>
            </w:pPr>
            <w:r>
              <w:rPr>
                <w:rFonts w:ascii="游ゴシック" w:hAnsi="游ゴシック" w:eastAsia="游ゴシック"/>
                <w:b/>
                <w:color w:val="FFFFFF"/>
                <w:sz w:val="16"/>
              </w:rPr>
              <w:t>用途</w:t>
            </w:r>
          </w:p>
        </w:tc>
        <w:tc>
          <w:tcPr>
            <w:tcW w:type="dxa" w:w="1474"/>
            <w:shd w:val="clear" w:color="auto" w:fill="1F3864"/>
            <w:vAlign w:val="center"/>
          </w:tcPr>
          <w:p>
            <w:pPr>
              <w:spacing w:after="0"/>
              <w:jc w:val="center"/>
            </w:pPr>
            <w:r>
              <w:rPr>
                <w:rFonts w:ascii="游ゴシック" w:hAnsi="游ゴシック" w:eastAsia="游ゴシック"/>
                <w:b/>
                <w:color w:val="FFFFFF"/>
                <w:sz w:val="16"/>
              </w:rPr>
              <w:t>お願い先</w:t>
            </w:r>
          </w:p>
        </w:tc>
        <w:tc>
          <w:tcPr>
            <w:tcW w:type="dxa" w:w="1020"/>
            <w:shd w:val="clear" w:color="auto" w:fill="1F3864"/>
            <w:vAlign w:val="center"/>
          </w:tcPr>
          <w:p>
            <w:pPr>
              <w:spacing w:after="0"/>
              <w:jc w:val="center"/>
            </w:pPr>
            <w:r>
              <w:rPr>
                <w:rFonts w:ascii="游ゴシック" w:hAnsi="游ゴシック" w:eastAsia="游ゴシック"/>
                <w:b/>
                <w:color w:val="FFFFFF"/>
                <w:sz w:val="16"/>
              </w:rPr>
              <w:t>期限</w:t>
            </w:r>
          </w:p>
        </w:tc>
      </w:tr>
      <w:tr>
        <w:trPr>
          <w:cantSplit/>
        </w:trPr>
        <w:tc>
          <w:tcPr>
            <w:tcW w:type="dxa" w:w="567"/>
            <w:vAlign w:val="center"/>
          </w:tcPr>
          <w:p>
            <w:pPr>
              <w:spacing w:after="0"/>
              <w:jc w:val="center"/>
            </w:pPr>
            <w:r>
              <w:rPr>
                <w:rFonts w:ascii="游ゴシック" w:hAnsi="游ゴシック" w:eastAsia="游ゴシック"/>
                <w:b w:val="0"/>
                <w:sz w:val="16"/>
              </w:rPr>
              <w:t>3</w:t>
            </w:r>
          </w:p>
        </w:tc>
        <w:tc>
          <w:tcPr>
            <w:tcW w:type="dxa" w:w="3628"/>
            <w:vAlign w:val="center"/>
          </w:tcPr>
          <w:p>
            <w:pPr>
              <w:spacing w:after="0"/>
            </w:pPr>
            <w:r>
              <w:rPr>
                <w:rFonts w:ascii="游ゴシック" w:hAnsi="游ゴシック" w:eastAsia="游ゴシック"/>
                <w:b w:val="0"/>
                <w:sz w:val="16"/>
              </w:rPr>
              <w:t>令和6年・令和7年の町別住民基本台帳人口（年齢4区分別）</w:t>
            </w:r>
          </w:p>
        </w:tc>
        <w:tc>
          <w:tcPr>
            <w:tcW w:type="dxa" w:w="2835"/>
            <w:vAlign w:val="center"/>
          </w:tcPr>
          <w:p>
            <w:pPr>
              <w:spacing w:after="0"/>
            </w:pPr>
            <w:r>
              <w:rPr>
                <w:rFonts w:ascii="游ゴシック" w:hAnsi="游ゴシック" w:eastAsia="游ゴシック"/>
                <w:b w:val="0"/>
                <w:sz w:val="16"/>
              </w:rPr>
              <w:t>東川町の人口推計の乖離の要因、第10期の人口推計の基礎</w:t>
            </w:r>
          </w:p>
        </w:tc>
        <w:tc>
          <w:tcPr>
            <w:tcW w:type="dxa" w:w="1474"/>
            <w:vAlign w:val="center"/>
          </w:tcPr>
          <w:p>
            <w:pPr>
              <w:spacing w:after="0"/>
            </w:pPr>
            <w:r>
              <w:rPr>
                <w:rFonts w:ascii="游ゴシック" w:hAnsi="游ゴシック" w:eastAsia="游ゴシック"/>
                <w:b w:val="0"/>
                <w:sz w:val="16"/>
              </w:rPr>
              <w:t>3町</w:t>
            </w:r>
          </w:p>
        </w:tc>
        <w:tc>
          <w:tcPr>
            <w:tcW w:type="dxa" w:w="1020"/>
            <w:vAlign w:val="center"/>
          </w:tcPr>
          <w:p>
            <w:pPr>
              <w:spacing w:after="0"/>
              <w:jc w:val="center"/>
            </w:pPr>
            <w:r>
              <w:rPr>
                <w:rFonts w:ascii="游ゴシック" w:hAnsi="游ゴシック" w:eastAsia="游ゴシック"/>
                <w:b w:val="0"/>
                <w:sz w:val="16"/>
              </w:rPr>
              <w:t>R8.9</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6"/>
              </w:rPr>
              <w:t>5</w:t>
            </w:r>
          </w:p>
        </w:tc>
        <w:tc>
          <w:tcPr>
            <w:tcW w:type="dxa" w:w="3628"/>
            <w:shd w:val="clear" w:color="auto" w:fill="F2F5FA"/>
            <w:vAlign w:val="center"/>
          </w:tcPr>
          <w:p>
            <w:pPr>
              <w:spacing w:after="0"/>
            </w:pPr>
            <w:r>
              <w:rPr>
                <w:rFonts w:ascii="游ゴシック" w:hAnsi="游ゴシック" w:eastAsia="游ゴシック"/>
                <w:b w:val="0"/>
                <w:sz w:val="16"/>
              </w:rPr>
              <w:t>保険者機能強化推進交付金等の評価調書（令和4〜7年度分）</w:t>
            </w:r>
          </w:p>
        </w:tc>
        <w:tc>
          <w:tcPr>
            <w:tcW w:type="dxa" w:w="2835"/>
            <w:shd w:val="clear" w:color="auto" w:fill="F2F5FA"/>
            <w:vAlign w:val="center"/>
          </w:tcPr>
          <w:p>
            <w:pPr>
              <w:spacing w:after="0"/>
            </w:pPr>
            <w:r>
              <w:rPr>
                <w:rFonts w:ascii="游ゴシック" w:hAnsi="游ゴシック" w:eastAsia="游ゴシック"/>
                <w:b w:val="0"/>
                <w:sz w:val="16"/>
              </w:rPr>
              <w:t>交付金評価の解釈、W144の要因、評価対象期間</w:t>
            </w:r>
          </w:p>
        </w:tc>
        <w:tc>
          <w:tcPr>
            <w:tcW w:type="dxa" w:w="1474"/>
            <w:shd w:val="clear" w:color="auto" w:fill="F2F5FA"/>
            <w:vAlign w:val="center"/>
          </w:tcPr>
          <w:p>
            <w:pPr>
              <w:spacing w:after="0"/>
            </w:pPr>
            <w:r>
              <w:rPr>
                <w:rFonts w:ascii="游ゴシック" w:hAnsi="游ゴシック" w:eastAsia="游ゴシック"/>
                <w:b w:val="0"/>
                <w:sz w:val="16"/>
              </w:rPr>
              <w:t>発注者</w:t>
            </w:r>
          </w:p>
        </w:tc>
        <w:tc>
          <w:tcPr>
            <w:tcW w:type="dxa" w:w="1020"/>
            <w:shd w:val="clear" w:color="auto" w:fill="F2F5FA"/>
            <w:vAlign w:val="center"/>
          </w:tcPr>
          <w:p>
            <w:pPr>
              <w:spacing w:after="0"/>
              <w:jc w:val="center"/>
            </w:pPr>
            <w:r>
              <w:rPr>
                <w:rFonts w:ascii="游ゴシック" w:hAnsi="游ゴシック" w:eastAsia="游ゴシック"/>
                <w:b w:val="0"/>
                <w:sz w:val="16"/>
              </w:rPr>
              <w:t>R8.9</w:t>
            </w:r>
          </w:p>
        </w:tc>
      </w:tr>
      <w:tr>
        <w:trPr>
          <w:cantSplit/>
        </w:trPr>
        <w:tc>
          <w:tcPr>
            <w:tcW w:type="dxa" w:w="567"/>
            <w:vAlign w:val="center"/>
          </w:tcPr>
          <w:p>
            <w:pPr>
              <w:spacing w:after="0"/>
              <w:jc w:val="center"/>
            </w:pPr>
            <w:r>
              <w:rPr>
                <w:rFonts w:ascii="游ゴシック" w:hAnsi="游ゴシック" w:eastAsia="游ゴシック"/>
                <w:b w:val="0"/>
                <w:sz w:val="16"/>
              </w:rPr>
              <w:t>6</w:t>
            </w:r>
          </w:p>
        </w:tc>
        <w:tc>
          <w:tcPr>
            <w:tcW w:type="dxa" w:w="3628"/>
            <w:vAlign w:val="center"/>
          </w:tcPr>
          <w:p>
            <w:pPr>
              <w:spacing w:after="0"/>
            </w:pPr>
            <w:r>
              <w:rPr>
                <w:rFonts w:ascii="游ゴシック" w:hAnsi="游ゴシック" w:eastAsia="游ゴシック"/>
                <w:b w:val="0"/>
                <w:sz w:val="16"/>
              </w:rPr>
              <w:t>国民健康保険団体連合会の給付実績情報と指定事業所台帳（一部解消）</w:t>
            </w:r>
          </w:p>
        </w:tc>
        <w:tc>
          <w:tcPr>
            <w:tcW w:type="dxa" w:w="2835"/>
            <w:vAlign w:val="center"/>
          </w:tcPr>
          <w:p>
            <w:pPr>
              <w:spacing w:after="0"/>
            </w:pPr>
            <w:r>
              <w:rPr>
                <w:rFonts w:ascii="游ゴシック" w:hAnsi="游ゴシック" w:eastAsia="游ゴシック"/>
                <w:b w:val="0"/>
                <w:sz w:val="16"/>
              </w:rPr>
              <w:t>給付水準の要因（区域外利用との関係は無相関と判明）</w:t>
            </w:r>
          </w:p>
        </w:tc>
        <w:tc>
          <w:tcPr>
            <w:tcW w:type="dxa" w:w="1474"/>
            <w:vAlign w:val="center"/>
          </w:tcPr>
          <w:p>
            <w:pPr>
              <w:spacing w:after="0"/>
            </w:pPr>
            <w:r>
              <w:rPr>
                <w:rFonts w:ascii="游ゴシック" w:hAnsi="游ゴシック" w:eastAsia="游ゴシック"/>
                <w:b w:val="0"/>
                <w:sz w:val="16"/>
              </w:rPr>
              <w:t>発注者・国保連</w:t>
            </w:r>
          </w:p>
        </w:tc>
        <w:tc>
          <w:tcPr>
            <w:tcW w:type="dxa" w:w="1020"/>
            <w:vAlign w:val="center"/>
          </w:tcPr>
          <w:p>
            <w:pPr>
              <w:spacing w:after="0"/>
              <w:jc w:val="center"/>
            </w:pPr>
            <w:r>
              <w:rPr>
                <w:rFonts w:ascii="游ゴシック" w:hAnsi="游ゴシック" w:eastAsia="游ゴシック"/>
                <w:b w:val="0"/>
                <w:sz w:val="16"/>
              </w:rPr>
              <w:t>R8.10</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6"/>
              </w:rPr>
              <w:t>7</w:t>
            </w:r>
          </w:p>
        </w:tc>
        <w:tc>
          <w:tcPr>
            <w:tcW w:type="dxa" w:w="3628"/>
            <w:shd w:val="clear" w:color="auto" w:fill="F2F5FA"/>
            <w:vAlign w:val="center"/>
          </w:tcPr>
          <w:p>
            <w:pPr>
              <w:spacing w:after="0"/>
            </w:pPr>
            <w:r>
              <w:rPr>
                <w:rFonts w:ascii="游ゴシック" w:hAnsi="游ゴシック" w:eastAsia="游ゴシック"/>
                <w:b w:val="0"/>
                <w:sz w:val="16"/>
              </w:rPr>
              <w:t>事業所・施設の定員と稼働の実績</w:t>
            </w:r>
          </w:p>
        </w:tc>
        <w:tc>
          <w:tcPr>
            <w:tcW w:type="dxa" w:w="2835"/>
            <w:shd w:val="clear" w:color="auto" w:fill="F2F5FA"/>
            <w:vAlign w:val="center"/>
          </w:tcPr>
          <w:p>
            <w:pPr>
              <w:spacing w:after="0"/>
            </w:pPr>
            <w:r>
              <w:rPr>
                <w:rFonts w:ascii="游ゴシック" w:hAnsi="游ゴシック" w:eastAsia="游ゴシック"/>
                <w:b w:val="0"/>
                <w:sz w:val="16"/>
              </w:rPr>
              <w:t>稼働率の低下の有無、定員減少の経緯</w:t>
            </w:r>
          </w:p>
        </w:tc>
        <w:tc>
          <w:tcPr>
            <w:tcW w:type="dxa" w:w="1474"/>
            <w:shd w:val="clear" w:color="auto" w:fill="F2F5FA"/>
            <w:vAlign w:val="center"/>
          </w:tcPr>
          <w:p>
            <w:pPr>
              <w:spacing w:after="0"/>
            </w:pPr>
            <w:r>
              <w:rPr>
                <w:rFonts w:ascii="游ゴシック" w:hAnsi="游ゴシック" w:eastAsia="游ゴシック"/>
                <w:b w:val="0"/>
                <w:sz w:val="16"/>
              </w:rPr>
              <w:t>発注者・3町</w:t>
            </w:r>
          </w:p>
        </w:tc>
        <w:tc>
          <w:tcPr>
            <w:tcW w:type="dxa" w:w="1020"/>
            <w:shd w:val="clear" w:color="auto" w:fill="F2F5FA"/>
            <w:vAlign w:val="center"/>
          </w:tcPr>
          <w:p>
            <w:pPr>
              <w:spacing w:after="0"/>
              <w:jc w:val="center"/>
            </w:pPr>
            <w:r>
              <w:rPr>
                <w:rFonts w:ascii="游ゴシック" w:hAnsi="游ゴシック" w:eastAsia="游ゴシック"/>
                <w:b w:val="0"/>
                <w:sz w:val="16"/>
              </w:rPr>
              <w:t>R8.10</w:t>
            </w:r>
          </w:p>
        </w:tc>
      </w:tr>
      <w:tr>
        <w:trPr>
          <w:cantSplit/>
        </w:trPr>
        <w:tc>
          <w:tcPr>
            <w:tcW w:type="dxa" w:w="567"/>
            <w:vAlign w:val="center"/>
          </w:tcPr>
          <w:p>
            <w:pPr>
              <w:spacing w:after="0"/>
              <w:jc w:val="center"/>
            </w:pPr>
            <w:r>
              <w:rPr>
                <w:rFonts w:ascii="游ゴシック" w:hAnsi="游ゴシック" w:eastAsia="游ゴシック"/>
                <w:b w:val="0"/>
                <w:sz w:val="16"/>
              </w:rPr>
              <w:t>8</w:t>
            </w:r>
          </w:p>
        </w:tc>
        <w:tc>
          <w:tcPr>
            <w:tcW w:type="dxa" w:w="3628"/>
            <w:vAlign w:val="center"/>
          </w:tcPr>
          <w:p>
            <w:pPr>
              <w:spacing w:after="0"/>
            </w:pPr>
            <w:r>
              <w:rPr>
                <w:rFonts w:ascii="游ゴシック" w:hAnsi="游ゴシック" w:eastAsia="游ゴシック"/>
                <w:b w:val="0"/>
                <w:sz w:val="16"/>
              </w:rPr>
              <w:t>未利用認定者の内訳とケアプランのサービス構成</w:t>
            </w:r>
          </w:p>
        </w:tc>
        <w:tc>
          <w:tcPr>
            <w:tcW w:type="dxa" w:w="2835"/>
            <w:vAlign w:val="center"/>
          </w:tcPr>
          <w:p>
            <w:pPr>
              <w:spacing w:after="0"/>
            </w:pPr>
            <w:r>
              <w:rPr>
                <w:rFonts w:ascii="游ゴシック" w:hAnsi="游ゴシック" w:eastAsia="游ゴシック"/>
                <w:b w:val="0"/>
                <w:sz w:val="16"/>
              </w:rPr>
              <w:t>利用率低下の要因、訪問と通所の代替関係、要介護5の受給率低下の要因</w:t>
            </w:r>
          </w:p>
        </w:tc>
        <w:tc>
          <w:tcPr>
            <w:tcW w:type="dxa" w:w="1474"/>
            <w:vAlign w:val="center"/>
          </w:tcPr>
          <w:p>
            <w:pPr>
              <w:spacing w:after="0"/>
            </w:pPr>
            <w:r>
              <w:rPr>
                <w:rFonts w:ascii="游ゴシック" w:hAnsi="游ゴシック" w:eastAsia="游ゴシック"/>
                <w:b w:val="0"/>
                <w:sz w:val="16"/>
              </w:rPr>
              <w:t>発注者</w:t>
            </w:r>
          </w:p>
        </w:tc>
        <w:tc>
          <w:tcPr>
            <w:tcW w:type="dxa" w:w="1020"/>
            <w:vAlign w:val="center"/>
          </w:tcPr>
          <w:p>
            <w:pPr>
              <w:spacing w:after="0"/>
              <w:jc w:val="center"/>
            </w:pPr>
            <w:r>
              <w:rPr>
                <w:rFonts w:ascii="游ゴシック" w:hAnsi="游ゴシック" w:eastAsia="游ゴシック"/>
                <w:b w:val="0"/>
                <w:sz w:val="16"/>
              </w:rPr>
              <w:t>R8.10</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6"/>
              </w:rPr>
              <w:t>9</w:t>
            </w:r>
          </w:p>
        </w:tc>
        <w:tc>
          <w:tcPr>
            <w:tcW w:type="dxa" w:w="3628"/>
            <w:shd w:val="clear" w:color="auto" w:fill="F2F5FA"/>
            <w:vAlign w:val="center"/>
          </w:tcPr>
          <w:p>
            <w:pPr>
              <w:spacing w:after="0"/>
            </w:pPr>
            <w:r>
              <w:rPr>
                <w:rFonts w:ascii="游ゴシック" w:hAnsi="游ゴシック" w:eastAsia="游ゴシック"/>
                <w:b w:val="0"/>
                <w:sz w:val="16"/>
              </w:rPr>
              <w:t>決算書及び介護給付費準備基金の積立・取崩実績</w:t>
            </w:r>
          </w:p>
        </w:tc>
        <w:tc>
          <w:tcPr>
            <w:tcW w:type="dxa" w:w="2835"/>
            <w:shd w:val="clear" w:color="auto" w:fill="F2F5FA"/>
            <w:vAlign w:val="center"/>
          </w:tcPr>
          <w:p>
            <w:pPr>
              <w:spacing w:after="0"/>
            </w:pPr>
            <w:r>
              <w:rPr>
                <w:rFonts w:ascii="游ゴシック" w:hAnsi="游ゴシック" w:eastAsia="游ゴシック"/>
                <w:b w:val="0"/>
                <w:sz w:val="16"/>
              </w:rPr>
              <w:t>第9期の剰余額（現在は概算）</w:t>
            </w:r>
          </w:p>
        </w:tc>
        <w:tc>
          <w:tcPr>
            <w:tcW w:type="dxa" w:w="1474"/>
            <w:shd w:val="clear" w:color="auto" w:fill="F2F5FA"/>
            <w:vAlign w:val="center"/>
          </w:tcPr>
          <w:p>
            <w:pPr>
              <w:spacing w:after="0"/>
            </w:pPr>
            <w:r>
              <w:rPr>
                <w:rFonts w:ascii="游ゴシック" w:hAnsi="游ゴシック" w:eastAsia="游ゴシック"/>
                <w:b w:val="0"/>
                <w:sz w:val="16"/>
              </w:rPr>
              <w:t>発注者</w:t>
            </w:r>
          </w:p>
        </w:tc>
        <w:tc>
          <w:tcPr>
            <w:tcW w:type="dxa" w:w="1020"/>
            <w:shd w:val="clear" w:color="auto" w:fill="F2F5FA"/>
            <w:vAlign w:val="center"/>
          </w:tcPr>
          <w:p>
            <w:pPr>
              <w:spacing w:after="0"/>
              <w:jc w:val="center"/>
            </w:pPr>
            <w:r>
              <w:rPr>
                <w:rFonts w:ascii="游ゴシック" w:hAnsi="游ゴシック" w:eastAsia="游ゴシック"/>
                <w:b w:val="0"/>
                <w:sz w:val="16"/>
              </w:rPr>
              <w:t>R8.10</w:t>
            </w:r>
          </w:p>
        </w:tc>
      </w:tr>
      <w:tr>
        <w:trPr>
          <w:cantSplit/>
        </w:trPr>
        <w:tc>
          <w:tcPr>
            <w:tcW w:type="dxa" w:w="567"/>
            <w:vAlign w:val="center"/>
          </w:tcPr>
          <w:p>
            <w:pPr>
              <w:spacing w:after="0"/>
              <w:jc w:val="center"/>
            </w:pPr>
            <w:r>
              <w:rPr>
                <w:rFonts w:ascii="游ゴシック" w:hAnsi="游ゴシック" w:eastAsia="游ゴシック"/>
                <w:b w:val="0"/>
                <w:sz w:val="16"/>
              </w:rPr>
              <w:t>11</w:t>
            </w:r>
          </w:p>
        </w:tc>
        <w:tc>
          <w:tcPr>
            <w:tcW w:type="dxa" w:w="3628"/>
            <w:vAlign w:val="center"/>
          </w:tcPr>
          <w:p>
            <w:pPr>
              <w:spacing w:after="0"/>
            </w:pPr>
            <w:r>
              <w:rPr>
                <w:rFonts w:ascii="游ゴシック" w:hAnsi="游ゴシック" w:eastAsia="游ゴシック"/>
                <w:b w:val="0"/>
                <w:sz w:val="16"/>
              </w:rPr>
              <w:t>第10期の政令改正の内容（所得段階・乗率・負担割合）</w:t>
            </w:r>
          </w:p>
        </w:tc>
        <w:tc>
          <w:tcPr>
            <w:tcW w:type="dxa" w:w="2835"/>
            <w:vAlign w:val="center"/>
          </w:tcPr>
          <w:p>
            <w:pPr>
              <w:spacing w:after="0"/>
            </w:pPr>
            <w:r>
              <w:rPr>
                <w:rFonts w:ascii="游ゴシック" w:hAnsi="游ゴシック" w:eastAsia="游ゴシック"/>
                <w:b w:val="0"/>
                <w:sz w:val="16"/>
              </w:rPr>
              <w:t>第10期の段階設計と保険料算定</w:t>
            </w:r>
          </w:p>
        </w:tc>
        <w:tc>
          <w:tcPr>
            <w:tcW w:type="dxa" w:w="1474"/>
            <w:vAlign w:val="center"/>
          </w:tcPr>
          <w:p>
            <w:pPr>
              <w:spacing w:after="0"/>
            </w:pPr>
            <w:r>
              <w:rPr>
                <w:rFonts w:ascii="游ゴシック" w:hAnsi="游ゴシック" w:eastAsia="游ゴシック"/>
                <w:b w:val="0"/>
                <w:sz w:val="16"/>
              </w:rPr>
              <w:t>国の情報</w:t>
            </w:r>
          </w:p>
        </w:tc>
        <w:tc>
          <w:tcPr>
            <w:tcW w:type="dxa" w:w="1020"/>
            <w:vAlign w:val="center"/>
          </w:tcPr>
          <w:p>
            <w:pPr>
              <w:spacing w:after="0"/>
              <w:jc w:val="center"/>
            </w:pPr>
            <w:r>
              <w:rPr>
                <w:rFonts w:ascii="游ゴシック" w:hAnsi="游ゴシック" w:eastAsia="游ゴシック"/>
                <w:b w:val="0"/>
                <w:sz w:val="16"/>
              </w:rPr>
              <w:t>告示後</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6"/>
              </w:rPr>
              <w:t>14</w:t>
            </w:r>
          </w:p>
        </w:tc>
        <w:tc>
          <w:tcPr>
            <w:tcW w:type="dxa" w:w="3628"/>
            <w:shd w:val="clear" w:color="auto" w:fill="F2F5FA"/>
            <w:vAlign w:val="center"/>
          </w:tcPr>
          <w:p>
            <w:pPr>
              <w:spacing w:after="0"/>
            </w:pPr>
            <w:r>
              <w:rPr>
                <w:rFonts w:ascii="游ゴシック" w:hAnsi="游ゴシック" w:eastAsia="游ゴシック"/>
                <w:b w:val="0"/>
                <w:sz w:val="16"/>
              </w:rPr>
              <w:t>在宅生活改善調査・居所変更実態調査・介護人材実態調査の第10期分</w:t>
            </w:r>
          </w:p>
        </w:tc>
        <w:tc>
          <w:tcPr>
            <w:tcW w:type="dxa" w:w="2835"/>
            <w:shd w:val="clear" w:color="auto" w:fill="F2F5FA"/>
            <w:vAlign w:val="center"/>
          </w:tcPr>
          <w:p>
            <w:pPr>
              <w:spacing w:after="0"/>
            </w:pPr>
            <w:r>
              <w:rPr>
                <w:rFonts w:ascii="游ゴシック" w:hAnsi="游ゴシック" w:eastAsia="游ゴシック"/>
                <w:b w:val="0"/>
                <w:sz w:val="16"/>
              </w:rPr>
              <w:t>4調査横断のクロス集計、H06・H11・H13・H14の基準値</w:t>
            </w:r>
          </w:p>
        </w:tc>
        <w:tc>
          <w:tcPr>
            <w:tcW w:type="dxa" w:w="1474"/>
            <w:shd w:val="clear" w:color="auto" w:fill="F2F5FA"/>
            <w:vAlign w:val="center"/>
          </w:tcPr>
          <w:p>
            <w:pPr>
              <w:spacing w:after="0"/>
            </w:pPr>
            <w:r>
              <w:rPr>
                <w:rFonts w:ascii="游ゴシック" w:hAnsi="游ゴシック" w:eastAsia="游ゴシック"/>
                <w:b w:val="0"/>
                <w:sz w:val="16"/>
              </w:rPr>
              <w:t>発注者</w:t>
            </w:r>
          </w:p>
        </w:tc>
        <w:tc>
          <w:tcPr>
            <w:tcW w:type="dxa" w:w="1020"/>
            <w:shd w:val="clear" w:color="auto" w:fill="F2F5FA"/>
            <w:vAlign w:val="center"/>
          </w:tcPr>
          <w:p>
            <w:pPr>
              <w:spacing w:after="0"/>
              <w:jc w:val="center"/>
            </w:pPr>
            <w:r>
              <w:rPr>
                <w:rFonts w:ascii="游ゴシック" w:hAnsi="游ゴシック" w:eastAsia="游ゴシック"/>
                <w:b w:val="0"/>
                <w:sz w:val="16"/>
              </w:rPr>
              <w:t>R8.8</w:t>
            </w:r>
          </w:p>
        </w:tc>
      </w:tr>
      <w:tr>
        <w:trPr>
          <w:cantSplit/>
        </w:trPr>
        <w:tc>
          <w:tcPr>
            <w:tcW w:type="dxa" w:w="567"/>
            <w:vAlign w:val="center"/>
          </w:tcPr>
          <w:p>
            <w:pPr>
              <w:spacing w:after="0"/>
              <w:jc w:val="center"/>
            </w:pPr>
            <w:r>
              <w:rPr>
                <w:rFonts w:ascii="游ゴシック" w:hAnsi="游ゴシック" w:eastAsia="游ゴシック"/>
                <w:b w:val="0"/>
                <w:sz w:val="16"/>
              </w:rPr>
              <w:t>17</w:t>
            </w:r>
          </w:p>
        </w:tc>
        <w:tc>
          <w:tcPr>
            <w:tcW w:type="dxa" w:w="3628"/>
            <w:vAlign w:val="center"/>
          </w:tcPr>
          <w:p>
            <w:pPr>
              <w:spacing w:after="0"/>
            </w:pPr>
            <w:r>
              <w:rPr>
                <w:rFonts w:ascii="游ゴシック" w:hAnsi="游ゴシック" w:eastAsia="游ゴシック"/>
                <w:b w:val="0"/>
                <w:sz w:val="16"/>
              </w:rPr>
              <w:t>町別・サービス区分別の給付費（令和4〜7年度）</w:t>
            </w:r>
          </w:p>
        </w:tc>
        <w:tc>
          <w:tcPr>
            <w:tcW w:type="dxa" w:w="2835"/>
            <w:vAlign w:val="center"/>
          </w:tcPr>
          <w:p>
            <w:pPr>
              <w:spacing w:after="0"/>
            </w:pPr>
            <w:r>
              <w:rPr>
                <w:rFonts w:ascii="游ゴシック" w:hAnsi="游ゴシック" w:eastAsia="游ゴシック"/>
                <w:b w:val="0"/>
                <w:sz w:val="16"/>
              </w:rPr>
              <w:t>給付費の地域内還流の議論</w:t>
            </w:r>
          </w:p>
        </w:tc>
        <w:tc>
          <w:tcPr>
            <w:tcW w:type="dxa" w:w="1474"/>
            <w:vAlign w:val="center"/>
          </w:tcPr>
          <w:p>
            <w:pPr>
              <w:spacing w:after="0"/>
            </w:pPr>
            <w:r>
              <w:rPr>
                <w:rFonts w:ascii="游ゴシック" w:hAnsi="游ゴシック" w:eastAsia="游ゴシック"/>
                <w:b w:val="0"/>
                <w:sz w:val="16"/>
              </w:rPr>
              <w:t>発注者・国保連</w:t>
            </w:r>
          </w:p>
        </w:tc>
        <w:tc>
          <w:tcPr>
            <w:tcW w:type="dxa" w:w="1020"/>
            <w:vAlign w:val="center"/>
          </w:tcPr>
          <w:p>
            <w:pPr>
              <w:spacing w:after="0"/>
              <w:jc w:val="center"/>
            </w:pPr>
            <w:r>
              <w:rPr>
                <w:rFonts w:ascii="游ゴシック" w:hAnsi="游ゴシック" w:eastAsia="游ゴシック"/>
                <w:b w:val="0"/>
                <w:sz w:val="16"/>
              </w:rPr>
              <w:t>R8.10</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6"/>
              </w:rPr>
              <w:t>18</w:t>
            </w:r>
          </w:p>
        </w:tc>
        <w:tc>
          <w:tcPr>
            <w:tcW w:type="dxa" w:w="3628"/>
            <w:shd w:val="clear" w:color="auto" w:fill="F2F5FA"/>
            <w:vAlign w:val="center"/>
          </w:tcPr>
          <w:p>
            <w:pPr>
              <w:spacing w:after="0"/>
            </w:pPr>
            <w:r>
              <w:rPr>
                <w:rFonts w:ascii="游ゴシック" w:hAnsi="游ゴシック" w:eastAsia="游ゴシック"/>
                <w:b w:val="0"/>
                <w:sz w:val="16"/>
              </w:rPr>
              <w:t>指定事業所台帳（区域外事業所の所在地、区域内の地域密着型事業所）</w:t>
            </w:r>
          </w:p>
        </w:tc>
        <w:tc>
          <w:tcPr>
            <w:tcW w:type="dxa" w:w="2835"/>
            <w:shd w:val="clear" w:color="auto" w:fill="F2F5FA"/>
            <w:vAlign w:val="center"/>
          </w:tcPr>
          <w:p>
            <w:pPr>
              <w:spacing w:after="0"/>
            </w:pPr>
            <w:r>
              <w:rPr>
                <w:rFonts w:ascii="游ゴシック" w:hAnsi="游ゴシック" w:eastAsia="游ゴシック"/>
                <w:b w:val="0"/>
                <w:sz w:val="16"/>
              </w:rPr>
              <w:t>区域外利用の内訳、認知症対応型共同生活介護の区域内定員、居所変更実態調査の定員ベースの把握率</w:t>
            </w:r>
          </w:p>
        </w:tc>
        <w:tc>
          <w:tcPr>
            <w:tcW w:type="dxa" w:w="1474"/>
            <w:shd w:val="clear" w:color="auto" w:fill="F2F5FA"/>
            <w:vAlign w:val="center"/>
          </w:tcPr>
          <w:p>
            <w:pPr>
              <w:spacing w:after="0"/>
            </w:pPr>
            <w:r>
              <w:rPr>
                <w:rFonts w:ascii="游ゴシック" w:hAnsi="游ゴシック" w:eastAsia="游ゴシック"/>
                <w:b w:val="0"/>
                <w:sz w:val="16"/>
              </w:rPr>
              <w:t>発注者・国保連</w:t>
            </w:r>
          </w:p>
        </w:tc>
        <w:tc>
          <w:tcPr>
            <w:tcW w:type="dxa" w:w="1020"/>
            <w:shd w:val="clear" w:color="auto" w:fill="F2F5FA"/>
            <w:vAlign w:val="center"/>
          </w:tcPr>
          <w:p>
            <w:pPr>
              <w:spacing w:after="0"/>
              <w:jc w:val="center"/>
            </w:pPr>
            <w:r>
              <w:rPr>
                <w:rFonts w:ascii="游ゴシック" w:hAnsi="游ゴシック" w:eastAsia="游ゴシック"/>
                <w:b w:val="0"/>
                <w:sz w:val="16"/>
              </w:rPr>
              <w:t>R8.10</w:t>
            </w:r>
          </w:p>
        </w:tc>
      </w:tr>
      <w:tr>
        <w:trPr>
          <w:cantSplit/>
        </w:trPr>
        <w:tc>
          <w:tcPr>
            <w:tcW w:type="dxa" w:w="567"/>
            <w:vAlign w:val="center"/>
          </w:tcPr>
          <w:p>
            <w:pPr>
              <w:spacing w:after="0"/>
              <w:jc w:val="center"/>
            </w:pPr>
            <w:r>
              <w:rPr>
                <w:rFonts w:ascii="游ゴシック" w:hAnsi="游ゴシック" w:eastAsia="游ゴシック"/>
                <w:b w:val="0"/>
                <w:sz w:val="16"/>
              </w:rPr>
              <w:t>23</w:t>
            </w:r>
          </w:p>
        </w:tc>
        <w:tc>
          <w:tcPr>
            <w:tcW w:type="dxa" w:w="3628"/>
            <w:vAlign w:val="center"/>
          </w:tcPr>
          <w:p>
            <w:pPr>
              <w:spacing w:after="0"/>
            </w:pPr>
            <w:r>
              <w:rPr>
                <w:rFonts w:ascii="游ゴシック" w:hAnsi="游ゴシック" w:eastAsia="游ゴシック"/>
                <w:b w:val="0"/>
                <w:sz w:val="16"/>
              </w:rPr>
              <w:t>給付実績データ（サービス別の利用者数・利用日数等）（令和5年度〜令和7年度）</w:t>
            </w:r>
          </w:p>
        </w:tc>
        <w:tc>
          <w:tcPr>
            <w:tcW w:type="dxa" w:w="2835"/>
            <w:vAlign w:val="center"/>
          </w:tcPr>
          <w:p>
            <w:pPr>
              <w:spacing w:after="0"/>
            </w:pPr>
            <w:r>
              <w:rPr>
                <w:rFonts w:ascii="游ゴシック" w:hAnsi="游ゴシック" w:eastAsia="游ゴシック"/>
                <w:b w:val="0"/>
                <w:sz w:val="16"/>
              </w:rPr>
              <w:t>第2段階の見込量の精緻化、第3段階の給付費の算定</w:t>
            </w:r>
          </w:p>
        </w:tc>
        <w:tc>
          <w:tcPr>
            <w:tcW w:type="dxa" w:w="1474"/>
            <w:vAlign w:val="center"/>
          </w:tcPr>
          <w:p>
            <w:pPr>
              <w:spacing w:after="0"/>
            </w:pPr>
            <w:r>
              <w:rPr>
                <w:rFonts w:ascii="游ゴシック" w:hAnsi="游ゴシック" w:eastAsia="游ゴシック"/>
                <w:b w:val="0"/>
                <w:sz w:val="16"/>
              </w:rPr>
              <w:t>発注者</w:t>
            </w:r>
          </w:p>
        </w:tc>
        <w:tc>
          <w:tcPr>
            <w:tcW w:type="dxa" w:w="1020"/>
            <w:vAlign w:val="center"/>
          </w:tcPr>
          <w:p>
            <w:pPr>
              <w:spacing w:after="0"/>
              <w:jc w:val="center"/>
            </w:pPr>
            <w:r>
              <w:rPr>
                <w:rFonts w:ascii="游ゴシック" w:hAnsi="游ゴシック" w:eastAsia="游ゴシック"/>
                <w:b w:val="0"/>
                <w:sz w:val="16"/>
              </w:rPr>
              <w:t>R8.8.31</w:t>
            </w:r>
          </w:p>
        </w:tc>
      </w:tr>
      <w:tr>
        <w:trPr>
          <w:cantSplit/>
        </w:trPr>
        <w:tc>
          <w:tcPr>
            <w:tcW w:type="dxa" w:w="567"/>
            <w:shd w:val="clear" w:color="auto" w:fill="F2F5FA"/>
            <w:vAlign w:val="center"/>
          </w:tcPr>
          <w:p>
            <w:pPr>
              <w:spacing w:after="0"/>
              <w:jc w:val="center"/>
            </w:pPr>
            <w:r>
              <w:rPr>
                <w:rFonts w:ascii="游ゴシック" w:hAnsi="游ゴシック" w:eastAsia="游ゴシック"/>
                <w:b w:val="0"/>
                <w:sz w:val="16"/>
              </w:rPr>
              <w:t>19</w:t>
            </w:r>
          </w:p>
        </w:tc>
        <w:tc>
          <w:tcPr>
            <w:tcW w:type="dxa" w:w="3628"/>
            <w:shd w:val="clear" w:color="auto" w:fill="F2F5FA"/>
            <w:vAlign w:val="center"/>
          </w:tcPr>
          <w:p>
            <w:pPr>
              <w:spacing w:after="0"/>
            </w:pPr>
            <w:r>
              <w:rPr>
                <w:rFonts w:ascii="游ゴシック" w:hAnsi="游ゴシック" w:eastAsia="游ゴシック"/>
                <w:b w:val="0"/>
                <w:sz w:val="16"/>
              </w:rPr>
              <w:t>居住系・施設サービスの種別別受給者数と総合事業の実績</w:t>
            </w:r>
          </w:p>
        </w:tc>
        <w:tc>
          <w:tcPr>
            <w:tcW w:type="dxa" w:w="2835"/>
            <w:shd w:val="clear" w:color="auto" w:fill="F2F5FA"/>
            <w:vAlign w:val="center"/>
          </w:tcPr>
          <w:p>
            <w:pPr>
              <w:spacing w:after="0"/>
            </w:pPr>
            <w:r>
              <w:rPr>
                <w:rFonts w:ascii="游ゴシック" w:hAnsi="游ゴシック" w:eastAsia="游ゴシック"/>
                <w:b w:val="0"/>
                <w:sz w:val="16"/>
              </w:rPr>
              <w:t>サービス種別ごとの見込量の様式</w:t>
            </w:r>
          </w:p>
        </w:tc>
        <w:tc>
          <w:tcPr>
            <w:tcW w:type="dxa" w:w="1474"/>
            <w:shd w:val="clear" w:color="auto" w:fill="F2F5FA"/>
            <w:vAlign w:val="center"/>
          </w:tcPr>
          <w:p>
            <w:pPr>
              <w:spacing w:after="0"/>
            </w:pPr>
            <w:r>
              <w:rPr>
                <w:rFonts w:ascii="游ゴシック" w:hAnsi="游ゴシック" w:eastAsia="游ゴシック"/>
                <w:b w:val="0"/>
                <w:sz w:val="16"/>
              </w:rPr>
              <w:t>発注者</w:t>
            </w:r>
          </w:p>
        </w:tc>
        <w:tc>
          <w:tcPr>
            <w:tcW w:type="dxa" w:w="1020"/>
            <w:shd w:val="clear" w:color="auto" w:fill="F2F5FA"/>
            <w:vAlign w:val="center"/>
          </w:tcPr>
          <w:p>
            <w:pPr>
              <w:spacing w:after="0"/>
              <w:jc w:val="center"/>
            </w:pPr>
            <w:r>
              <w:rPr>
                <w:rFonts w:ascii="游ゴシック" w:hAnsi="游ゴシック" w:eastAsia="游ゴシック"/>
                <w:b w:val="0"/>
                <w:sz w:val="16"/>
              </w:rPr>
              <w:t>R8.10</w:t>
            </w:r>
          </w:p>
        </w:tc>
      </w:tr>
    </w:tbl>
    <w:p>
      <w:pPr>
        <w:spacing w:after="80"/>
      </w:pPr>
      <w:r>
        <w:rPr>
          <w:rFonts w:ascii="游ゴシック" w:hAnsi="游ゴシック" w:eastAsia="游ゴシック"/>
          <w:b w:val="0"/>
          <w:sz w:val="17"/>
        </w:rPr>
        <w:t>資料：業務工程管理表 06_資料提供依頼</w:t>
      </w:r>
    </w:p>
    <w:p>
      <w:pPr>
        <w:keepNext/>
        <w:pageBreakBefore w:val="0"/>
        <w:spacing w:before="280" w:after="120"/>
      </w:pPr>
      <w:r>
        <w:rPr>
          <w:rFonts w:ascii="游ゴシック" w:hAnsi="游ゴシック" w:eastAsia="游ゴシック"/>
          <w:b/>
          <w:color w:val="1F3864"/>
          <w:sz w:val="26"/>
        </w:rPr>
        <w:t>第11節　10月以降の進め方</w:t>
      </w:r>
    </w:p>
    <w:p>
      <w:pPr>
        <w:keepNext/>
        <w:spacing w:before="160" w:after="40"/>
      </w:pPr>
      <w:r>
        <w:rPr>
          <w:rFonts w:ascii="游ゴシック" w:hAnsi="游ゴシック" w:eastAsia="游ゴシック"/>
          <w:b/>
          <w:sz w:val="20"/>
        </w:rPr>
        <w:t>表30　工程</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2268"/>
            <w:shd w:val="clear" w:color="auto" w:fill="1F3864"/>
            <w:vAlign w:val="center"/>
          </w:tcPr>
          <w:p>
            <w:pPr>
              <w:keepNext/>
              <w:spacing w:after="0"/>
              <w:jc w:val="center"/>
            </w:pPr>
            <w:r>
              <w:rPr>
                <w:rFonts w:ascii="游ゴシック" w:hAnsi="游ゴシック" w:eastAsia="游ゴシック"/>
                <w:b/>
                <w:color w:val="FFFFFF"/>
                <w:sz w:val="18"/>
              </w:rPr>
              <w:t>時期</w:t>
            </w:r>
          </w:p>
        </w:tc>
        <w:tc>
          <w:tcPr>
            <w:tcW w:type="dxa" w:w="4082"/>
            <w:shd w:val="clear" w:color="auto" w:fill="1F3864"/>
            <w:vAlign w:val="center"/>
          </w:tcPr>
          <w:p>
            <w:pPr>
              <w:keepNext/>
              <w:spacing w:after="0"/>
              <w:jc w:val="center"/>
            </w:pPr>
            <w:r>
              <w:rPr>
                <w:rFonts w:ascii="游ゴシック" w:hAnsi="游ゴシック" w:eastAsia="游ゴシック"/>
                <w:b/>
                <w:color w:val="FFFFFF"/>
                <w:sz w:val="18"/>
              </w:rPr>
              <w:t>内容</w:t>
            </w:r>
          </w:p>
        </w:tc>
        <w:tc>
          <w:tcPr>
            <w:tcW w:type="dxa" w:w="3288"/>
            <w:shd w:val="clear" w:color="auto" w:fill="1F3864"/>
            <w:vAlign w:val="center"/>
          </w:tcPr>
          <w:p>
            <w:pPr>
              <w:keepNext/>
              <w:spacing w:after="0"/>
              <w:jc w:val="center"/>
            </w:pPr>
            <w:r>
              <w:rPr>
                <w:rFonts w:ascii="游ゴシック" w:hAnsi="游ゴシック" w:eastAsia="游ゴシック"/>
                <w:b/>
                <w:color w:val="FFFFFF"/>
                <w:sz w:val="18"/>
              </w:rPr>
              <w:t>成果物</w:t>
            </w:r>
          </w:p>
        </w:tc>
      </w:tr>
      <w:tr>
        <w:trPr>
          <w:cantSplit/>
        </w:trPr>
        <w:tc>
          <w:tcPr>
            <w:tcW w:type="dxa" w:w="2268"/>
            <w:vAlign w:val="center"/>
          </w:tcPr>
          <w:p>
            <w:pPr>
              <w:keepNext/>
              <w:spacing w:after="0"/>
            </w:pPr>
            <w:r>
              <w:rPr>
                <w:rFonts w:ascii="游ゴシック" w:hAnsi="游ゴシック" w:eastAsia="游ゴシック"/>
                <w:b/>
                <w:sz w:val="18"/>
              </w:rPr>
              <w:t>令和8年10月上旬</w:t>
            </w:r>
          </w:p>
        </w:tc>
        <w:tc>
          <w:tcPr>
            <w:tcW w:type="dxa" w:w="4082"/>
            <w:vAlign w:val="center"/>
          </w:tcPr>
          <w:p>
            <w:pPr>
              <w:keepNext/>
              <w:spacing w:after="0"/>
            </w:pPr>
            <w:r>
              <w:rPr>
                <w:rFonts w:ascii="游ゴシック" w:hAnsi="游ゴシック" w:eastAsia="游ゴシック"/>
                <w:b w:val="0"/>
                <w:sz w:val="18"/>
              </w:rPr>
              <w:t>3町合同の意見交換会（本資料）</w:t>
            </w:r>
          </w:p>
        </w:tc>
        <w:tc>
          <w:tcPr>
            <w:tcW w:type="dxa" w:w="3288"/>
            <w:vAlign w:val="center"/>
          </w:tcPr>
          <w:p>
            <w:pPr>
              <w:keepNext/>
              <w:spacing w:after="0"/>
            </w:pPr>
            <w:r>
              <w:rPr>
                <w:rFonts w:ascii="游ゴシック" w:hAnsi="游ゴシック" w:eastAsia="游ゴシック"/>
                <w:b w:val="0"/>
                <w:sz w:val="18"/>
              </w:rPr>
              <w:t>共通30件のご決定</w:t>
            </w:r>
          </w:p>
        </w:tc>
      </w:tr>
      <w:tr>
        <w:trPr>
          <w:cantSplit/>
        </w:trPr>
        <w:tc>
          <w:tcPr>
            <w:tcW w:type="dxa" w:w="2268"/>
            <w:shd w:val="clear" w:color="auto" w:fill="F2F5FA"/>
            <w:vAlign w:val="center"/>
          </w:tcPr>
          <w:p>
            <w:pPr>
              <w:keepNext/>
              <w:spacing w:after="0"/>
            </w:pPr>
            <w:r>
              <w:rPr>
                <w:rFonts w:ascii="游ゴシック" w:hAnsi="游ゴシック" w:eastAsia="游ゴシック"/>
                <w:b/>
                <w:sz w:val="18"/>
              </w:rPr>
              <w:t>令和8年10月中旬から下旬</w:t>
            </w:r>
          </w:p>
        </w:tc>
        <w:tc>
          <w:tcPr>
            <w:tcW w:type="dxa" w:w="4082"/>
            <w:shd w:val="clear" w:color="auto" w:fill="F2F5FA"/>
            <w:vAlign w:val="center"/>
          </w:tcPr>
          <w:p>
            <w:pPr>
              <w:keepNext/>
              <w:spacing w:after="0"/>
            </w:pPr>
            <w:r>
              <w:rPr>
                <w:rFonts w:ascii="游ゴシック" w:hAnsi="游ゴシック" w:eastAsia="游ゴシック"/>
                <w:b w:val="0"/>
                <w:sz w:val="18"/>
              </w:rPr>
              <w:t>町ごとの個別協議</w:t>
            </w:r>
          </w:p>
        </w:tc>
        <w:tc>
          <w:tcPr>
            <w:tcW w:type="dxa" w:w="3288"/>
            <w:shd w:val="clear" w:color="auto" w:fill="F2F5FA"/>
            <w:vAlign w:val="center"/>
          </w:tcPr>
          <w:p>
            <w:pPr>
              <w:keepNext/>
              <w:spacing w:after="0"/>
            </w:pPr>
            <w:r>
              <w:rPr>
                <w:rFonts w:ascii="游ゴシック" w:hAnsi="游ゴシック" w:eastAsia="游ゴシック"/>
                <w:b w:val="0"/>
                <w:sz w:val="18"/>
              </w:rPr>
              <w:t>町ごと11件のご決定</w:t>
            </w:r>
          </w:p>
        </w:tc>
      </w:tr>
      <w:tr>
        <w:trPr>
          <w:cantSplit/>
        </w:trPr>
        <w:tc>
          <w:tcPr>
            <w:tcW w:type="dxa" w:w="2268"/>
            <w:vAlign w:val="center"/>
          </w:tcPr>
          <w:p>
            <w:pPr>
              <w:keepNext/>
              <w:spacing w:after="0"/>
            </w:pPr>
            <w:r>
              <w:rPr>
                <w:rFonts w:ascii="游ゴシック" w:hAnsi="游ゴシック" w:eastAsia="游ゴシック"/>
                <w:b/>
                <w:sz w:val="18"/>
              </w:rPr>
              <w:t>令和8年10月30日</w:t>
            </w:r>
          </w:p>
        </w:tc>
        <w:tc>
          <w:tcPr>
            <w:tcW w:type="dxa" w:w="4082"/>
            <w:vAlign w:val="center"/>
          </w:tcPr>
          <w:p>
            <w:pPr>
              <w:keepNext/>
              <w:spacing w:after="0"/>
            </w:pPr>
            <w:r>
              <w:rPr>
                <w:rFonts w:ascii="游ゴシック" w:hAnsi="游ゴシック" w:eastAsia="游ゴシック"/>
                <w:b w:val="0"/>
                <w:sz w:val="18"/>
              </w:rPr>
              <w:t>サービス見込量 第2次概算</w:t>
            </w:r>
          </w:p>
        </w:tc>
        <w:tc>
          <w:tcPr>
            <w:tcW w:type="dxa" w:w="3288"/>
            <w:vAlign w:val="center"/>
          </w:tcPr>
          <w:p>
            <w:pPr>
              <w:keepNext/>
              <w:spacing w:after="0"/>
            </w:pPr>
            <w:r>
              <w:rPr>
                <w:rFonts w:ascii="游ゴシック" w:hAnsi="游ゴシック" w:eastAsia="游ゴシック"/>
                <w:b w:val="0"/>
                <w:sz w:val="18"/>
              </w:rPr>
              <w:t>見込量・給付費・保険料の第2次概算</w:t>
            </w:r>
          </w:p>
        </w:tc>
      </w:tr>
      <w:tr>
        <w:trPr>
          <w:cantSplit/>
        </w:trPr>
        <w:tc>
          <w:tcPr>
            <w:tcW w:type="dxa" w:w="2268"/>
            <w:shd w:val="clear" w:color="auto" w:fill="F2F5FA"/>
            <w:vAlign w:val="center"/>
          </w:tcPr>
          <w:p>
            <w:pPr>
              <w:keepNext/>
              <w:spacing w:after="0"/>
            </w:pPr>
            <w:r>
              <w:rPr>
                <w:rFonts w:ascii="游ゴシック" w:hAnsi="游ゴシック" w:eastAsia="游ゴシック"/>
                <w:b/>
                <w:sz w:val="18"/>
              </w:rPr>
              <w:t>令和8年11月13日</w:t>
            </w:r>
          </w:p>
        </w:tc>
        <w:tc>
          <w:tcPr>
            <w:tcW w:type="dxa" w:w="4082"/>
            <w:shd w:val="clear" w:color="auto" w:fill="F2F5FA"/>
            <w:vAlign w:val="center"/>
          </w:tcPr>
          <w:p>
            <w:pPr>
              <w:keepNext/>
              <w:spacing w:after="0"/>
            </w:pPr>
            <w:r>
              <w:rPr>
                <w:rFonts w:ascii="游ゴシック" w:hAnsi="游ゴシック" w:eastAsia="游ゴシック"/>
                <w:b w:val="0"/>
                <w:sz w:val="18"/>
              </w:rPr>
              <w:t>予算編成用の資料</w:t>
            </w:r>
          </w:p>
        </w:tc>
        <w:tc>
          <w:tcPr>
            <w:tcW w:type="dxa" w:w="3288"/>
            <w:shd w:val="clear" w:color="auto" w:fill="F2F5FA"/>
            <w:vAlign w:val="center"/>
          </w:tcPr>
          <w:p>
            <w:pPr>
              <w:keepNext/>
              <w:spacing w:after="0"/>
            </w:pPr>
            <w:r>
              <w:rPr>
                <w:rFonts w:ascii="游ゴシック" w:hAnsi="游ゴシック" w:eastAsia="游ゴシック"/>
                <w:b w:val="0"/>
                <w:sz w:val="18"/>
              </w:rPr>
              <w:t>令和9年度予算に用いる給付費</w:t>
            </w:r>
          </w:p>
        </w:tc>
      </w:tr>
      <w:tr>
        <w:trPr>
          <w:cantSplit/>
        </w:trPr>
        <w:tc>
          <w:tcPr>
            <w:tcW w:type="dxa" w:w="2268"/>
            <w:vAlign w:val="center"/>
          </w:tcPr>
          <w:p>
            <w:pPr>
              <w:keepNext/>
              <w:spacing w:after="0"/>
            </w:pPr>
            <w:r>
              <w:rPr>
                <w:rFonts w:ascii="游ゴシック" w:hAnsi="游ゴシック" w:eastAsia="游ゴシック"/>
                <w:b/>
                <w:sz w:val="18"/>
              </w:rPr>
              <w:t>令和8年11月</w:t>
            </w:r>
          </w:p>
        </w:tc>
        <w:tc>
          <w:tcPr>
            <w:tcW w:type="dxa" w:w="4082"/>
            <w:vAlign w:val="center"/>
          </w:tcPr>
          <w:p>
            <w:pPr>
              <w:keepNext/>
              <w:spacing w:after="0"/>
            </w:pPr>
            <w:r>
              <w:rPr>
                <w:rFonts w:ascii="游ゴシック" w:hAnsi="游ゴシック" w:eastAsia="游ゴシック"/>
                <w:b w:val="0"/>
                <w:sz w:val="18"/>
              </w:rPr>
              <w:t>構成町意見の反映、第10期計画骨子の整理</w:t>
            </w:r>
          </w:p>
        </w:tc>
        <w:tc>
          <w:tcPr>
            <w:tcW w:type="dxa" w:w="3288"/>
            <w:vAlign w:val="center"/>
          </w:tcPr>
          <w:p>
            <w:pPr>
              <w:keepNext/>
              <w:spacing w:after="0"/>
            </w:pPr>
            <w:r>
              <w:rPr>
                <w:rFonts w:ascii="游ゴシック" w:hAnsi="游ゴシック" w:eastAsia="游ゴシック"/>
                <w:b w:val="0"/>
                <w:sz w:val="18"/>
              </w:rPr>
              <w:t>計画骨子</w:t>
            </w:r>
          </w:p>
        </w:tc>
      </w:tr>
      <w:tr>
        <w:trPr>
          <w:cantSplit/>
        </w:trPr>
        <w:tc>
          <w:tcPr>
            <w:tcW w:type="dxa" w:w="2268"/>
            <w:shd w:val="clear" w:color="auto" w:fill="F2F5FA"/>
            <w:vAlign w:val="center"/>
          </w:tcPr>
          <w:p>
            <w:pPr>
              <w:spacing w:after="0"/>
            </w:pPr>
            <w:r>
              <w:rPr>
                <w:rFonts w:ascii="游ゴシック" w:hAnsi="游ゴシック" w:eastAsia="游ゴシック"/>
                <w:b/>
                <w:sz w:val="18"/>
              </w:rPr>
              <w:t>令和9年1月以降</w:t>
            </w:r>
          </w:p>
        </w:tc>
        <w:tc>
          <w:tcPr>
            <w:tcW w:type="dxa" w:w="4082"/>
            <w:shd w:val="clear" w:color="auto" w:fill="F2F5FA"/>
            <w:vAlign w:val="center"/>
          </w:tcPr>
          <w:p>
            <w:pPr>
              <w:spacing w:after="0"/>
            </w:pPr>
            <w:r>
              <w:rPr>
                <w:rFonts w:ascii="游ゴシック" w:hAnsi="游ゴシック" w:eastAsia="游ゴシック"/>
                <w:b w:val="0"/>
                <w:sz w:val="18"/>
              </w:rPr>
              <w:t>意見公募手続、北海道の意見の聴取</w:t>
            </w:r>
          </w:p>
        </w:tc>
        <w:tc>
          <w:tcPr>
            <w:tcW w:type="dxa" w:w="3288"/>
            <w:shd w:val="clear" w:color="auto" w:fill="F2F5FA"/>
            <w:vAlign w:val="center"/>
          </w:tcPr>
          <w:p>
            <w:pPr>
              <w:spacing w:after="0"/>
            </w:pPr>
            <w:r>
              <w:rPr>
                <w:rFonts w:ascii="游ゴシック" w:hAnsi="游ゴシック" w:eastAsia="游ゴシック"/>
                <w:b w:val="0"/>
                <w:sz w:val="18"/>
              </w:rPr>
              <w:t>計画案</w:t>
            </w:r>
          </w:p>
        </w:tc>
      </w:tr>
    </w:tbl>
    <w:p>
      <w:pPr>
        <w:ind w:left="227"/>
      </w:pPr>
      <w:r>
        <w:rPr>
          <w:rFonts w:ascii="游ゴシック" w:hAnsi="游ゴシック" w:eastAsia="游ゴシック"/>
          <w:b w:val="0"/>
          <w:sz w:val="18"/>
        </w:rPr>
        <w:t>※ 介護保険法第117条は、計画を定め又は変更しようとするときに、あらかじめ被保険者の意見を反映させるために必要な措置を講ずること及び都道府県の意見を聴くことを定めています。意見公募手続の時期と方法のご決定をお願いします。</w:t>
      </w:r>
    </w:p>
    <w:p>
      <w:pPr>
        <w:spacing w:after="80"/>
      </w:pPr>
      <w:r>
        <w:rPr>
          <w:rFonts w:ascii="游ゴシック" w:hAnsi="游ゴシック" w:eastAsia="游ゴシック"/>
          <w:sz w:val="21"/>
        </w:rPr>
      </w:r>
    </w:p>
    <w:p>
      <w:pPr>
        <w:spacing w:after="80"/>
      </w:pPr>
      <w:r>
        <w:rPr>
          <w:rFonts w:ascii="游ゴシック" w:hAnsi="游ゴシック" w:eastAsia="游ゴシック"/>
          <w:b w:val="0"/>
          <w:sz w:val="20"/>
        </w:rPr>
        <w:t>第2次概算（令和8年10月30日）は、ご決定がない場合も第7節の仮置きにより組みます。その場合は、仮置きによったことを第2次概算の資料に明示します。</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