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游ゴシック" w:cs="游ゴシック" w:eastAsia="游ゴシック" w:hAnsi="游ゴシック"/>
          <w:b/>
          <w:bCs/>
          <w:sz w:val="36"/>
          <w:szCs w:val="36"/>
        </w:rPr>
        <w:t xml:space="preserve">女川町水道料金体系の比較検討資料</w:t>
      </w:r>
    </w:p>
    <w:p>
      <w:pPr>
        <w:spacing w:after="400"/>
        <w:jc w:val="center"/>
      </w:pPr>
      <w:r>
        <w:rPr>
          <w:rFonts w:ascii="游ゴシック" w:cs="游ゴシック" w:eastAsia="游ゴシック" w:hAnsi="游ゴシック"/>
          <w:color w:val="555555"/>
          <w:sz w:val="22"/>
          <w:szCs w:val="22"/>
        </w:rPr>
        <w:t xml:space="preserve">― 県内他団体との比較、地理・人口・産業構造を踏まえた検証 ―</w:t>
      </w:r>
    </w:p>
    <w:p>
      <w:pPr>
        <w:pStyle w:val="Heading1"/>
      </w:pPr>
      <w:r>
        <w:rPr>
          <w:rFonts w:ascii="游ゴシック" w:cs="游ゴシック" w:eastAsia="游ゴシック" w:hAnsi="游ゴシック"/>
        </w:rPr>
        <w:t xml:space="preserve">1. 女川町の料金体系の特徴</w:t>
      </w:r>
    </w:p>
    <w:p>
      <w:pPr>
        <w:spacing w:after="60" w:before="60" w:line="340"/>
        <w:jc w:val="left"/>
      </w:pPr>
      <w:r>
        <w:rPr>
          <w:rFonts w:ascii="游明朝" w:cs="游明朝" w:eastAsia="游明朝" w:hAnsi="游明朝"/>
          <w:b w:val="false"/>
          <w:bCs w:val="false"/>
          <w:sz w:val="22"/>
          <w:szCs w:val="22"/>
        </w:rPr>
        <w:t xml:space="preserve">女川町の水道料金体系には、県内他団体と比較して顕著な特徴がある。「基本料金+従量料金」の二部料金制に加え、『用途別料金区分』と『メーター使用料』を併用する三層構造を採用している。</w:t>
      </w:r>
    </w:p>
    <w:p>
      <w:r>
        <w:t xml:space="preserve"/>
      </w:r>
    </w:p>
    <w:p>
      <w:pPr>
        <w:pStyle w:val="Heading2"/>
      </w:pPr>
      <w:r>
        <w:rPr>
          <w:rFonts w:ascii="游ゴシック" w:cs="游ゴシック" w:eastAsia="游ゴシック" w:hAnsi="游ゴシック"/>
        </w:rPr>
        <w:t xml:space="preserve">1.1 上水道料金表(消費税込)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480"/>
        <w:gridCol w:w="1440"/>
        <w:gridCol w:w="1440"/>
      </w:tblGrid>
      <w:tr>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旧用途区分</w:t>
            </w:r>
          </w:p>
        </w:tc>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新用途区分</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基本水量</w:t>
            </w:r>
          </w:p>
        </w:tc>
        <w:tc>
          <w:tcPr>
            <w:tcW w:type="dxa" w:w="14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基本料金</w:t>
            </w:r>
          </w:p>
        </w:tc>
        <w:tc>
          <w:tcPr>
            <w:tcW w:type="dxa" w:w="144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1m³増すごと</w:t>
            </w:r>
          </w:p>
        </w:tc>
        <w:tc>
          <w:tcPr>
            <w:tcW w:type="dxa" w:w="144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100m³超過</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家事用・団体用・営業用・工業用・プール用・臨時用</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一般用</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0~5m³</w:t>
            </w:r>
          </w:p>
        </w:tc>
        <w:tc>
          <w:tcPr>
            <w:tcW w:type="dxa" w:w="1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990円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(同上)</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一般用</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6~10m³</w:t>
            </w:r>
          </w:p>
        </w:tc>
        <w:tc>
          <w:tcPr>
            <w:tcW w:type="dxa" w:w="1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1,210円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121円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110円</w:t>
            </w:r>
          </w:p>
        </w:tc>
      </w:tr>
      <w:tr>
        <w:tc>
          <w:tcPr>
            <w:tcW w:type="dxa" w:w="18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湯屋用</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特殊用(湯屋)</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500m³</w:t>
            </w:r>
          </w:p>
        </w:tc>
        <w:tc>
          <w:tcPr>
            <w:tcW w:type="dxa" w:w="1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36,300円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110円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shd w:fill="DEEBF7"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委託船舶</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特殊用(委託船舶)</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c>
          <w:tcPr>
            <w:tcW w:type="dxa" w:w="1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121円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shd w:fill="DEEBF7"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直接船舶</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特殊用(直接船舶)</w:t>
            </w:r>
          </w:p>
        </w:tc>
        <w:tc>
          <w:tcPr>
            <w:tcW w:type="dxa" w:w="1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10m³</w:t>
            </w:r>
          </w:p>
        </w:tc>
        <w:tc>
          <w:tcPr>
            <w:tcW w:type="dxa" w:w="1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2,420円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242円</w:t>
            </w:r>
          </w:p>
        </w:tc>
        <w:tc>
          <w:tcPr>
            <w:tcW w:type="dxa" w:w="144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w:t>
            </w:r>
          </w:p>
        </w:tc>
      </w:tr>
    </w:tbl>
    <w:p>
      <w:r>
        <w:t xml:space="preserve"/>
      </w:r>
    </w:p>
    <w:p>
      <w:pPr>
        <w:pStyle w:val="Heading2"/>
      </w:pPr>
      <w:r>
        <w:rPr>
          <w:rFonts w:ascii="游ゴシック" w:cs="游ゴシック" w:eastAsia="游ゴシック" w:hAnsi="游ゴシック"/>
        </w:rPr>
        <w:t xml:space="preserve">1.2 メーター使用料(月額・税込)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13mm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20mm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25mm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40mm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50mm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75mm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100mm</w:t>
            </w:r>
          </w:p>
        </w:tc>
        <w:tc>
          <w:tcPr>
            <w:tcW w:type="dxa" w:w="117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150mm</w:t>
            </w:r>
          </w:p>
        </w:tc>
      </w:tr>
      <w:tr>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55円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77円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110円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220円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880円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1,100円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1,320円</w:t>
            </w:r>
          </w:p>
        </w:tc>
        <w:tc>
          <w:tcPr>
            <w:tcW w:type="dxa" w:w="117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3,300円</w:t>
            </w:r>
          </w:p>
        </w:tc>
      </w:tr>
    </w:tbl>
    <w:p>
      <w:r>
        <w:t xml:space="preserve"/>
      </w:r>
    </w:p>
    <w:p>
      <w:pPr>
        <w:pStyle w:val="Heading2"/>
      </w:pPr>
      <w:r>
        <w:rPr>
          <w:rFonts w:ascii="游ゴシック" w:cs="游ゴシック" w:eastAsia="游ゴシック" w:hAnsi="游ゴシック"/>
        </w:rPr>
        <w:t xml:space="preserve">1.3 料金体系の特徴的論点</w:t>
      </w:r>
    </w:p>
    <w:p>
      <w:pPr>
        <w:pStyle w:val="ListParagraph"/>
        <w:numPr>
          <w:ilvl w:val="0"/>
          <w:numId w:val="2"/>
        </w:numPr>
        <w:spacing w:after="40" w:before="40" w:line="320"/>
      </w:pPr>
      <w:r>
        <w:rPr>
          <w:rFonts w:ascii="游明朝" w:cs="游明朝" w:eastAsia="游明朝" w:hAnsi="游明朝"/>
          <w:sz w:val="22"/>
          <w:szCs w:val="22"/>
        </w:rPr>
        <w:t xml:space="preserve">『用途別』と『口径別(メーター使用料)』の併用型: 基本料金は用途別(一般用・特殊用湯屋・特殊用船舶)で設定し、メーター使用料のみ口径別に加算する二元構造。県内でも珍しい体系</w:t>
      </w:r>
    </w:p>
    <w:p>
      <w:pPr>
        <w:pStyle w:val="ListParagraph"/>
        <w:numPr>
          <w:ilvl w:val="0"/>
          <w:numId w:val="2"/>
        </w:numPr>
        <w:spacing w:after="40" w:before="40" w:line="320"/>
      </w:pPr>
      <w:r>
        <w:rPr>
          <w:rFonts w:ascii="游明朝" w:cs="游明朝" w:eastAsia="游明朝" w:hAnsi="游明朝"/>
          <w:sz w:val="22"/>
          <w:szCs w:val="22"/>
        </w:rPr>
        <w:t xml:space="preserve">『船舶用』区分の存在: 漁港を持つ臨海自治体特有の区分。委託船舶・直接船舶の区分は、水産業の産業構造を反映した歴史的経緯による</w:t>
      </w:r>
    </w:p>
    <w:p>
      <w:pPr>
        <w:pStyle w:val="ListParagraph"/>
        <w:numPr>
          <w:ilvl w:val="0"/>
          <w:numId w:val="2"/>
        </w:numPr>
        <w:spacing w:after="40" w:before="40" w:line="320"/>
      </w:pPr>
      <w:r>
        <w:rPr>
          <w:rFonts w:ascii="游明朝" w:cs="游明朝" w:eastAsia="游明朝" w:hAnsi="游明朝"/>
          <w:sz w:val="22"/>
          <w:szCs w:val="22"/>
        </w:rPr>
        <w:t xml:space="preserve">『湯屋用』の大口定額構造: 基本水量500m³で基本料金36,300円という他用途と桁違いの設定。銭湯・公衆浴場への配慮と大口安定需要の確保を両立</w:t>
      </w:r>
    </w:p>
    <w:p>
      <w:pPr>
        <w:pStyle w:val="ListParagraph"/>
        <w:numPr>
          <w:ilvl w:val="0"/>
          <w:numId w:val="2"/>
        </w:numPr>
        <w:spacing w:after="40" w:before="40" w:line="320"/>
      </w:pPr>
      <w:r>
        <w:rPr>
          <w:rFonts w:ascii="游明朝" w:cs="游明朝" w:eastAsia="游明朝" w:hAnsi="游明朝"/>
          <w:sz w:val="22"/>
          <w:szCs w:val="22"/>
        </w:rPr>
        <w:t xml:space="preserve">逓増と逓減の混在: 一般用は100m³超過で単価が下がる『逓減制』(121円→110円)を採用。多くの自治体が採用する『逓増制』とは逆。大口使用者(水産加工業等)を優遇する構造</w:t>
      </w:r>
    </w:p>
    <w:p>
      <w:pPr>
        <w:pStyle w:val="ListParagraph"/>
        <w:numPr>
          <w:ilvl w:val="0"/>
          <w:numId w:val="2"/>
        </w:numPr>
        <w:spacing w:after="40" w:before="40" w:line="320"/>
      </w:pPr>
      <w:r>
        <w:rPr>
          <w:rFonts w:ascii="游明朝" w:cs="游明朝" w:eastAsia="游明朝" w:hAnsi="游明朝"/>
          <w:sz w:val="22"/>
          <w:szCs w:val="22"/>
        </w:rPr>
        <w:t xml:space="preserve">毎月検針・毎月請求: 隔月検針が多い県内他団体と異なり、毎月検針を実施</w:t>
      </w:r>
    </w:p>
    <w:p>
      <w:r>
        <w:t xml:space="preserve"/>
      </w:r>
    </w:p>
    <w:p>
      <w:pPr>
        <w:pStyle w:val="Heading1"/>
      </w:pPr>
      <w:r>
        <w:rPr>
          <w:rFonts w:ascii="游ゴシック" w:cs="游ゴシック" w:eastAsia="游ゴシック" w:hAnsi="游ゴシック"/>
        </w:rPr>
        <w:t xml:space="preserve">2. 県内主要団体との料金体系比較</w:t>
      </w:r>
    </w:p>
    <w:p>
      <w:pPr>
        <w:spacing w:after="60" w:before="60" w:line="340"/>
        <w:jc w:val="left"/>
      </w:pPr>
      <w:r>
        <w:rPr>
          <w:rFonts w:ascii="游明朝" w:cs="游明朝" w:eastAsia="游明朝" w:hAnsi="游明朝"/>
          <w:b w:val="false"/>
          <w:bCs w:val="false"/>
          <w:sz w:val="22"/>
          <w:szCs w:val="22"/>
        </w:rPr>
        <w:t xml:space="preserve">女川町の体系を県内の主要水道事業体と比較する。なお、女川町は独自の水道事業体として運営されており、隣接する石巻市・東松島市が構成する石巻地方広域水道企業団には加入していない点に留意する。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60"/>
        <w:gridCol w:w="1500"/>
        <w:gridCol w:w="1800"/>
        <w:gridCol w:w="1800"/>
      </w:tblGrid>
      <w:tr>
        <w:tc>
          <w:tcPr>
            <w:tcW w:type="dxa" w:w="15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事業体</w:t>
            </w:r>
          </w:p>
        </w:tc>
        <w:tc>
          <w:tcPr>
            <w:tcW w:type="dxa" w:w="12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体系類型</w:t>
            </w:r>
          </w:p>
        </w:tc>
        <w:tc>
          <w:tcPr>
            <w:tcW w:type="dxa" w:w="156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基本料金(20㎥家庭)</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従量料金の特徴</w:t>
            </w:r>
          </w:p>
        </w:tc>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大口使用者の扱い</w:t>
            </w:r>
          </w:p>
        </w:tc>
        <w:tc>
          <w:tcPr>
            <w:tcW w:type="dxa" w:w="18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水源構成</w:t>
            </w:r>
          </w:p>
        </w:tc>
      </w:tr>
      <w:tr>
        <w:tc>
          <w:tcPr>
            <w:tcW w:type="dxa" w:w="15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女川町</w:t>
            </w:r>
          </w:p>
        </w:tc>
        <w:tc>
          <w:tcPr>
            <w:tcW w:type="dxa" w:w="12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用途別+口径別メーター料併用</w:t>
            </w:r>
          </w:p>
        </w:tc>
        <w:tc>
          <w:tcPr>
            <w:tcW w:type="dxa" w:w="156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1,210円+メーター料55~77円</w:t>
            </w:r>
          </w:p>
        </w:tc>
        <w:tc>
          <w:tcPr>
            <w:tcW w:type="dxa" w:w="15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逓減制(100m³超で単価↓)</w:t>
            </w:r>
          </w:p>
        </w:tc>
        <w:tc>
          <w:tcPr>
            <w:tcW w:type="dxa" w:w="18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湯屋用・船舶用の特殊区分、逓減で優遇</w:t>
            </w:r>
          </w:p>
        </w:tc>
        <w:tc>
          <w:tcPr>
            <w:tcW w:type="dxa" w:w="18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自己水源主体(町独自)</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仙台市</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口径別+段階逓増</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1,375円(口径20mm)</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逓増制(1~10㎥、11~20㎥等の段階区分)</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一般区分内で逓増、大口優遇なし</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県営広域水道受水(仙南・仙塩)</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石巻地方広域水道企業団(石巻市・東松島市)</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口径別+段階逓増</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令和5年4月改定(基本料金20%↑、水量料金16~22%↑)</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逓増制。13・20mmは10㎥まで基本水量に含む</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逓増で大口は負担増</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石巻地方広域水道(旧6町統合後)</w:t>
            </w:r>
          </w:p>
        </w:tc>
      </w:tr>
      <w:tr>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登米市</w:t>
            </w:r>
          </w:p>
        </w:tc>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口径別+段階逓増</w:t>
            </w:r>
          </w:p>
        </w:tc>
        <w:tc>
          <w:tcPr>
            <w:tcW w:type="dxa" w:w="15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全国3位・県内2位の高水準</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逓増制</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給水の約98%が小口径、大口少</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北上川水源(保呂羽浄水場で約85%)</w:t>
            </w:r>
          </w:p>
        </w:tc>
      </w:tr>
    </w:tbl>
    <w:p>
      <w:r>
        <w:t xml:space="preserve"/>
      </w:r>
    </w:p>
    <w:p>
      <w:pPr>
        <w:pStyle w:val="Heading1"/>
      </w:pPr>
      <w:r>
        <w:rPr>
          <w:rFonts w:ascii="游ゴシック" w:cs="游ゴシック" w:eastAsia="游ゴシック" w:hAnsi="游ゴシック"/>
        </w:rPr>
        <w:t xml:space="preserve">3. 地理的要因の影響</w:t>
      </w:r>
    </w:p>
    <w:p>
      <w:pPr>
        <w:pStyle w:val="Heading2"/>
      </w:pPr>
      <w:r>
        <w:rPr>
          <w:rFonts w:ascii="游ゴシック" w:cs="游ゴシック" w:eastAsia="游ゴシック" w:hAnsi="游ゴシック"/>
        </w:rPr>
        <w:t xml:space="preserve">3.1 女川町の地理的特性</w:t>
      </w:r>
    </w:p>
    <w:p>
      <w:pPr>
        <w:pStyle w:val="ListParagraph"/>
        <w:numPr>
          <w:ilvl w:val="0"/>
          <w:numId w:val="2"/>
        </w:numPr>
        <w:spacing w:after="40" w:before="40" w:line="320"/>
      </w:pPr>
      <w:r>
        <w:rPr>
          <w:rFonts w:ascii="游明朝" w:cs="游明朝" w:eastAsia="游明朝" w:hAnsi="游明朝"/>
          <w:sz w:val="22"/>
          <w:szCs w:val="22"/>
        </w:rPr>
        <w:t xml:space="preserve">牡鹿半島の中央~基部に位置。町域の約83%が林野で平地は僅少</w:t>
      </w:r>
    </w:p>
    <w:p>
      <w:pPr>
        <w:pStyle w:val="ListParagraph"/>
        <w:numPr>
          <w:ilvl w:val="0"/>
          <w:numId w:val="2"/>
        </w:numPr>
        <w:spacing w:after="40" w:before="40" w:line="320"/>
      </w:pPr>
      <w:r>
        <w:rPr>
          <w:rFonts w:ascii="游明朝" w:cs="游明朝" w:eastAsia="游明朝" w:hAnsi="游明朝"/>
          <w:sz w:val="22"/>
          <w:szCs w:val="22"/>
        </w:rPr>
        <w:t xml:space="preserve">リアス式海岸で天然の良港を形成する一方、配水区域が半島と離島(出島・江島等)に点在</w:t>
      </w:r>
    </w:p>
    <w:p>
      <w:pPr>
        <w:pStyle w:val="ListParagraph"/>
        <w:numPr>
          <w:ilvl w:val="0"/>
          <w:numId w:val="2"/>
        </w:numPr>
        <w:spacing w:after="40" w:before="40" w:line="320"/>
      </w:pPr>
      <w:r>
        <w:rPr>
          <w:rFonts w:ascii="游明朝" w:cs="游明朝" w:eastAsia="游明朝" w:hAnsi="游明朝"/>
          <w:sz w:val="22"/>
          <w:szCs w:val="22"/>
        </w:rPr>
        <w:t xml:space="preserve">町域を流れる規模のある河川は存在せず、町名の由来となった「女川」も小川。大規模な自己水源の確保が困難</w:t>
      </w:r>
    </w:p>
    <w:p>
      <w:pPr>
        <w:pStyle w:val="ListParagraph"/>
        <w:numPr>
          <w:ilvl w:val="0"/>
          <w:numId w:val="2"/>
        </w:numPr>
        <w:spacing w:after="40" w:before="40" w:line="320"/>
      </w:pPr>
      <w:r>
        <w:rPr>
          <w:rFonts w:ascii="游明朝" w:cs="游明朝" w:eastAsia="游明朝" w:hAnsi="游明朝"/>
          <w:sz w:val="22"/>
          <w:szCs w:val="22"/>
        </w:rPr>
        <w:t xml:space="preserve">石巻市が北部~西部~南部にかけて町を取り囲む隣接地理</w:t>
      </w:r>
    </w:p>
    <w:p>
      <w:r>
        <w:t xml:space="preserve"/>
      </w:r>
    </w:p>
    <w:p>
      <w:pPr>
        <w:pStyle w:val="Heading2"/>
      </w:pPr>
      <w:r>
        <w:rPr>
          <w:rFonts w:ascii="游ゴシック" w:cs="游ゴシック" w:eastAsia="游ゴシック" w:hAnsi="游ゴシック"/>
        </w:rPr>
        <w:t xml:space="preserve">3.2 水道事業運営への影響</w:t>
      </w:r>
    </w:p>
    <w:p>
      <w:pPr>
        <w:pStyle w:val="ListParagraph"/>
        <w:numPr>
          <w:ilvl w:val="0"/>
          <w:numId w:val="2"/>
        </w:numPr>
        <w:spacing w:after="40" w:before="40" w:line="320"/>
      </w:pPr>
      <w:r>
        <w:rPr>
          <w:rFonts w:ascii="游明朝" w:cs="游明朝" w:eastAsia="游明朝" w:hAnsi="游明朝"/>
          <w:sz w:val="22"/>
          <w:szCs w:val="22"/>
        </w:rPr>
        <w:t xml:space="preserve">配水効率の制約: 集落が半島・湾沿いに分散し、管路延長あたりの給水人口が低く維持コストが嵩む構造</w:t>
      </w:r>
    </w:p>
    <w:p>
      <w:pPr>
        <w:pStyle w:val="ListParagraph"/>
        <w:numPr>
          <w:ilvl w:val="0"/>
          <w:numId w:val="2"/>
        </w:numPr>
        <w:spacing w:after="40" w:before="40" w:line="320"/>
      </w:pPr>
      <w:r>
        <w:rPr>
          <w:rFonts w:ascii="游明朝" w:cs="游明朝" w:eastAsia="游明朝" w:hAnsi="游明朝"/>
          <w:sz w:val="22"/>
          <w:szCs w:val="22"/>
        </w:rPr>
        <w:t xml:space="preserve">離島給水の特殊性: 出島・江島等への給水は陸続きの配水ができず、コストが上乗せされる</w:t>
      </w:r>
    </w:p>
    <w:p>
      <w:pPr>
        <w:pStyle w:val="ListParagraph"/>
        <w:numPr>
          <w:ilvl w:val="0"/>
          <w:numId w:val="2"/>
        </w:numPr>
        <w:spacing w:after="40" w:before="40" w:line="320"/>
      </w:pPr>
      <w:r>
        <w:rPr>
          <w:rFonts w:ascii="游明朝" w:cs="游明朝" w:eastAsia="游明朝" w:hAnsi="游明朝"/>
          <w:sz w:val="22"/>
          <w:szCs w:val="22"/>
        </w:rPr>
        <w:t xml:space="preserve">水源の脆弱性: 広域水道にも未接続、自己水源も大河川を持たないため、水源確保の選択肢が限定的</w:t>
      </w:r>
    </w:p>
    <w:p>
      <w:pPr>
        <w:pStyle w:val="ListParagraph"/>
        <w:numPr>
          <w:ilvl w:val="0"/>
          <w:numId w:val="2"/>
        </w:numPr>
        <w:spacing w:after="40" w:before="40" w:line="320"/>
      </w:pPr>
      <w:r>
        <w:rPr>
          <w:rFonts w:ascii="游明朝" w:cs="游明朝" w:eastAsia="游明朝" w:hAnsi="游明朝"/>
          <w:sz w:val="22"/>
          <w:szCs w:val="22"/>
        </w:rPr>
        <w:t xml:space="preserve">船舶給水需要: 漁港から操業船舶への給水という特殊需要があり、『船舶用』区分が体系に組み込まれた沿革</w:t>
      </w:r>
    </w:p>
    <w:p>
      <w:r>
        <w:t xml:space="preserve"/>
      </w:r>
    </w:p>
    <w:p>
      <w:pPr>
        <w:pStyle w:val="Heading1"/>
      </w:pPr>
      <w:r>
        <w:rPr>
          <w:rFonts w:ascii="游ゴシック" w:cs="游ゴシック" w:eastAsia="游ゴシック" w:hAnsi="游ゴシック"/>
        </w:rPr>
        <w:t xml:space="preserve">4. 人口規模の影響</w:t>
      </w:r>
    </w:p>
    <w:p>
      <w:pPr>
        <w:pStyle w:val="Heading2"/>
      </w:pPr>
      <w:r>
        <w:rPr>
          <w:rFonts w:ascii="游ゴシック" w:cs="游ゴシック" w:eastAsia="游ゴシック" w:hAnsi="游ゴシック"/>
        </w:rPr>
        <w:t xml:space="preserve">4.1 人口動態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時点</w:t>
            </w:r>
          </w:p>
        </w:tc>
        <w:tc>
          <w:tcPr>
            <w:tcW w:type="dxa" w:w="23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人口</w:t>
            </w:r>
          </w:p>
        </w:tc>
        <w:tc>
          <w:tcPr>
            <w:tcW w:type="dxa" w:w="23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2000年比</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備考</w:t>
            </w:r>
          </w:p>
        </w:tc>
      </w:tr>
      <w:tr>
        <w:tc>
          <w:tcPr>
            <w:tcW w:type="dxa" w:w="25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2000年</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val="false"/>
                <w:bCs w:val="false"/>
                <w:sz w:val="18"/>
                <w:szCs w:val="18"/>
              </w:rPr>
              <w:t xml:space="preserve">約12,000人</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val="false"/>
                <w:bCs w:val="false"/>
                <w:sz w:val="18"/>
                <w:szCs w:val="18"/>
              </w:rPr>
              <w:t xml:space="preserve">100%</w:t>
            </w:r>
          </w:p>
        </w:tc>
        <w:tc>
          <w:tcPr>
            <w:tcW w:type="dxa" w:w="22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震災前水準</w:t>
            </w:r>
          </w:p>
        </w:tc>
      </w:tr>
      <w:tr>
        <w:tc>
          <w:tcPr>
            <w:tcW w:type="dxa" w:w="25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2024年4月</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right"/>
            </w:pPr>
            <w:r>
              <w:rPr>
                <w:rFonts w:ascii="游ゴシック" w:cs="游ゴシック" w:eastAsia="游ゴシック" w:hAnsi="游ゴシック"/>
                <w:b/>
                <w:bCs/>
                <w:sz w:val="18"/>
                <w:szCs w:val="18"/>
              </w:rPr>
              <w:t xml:space="preserve">約5,850人</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游ゴシック" w:cs="游ゴシック" w:eastAsia="游ゴシック" w:hAnsi="游ゴシック"/>
                <w:b/>
                <w:bCs/>
                <w:sz w:val="18"/>
                <w:szCs w:val="18"/>
              </w:rPr>
              <w:t xml:space="preserve">約49%</w:t>
            </w:r>
          </w:p>
        </w:tc>
        <w:tc>
          <w:tcPr>
            <w:tcW w:type="dxa" w:w="22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消滅可能性自治体に該当</w:t>
            </w:r>
          </w:p>
        </w:tc>
      </w:tr>
    </w:tbl>
    <w:p>
      <w:r>
        <w:t xml:space="preserve"/>
      </w:r>
    </w:p>
    <w:p>
      <w:pPr>
        <w:pStyle w:val="Heading2"/>
      </w:pPr>
      <w:r>
        <w:rPr>
          <w:rFonts w:ascii="游ゴシック" w:cs="游ゴシック" w:eastAsia="游ゴシック" w:hAnsi="游ゴシック"/>
        </w:rPr>
        <w:t xml:space="preserve">4.2 人口規模の料金体系への含意</w:t>
      </w:r>
    </w:p>
    <w:p>
      <w:pPr>
        <w:pStyle w:val="ListParagraph"/>
        <w:numPr>
          <w:ilvl w:val="0"/>
          <w:numId w:val="2"/>
        </w:numPr>
        <w:spacing w:after="40" w:before="40" w:line="320"/>
      </w:pPr>
      <w:r>
        <w:rPr>
          <w:rFonts w:ascii="游明朝" w:cs="游明朝" w:eastAsia="游明朝" w:hAnsi="游明朝"/>
          <w:sz w:val="22"/>
          <w:szCs w:val="22"/>
        </w:rPr>
        <w:t xml:space="preserve">給水収益基盤の脆弱性: 人口規模は石巻市の1/25未満、仙台市の1/180未満。固定費を支える家庭用収入の絶対量が極めて小さい</w:t>
      </w:r>
    </w:p>
    <w:p>
      <w:pPr>
        <w:pStyle w:val="ListParagraph"/>
        <w:numPr>
          <w:ilvl w:val="0"/>
          <w:numId w:val="2"/>
        </w:numPr>
        <w:spacing w:after="40" w:before="40" w:line="320"/>
      </w:pPr>
      <w:r>
        <w:rPr>
          <w:rFonts w:ascii="游明朝" w:cs="游明朝" w:eastAsia="游明朝" w:hAnsi="游明朝"/>
          <w:sz w:val="22"/>
          <w:szCs w:val="22"/>
        </w:rPr>
        <w:t xml:space="preserve">大口使用者への依存度: 小規模事業体ほど少数の大口使用者への依存度が高まり、それらの事業者の操業状況や撤退・縮小が収入に直接響きやすくなる。女川町の場合、水産加工業と原発関連施設が安定化の鍵</w:t>
      </w:r>
    </w:p>
    <w:p>
      <w:pPr>
        <w:pStyle w:val="ListParagraph"/>
        <w:numPr>
          <w:ilvl w:val="0"/>
          <w:numId w:val="2"/>
        </w:numPr>
        <w:spacing w:after="40" w:before="40" w:line="320"/>
      </w:pPr>
      <w:r>
        <w:rPr>
          <w:rFonts w:ascii="游明朝" w:cs="游明朝" w:eastAsia="游明朝" w:hAnsi="游明朝"/>
          <w:sz w:val="22"/>
          <w:szCs w:val="22"/>
        </w:rPr>
        <w:t xml:space="preserve">施設更新への対応力: 人口1人当たりの更新投資負担が過大となりやすく、独立採算では料金上昇圧力が強い</w:t>
      </w:r>
    </w:p>
    <w:p>
      <w:pPr>
        <w:pStyle w:val="ListParagraph"/>
        <w:numPr>
          <w:ilvl w:val="0"/>
          <w:numId w:val="2"/>
        </w:numPr>
        <w:spacing w:after="40" w:before="40" w:line="320"/>
      </w:pPr>
      <w:r>
        <w:rPr>
          <w:rFonts w:ascii="游明朝" w:cs="游明朝" w:eastAsia="游明朝" w:hAnsi="游明朝"/>
          <w:sz w:val="22"/>
          <w:szCs w:val="22"/>
        </w:rPr>
        <w:t xml:space="preserve">統一化検討の観点: 県内統一化では、女川町のような小規模団体は統合の便益(固定費分散・投資平準化)が相対的に大きい受益者となる</w:t>
      </w:r>
    </w:p>
    <w:p>
      <w:r>
        <w:t xml:space="preserve"/>
      </w:r>
    </w:p>
    <w:p>
      <w:pPr>
        <w:pStyle w:val="Heading1"/>
      </w:pPr>
      <w:r>
        <w:rPr>
          <w:rFonts w:ascii="游ゴシック" w:cs="游ゴシック" w:eastAsia="游ゴシック" w:hAnsi="游ゴシック"/>
        </w:rPr>
        <w:t xml:space="preserve">5. 産業構造と大口利用者の状況</w:t>
      </w:r>
    </w:p>
    <w:p>
      <w:pPr>
        <w:pStyle w:val="Heading2"/>
      </w:pPr>
      <w:r>
        <w:rPr>
          <w:rFonts w:ascii="游ゴシック" w:cs="游ゴシック" w:eastAsia="游ゴシック" w:hAnsi="游ゴシック"/>
        </w:rPr>
        <w:t xml:space="preserve">5.1 主要産業の構成</w:t>
      </w:r>
    </w:p>
    <w:p>
      <w:pPr>
        <w:spacing w:after="60" w:before="60" w:line="340"/>
        <w:jc w:val="left"/>
      </w:pPr>
      <w:r>
        <w:rPr>
          <w:rFonts w:ascii="游明朝" w:cs="游明朝" w:eastAsia="游明朝" w:hAnsi="游明朝"/>
          <w:b w:val="false"/>
          <w:bCs w:val="false"/>
          <w:sz w:val="22"/>
          <w:szCs w:val="22"/>
        </w:rPr>
        <w:t xml:space="preserve">女川町の産業構造は、『水産・水産加工業』と『原子力関連』が二本柱となっており、それぞれ水道需要において特徴的な位置を占める。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産業セクター</w:t>
            </w:r>
          </w:p>
        </w:tc>
        <w:tc>
          <w:tcPr>
            <w:tcW w:type="dxa" w:w="36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概要</w:t>
            </w:r>
          </w:p>
        </w:tc>
        <w:tc>
          <w:tcPr>
            <w:tcW w:type="dxa" w:w="36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水道需要への影響</w:t>
            </w:r>
          </w:p>
        </w:tc>
      </w:tr>
      <w:tr>
        <w:tc>
          <w:tcPr>
            <w:tcW w:type="dxa" w:w="2000"/>
            <w:tcBorders>
              <w:top w:val="single" w:color="999999" w:sz="4"/>
              <w:left w:val="single" w:color="999999" w:sz="4"/>
              <w:bottom w:val="single" w:color="999999" w:sz="4"/>
              <w:right w:val="single" w:color="999999" w:sz="4"/>
            </w:tcBorders>
            <w:shd w:fill="DEEBF7"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漁業</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女川漁港(日本有数)、金華山沖漁場。サンマ水揚量は全国有数、カキ・ホタテ・ギンザケ等の養殖</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漁港での船舶給水需要(直接船舶・委託船舶区分)、市場関連施設</w:t>
            </w:r>
          </w:p>
        </w:tc>
      </w:tr>
      <w:tr>
        <w:tc>
          <w:tcPr>
            <w:tcW w:type="dxa" w:w="2000"/>
            <w:tcBorders>
              <w:top w:val="single" w:color="999999" w:sz="4"/>
              <w:left w:val="single" w:color="999999" w:sz="4"/>
              <w:bottom w:val="single" w:color="999999" w:sz="4"/>
              <w:right w:val="single" w:color="999999" w:sz="4"/>
            </w:tcBorders>
            <w:shd w:fill="DEEBF7"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水産加工業</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水産加工団地、町の中核産業。冷凍・加工・洗浄工程で大量の水を使用</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最大の大口使用者セクター。季節変動(漁期)が水需要の変動要因</w:t>
            </w:r>
          </w:p>
        </w:tc>
      </w:tr>
      <w:tr>
        <w:tc>
          <w:tcPr>
            <w:tcW w:type="dxa" w:w="2000"/>
            <w:tcBorders>
              <w:top w:val="single" w:color="999999" w:sz="4"/>
              <w:left w:val="single" w:color="999999" w:sz="4"/>
              <w:bottom w:val="single" w:color="999999" w:sz="4"/>
              <w:right w:val="single" w:color="999999" w:sz="4"/>
            </w:tcBorders>
            <w:shd w:fill="FFF2CC"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原子力発電関連</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東北電力女川原発(2・3号機で165万kW)、2024年12月に2号機再稼働。関連作業員の長期滞在、民宿・宿泊施設利用</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発電所本体の淡水は北上大堰工業用水で別途調達。関連宿泊・生活用途で安定需要</w:t>
            </w:r>
          </w:p>
        </w:tc>
      </w:tr>
      <w:tr>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観光・宿泊</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シーパル女川、震災復興観光、港町観光</w:t>
            </w:r>
          </w:p>
        </w:tc>
        <w:tc>
          <w:tcPr>
            <w:tcW w:type="dxa" w:w="36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宿泊施設・観光飲食での業務用需要</w:t>
            </w:r>
          </w:p>
        </w:tc>
      </w:tr>
    </w:tbl>
    <w:p>
      <w:r>
        <w:t xml:space="preserve"/>
      </w:r>
    </w:p>
    <w:p>
      <w:pPr>
        <w:pStyle w:val="Heading2"/>
      </w:pPr>
      <w:r>
        <w:rPr>
          <w:rFonts w:ascii="游ゴシック" w:cs="游ゴシック" w:eastAsia="游ゴシック" w:hAnsi="游ゴシック"/>
        </w:rPr>
        <w:t xml:space="preserve">5.2 料金体系への反映状況</w:t>
      </w:r>
    </w:p>
    <w:p>
      <w:pPr>
        <w:pStyle w:val="ListParagraph"/>
        <w:numPr>
          <w:ilvl w:val="0"/>
          <w:numId w:val="2"/>
        </w:numPr>
        <w:spacing w:after="40" w:before="40" w:line="320"/>
      </w:pPr>
      <w:r>
        <w:rPr>
          <w:rFonts w:ascii="游明朝" w:cs="游明朝" w:eastAsia="游明朝" w:hAnsi="游明朝"/>
          <w:sz w:val="22"/>
          <w:szCs w:val="22"/>
        </w:rPr>
        <w:t xml:space="preserve">『船舶用』区分の積極活用: 漁港立地という地理・産業条件を直接反映した料金区分。委託(係留船舶に委託者経由で給水)と直接の2区分を設け、実需要に即した徴収体系となっている</w:t>
      </w:r>
    </w:p>
    <w:p>
      <w:pPr>
        <w:pStyle w:val="ListParagraph"/>
        <w:numPr>
          <w:ilvl w:val="0"/>
          <w:numId w:val="2"/>
        </w:numPr>
        <w:spacing w:after="40" w:before="40" w:line="320"/>
      </w:pPr>
      <w:r>
        <w:rPr>
          <w:rFonts w:ascii="游明朝" w:cs="游明朝" w:eastAsia="游明朝" w:hAnsi="游明朝"/>
          <w:sz w:val="22"/>
          <w:szCs w:val="22"/>
        </w:rPr>
        <w:t xml:space="preserve">『逓減制』による水産加工業への配慮: 100m³超過時の単価を121円→110円に下げる設計は、大口使用者である水産加工業の操業コスト負担を抑制する政策的意図と考えられる</w:t>
      </w:r>
    </w:p>
    <w:p>
      <w:pPr>
        <w:pStyle w:val="ListParagraph"/>
        <w:numPr>
          <w:ilvl w:val="0"/>
          <w:numId w:val="2"/>
        </w:numPr>
        <w:spacing w:after="40" w:before="40" w:line="320"/>
      </w:pPr>
      <w:r>
        <w:rPr>
          <w:rFonts w:ascii="游明朝" w:cs="游明朝" w:eastAsia="游明朝" w:hAnsi="游明朝"/>
          <w:sz w:val="22"/>
          <w:szCs w:val="22"/>
        </w:rPr>
        <w:t xml:space="preserve">原発関連の水需要: 発電所本体は工業用水(北上大堰からの別系統)を使用するため、町の上水道に直接的な大口需要はない。ただし関連施設・作業員宿泊の一般用需要は安定財源となっている</w:t>
      </w:r>
    </w:p>
    <w:p>
      <w:pPr>
        <w:pStyle w:val="ListParagraph"/>
        <w:numPr>
          <w:ilvl w:val="0"/>
          <w:numId w:val="2"/>
        </w:numPr>
        <w:spacing w:after="40" w:before="40" w:line="320"/>
      </w:pPr>
      <w:r>
        <w:rPr>
          <w:rFonts w:ascii="游明朝" w:cs="游明朝" w:eastAsia="游明朝" w:hAnsi="游明朝"/>
          <w:sz w:val="22"/>
          <w:szCs w:val="22"/>
        </w:rPr>
        <w:t xml:space="preserve">湯屋用の特殊設定: 大量の基本水量(500m³)と単価110円の組み合わせは、定額収入確保と大口割引の折衷設計</w:t>
      </w:r>
    </w:p>
    <w:p>
      <w:r>
        <w:t xml:space="preserve"/>
      </w:r>
    </w:p>
    <w:p>
      <w:pPr>
        <w:pStyle w:val="Heading1"/>
      </w:pPr>
      <w:r>
        <w:rPr>
          <w:rFonts w:ascii="游ゴシック" w:cs="游ゴシック" w:eastAsia="游ゴシック" w:hAnsi="游ゴシック"/>
        </w:rPr>
        <w:t xml:space="preserve">6. 総合検証と統一化検討への論点</w:t>
      </w:r>
    </w:p>
    <w:p>
      <w:pPr>
        <w:pStyle w:val="Heading2"/>
      </w:pPr>
      <w:r>
        <w:rPr>
          <w:rFonts w:ascii="游ゴシック" w:cs="游ゴシック" w:eastAsia="游ゴシック" w:hAnsi="游ゴシック"/>
        </w:rPr>
        <w:t xml:space="preserve">6.1 女川町体系の位置づけ</w:t>
      </w:r>
    </w:p>
    <w:p>
      <w:pPr>
        <w:spacing w:after="60" w:before="60" w:line="340"/>
        <w:jc w:val="left"/>
      </w:pPr>
      <w:r>
        <w:rPr>
          <w:rFonts w:ascii="游明朝" w:cs="游明朝" w:eastAsia="游明朝" w:hAnsi="游明朝"/>
          <w:b w:val="false"/>
          <w:bCs w:val="false"/>
          <w:sz w:val="22"/>
          <w:szCs w:val="22"/>
        </w:rPr>
        <w:t xml:space="preserve">女川町の料金体系は、全国的には少数派である『用途別+口径別メーター使用料併用型』を採用し、さらに船舶用・湯屋用という特殊区分と逓減制を組み合わせた地域特化型の設計となっている。これは以下の合理性に基づく。</w:t>
      </w:r>
    </w:p>
    <w:p>
      <w:pPr>
        <w:pStyle w:val="ListParagraph"/>
        <w:numPr>
          <w:ilvl w:val="0"/>
          <w:numId w:val="2"/>
        </w:numPr>
        <w:spacing w:after="40" w:before="40" w:line="320"/>
      </w:pPr>
      <w:r>
        <w:rPr>
          <w:rFonts w:ascii="游明朝" w:cs="游明朝" w:eastAsia="游明朝" w:hAnsi="游明朝"/>
          <w:sz w:val="22"/>
          <w:szCs w:val="22"/>
        </w:rPr>
        <w:t xml:space="preserve">地理的制約(半島・リアス式海岸・離島)による高コスト構造の下での安定財源確保</w:t>
      </w:r>
    </w:p>
    <w:p>
      <w:pPr>
        <w:pStyle w:val="ListParagraph"/>
        <w:numPr>
          <w:ilvl w:val="0"/>
          <w:numId w:val="2"/>
        </w:numPr>
        <w:spacing w:after="40" w:before="40" w:line="320"/>
      </w:pPr>
      <w:r>
        <w:rPr>
          <w:rFonts w:ascii="游明朝" w:cs="游明朝" w:eastAsia="游明朝" w:hAnsi="游明朝"/>
          <w:sz w:val="22"/>
          <w:szCs w:val="22"/>
        </w:rPr>
        <w:t xml:space="preserve">漁業・水産加工業という基幹産業の特性を反映した料金設定</w:t>
      </w:r>
    </w:p>
    <w:p>
      <w:pPr>
        <w:pStyle w:val="ListParagraph"/>
        <w:numPr>
          <w:ilvl w:val="0"/>
          <w:numId w:val="2"/>
        </w:numPr>
        <w:spacing w:after="40" w:before="40" w:line="320"/>
      </w:pPr>
      <w:r>
        <w:rPr>
          <w:rFonts w:ascii="游明朝" w:cs="游明朝" w:eastAsia="游明朝" w:hAnsi="游明朝"/>
          <w:sz w:val="22"/>
          <w:szCs w:val="22"/>
        </w:rPr>
        <w:t xml:space="preserve">人口減少下での大口使用者(水産加工・湯屋)の引き止め</w:t>
      </w:r>
    </w:p>
    <w:p>
      <w:r>
        <w:t xml:space="preserve"/>
      </w:r>
    </w:p>
    <w:p>
      <w:pPr>
        <w:pStyle w:val="Heading2"/>
      </w:pPr>
      <w:r>
        <w:rPr>
          <w:rFonts w:ascii="游ゴシック" w:cs="游ゴシック" w:eastAsia="游ゴシック" w:hAnsi="游ゴシック"/>
        </w:rPr>
        <w:t xml:space="preserve">6.2 県内統一化検討にあたっての固有論点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論点</w:t>
            </w:r>
          </w:p>
        </w:tc>
        <w:tc>
          <w:tcPr>
            <w:tcW w:type="dxa" w:w="34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女川町固有の課題</w:t>
            </w:r>
          </w:p>
        </w:tc>
        <w:tc>
          <w:tcPr>
            <w:tcW w:type="dxa" w:w="3480"/>
            <w:tcBorders>
              <w:top w:val="single" w:color="999999" w:sz="4"/>
              <w:left w:val="single" w:color="999999" w:sz="4"/>
              <w:bottom w:val="single" w:color="999999" w:sz="4"/>
              <w:right w:val="single" w:color="999999" w:sz="4"/>
            </w:tcBorders>
            <w:shd w:fill="1F4E78" w:val="clear"/>
            <w:tcMar>
              <w:top w:type="dxa" w:w="100"/>
              <w:left w:type="dxa" w:w="100"/>
              <w:bottom w:type="dxa" w:w="100"/>
              <w:right w:type="dxa" w:w="100"/>
            </w:tcMar>
          </w:tcPr>
          <w:p>
            <w:pPr>
              <w:jc w:val="center"/>
            </w:pPr>
            <w:r>
              <w:rPr>
                <w:rFonts w:ascii="游ゴシック" w:cs="游ゴシック" w:eastAsia="游ゴシック" w:hAnsi="游ゴシック"/>
                <w:b/>
                <w:bCs/>
                <w:color w:val="FFFFFF"/>
                <w:sz w:val="18"/>
                <w:szCs w:val="18"/>
              </w:rPr>
              <w:t xml:space="preserve">統一化の方向性</w:t>
            </w:r>
          </w:p>
        </w:tc>
      </w:tr>
      <w:tr>
        <w:tc>
          <w:tcPr>
            <w:tcW w:type="dxa" w:w="24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船舶用区分の扱い</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他の内陸団体には存在しない区分。漁港を持つ臨海団体(気仙沼市・塩竈市・石巻市等)との共通性を確認し、統一化後も区分として残すか検討が必要</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臨海団体共通区分として『船舶給水』を全県統一体系の中に位置づける案。もしくは港湾管理者(県・市)の施設使用料と統合する案</w:t>
            </w:r>
          </w:p>
        </w:tc>
      </w:tr>
      <w:tr>
        <w:tc>
          <w:tcPr>
            <w:tcW w:type="dxa" w:w="24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逓減制の維持可否</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水産加工業という基幹産業保護のための逓減制を、逓増制中心の県内体系へどう整合させるか</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(1)統一後も大口産業用の特例区分を設ける、(2)逓増幅を緩和して実質的に大口負担を抑える、(3)補助制度で産業支援を別途手当</w:t>
            </w:r>
          </w:p>
        </w:tc>
      </w:tr>
      <w:tr>
        <w:tc>
          <w:tcPr>
            <w:tcW w:type="dxa" w:w="24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湯屋用の扱い</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公衆浴場への配慮は県内でも温泉地を持つ町村で類似事例あり</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公衆浴場法対象施設向けの全県共通減免制度として整理可能</w:t>
            </w:r>
          </w:p>
        </w:tc>
      </w:tr>
      <w:tr>
        <w:tc>
          <w:tcPr>
            <w:tcW w:type="dxa" w:w="24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地理的高コスト分</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半島・離島給水の非効率分をどう負担するか(町単独なら町民負担、統一後は県全体で薄く分担)</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広域化の主要便益。離島・半島地域を持つ団体(女川町・気仙沼市・石巻市の離島部等)の負担軽減効果大</w:t>
            </w:r>
          </w:p>
        </w:tc>
      </w:tr>
      <w:tr>
        <w:tc>
          <w:tcPr>
            <w:tcW w:type="dxa" w:w="2400"/>
            <w:tcBorders>
              <w:top w:val="single" w:color="999999" w:sz="4"/>
              <w:left w:val="single" w:color="999999" w:sz="4"/>
              <w:bottom w:val="single" w:color="999999" w:sz="4"/>
              <w:right w:val="single" w:color="999999" w:sz="4"/>
            </w:tcBorders>
            <w:shd w:fill="F2F2F2" w:val="clear"/>
            <w:tcMar>
              <w:top w:type="dxa" w:w="70"/>
              <w:left w:type="dxa" w:w="100"/>
              <w:bottom w:type="dxa" w:w="70"/>
              <w:right w:type="dxa" w:w="100"/>
            </w:tcMar>
          </w:tcPr>
          <w:p>
            <w:pPr>
              <w:jc w:val="left"/>
            </w:pPr>
            <w:r>
              <w:rPr>
                <w:rFonts w:ascii="游ゴシック" w:cs="游ゴシック" w:eastAsia="游ゴシック" w:hAnsi="游ゴシック"/>
                <w:b/>
                <w:bCs/>
                <w:sz w:val="18"/>
                <w:szCs w:val="18"/>
              </w:rPr>
              <w:t xml:space="preserve">原発関連財源との関係</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電源立地交付金により一般会計は相対的に余裕があるが、水道事業会計は独立採算が原則</w:t>
            </w:r>
          </w:p>
        </w:tc>
        <w:tc>
          <w:tcPr>
            <w:tcW w:type="dxa" w:w="348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游ゴシック" w:cs="游ゴシック" w:eastAsia="游ゴシック" w:hAnsi="游ゴシック"/>
                <w:b w:val="false"/>
                <w:bCs w:val="false"/>
                <w:sz w:val="18"/>
                <w:szCs w:val="18"/>
              </w:rPr>
              <w:t xml:space="preserve">統一化にあたって、電源三法交付金等の活用余地を別途整理</w:t>
            </w:r>
          </w:p>
        </w:tc>
      </w:tr>
    </w:tbl>
    <w:p>
      <w:r>
        <w:t xml:space="preserve"/>
      </w:r>
    </w:p>
    <w:p>
      <w:pPr>
        <w:pStyle w:val="Heading2"/>
      </w:pPr>
      <w:r>
        <w:rPr>
          <w:rFonts w:ascii="游ゴシック" w:cs="游ゴシック" w:eastAsia="游ゴシック" w:hAnsi="游ゴシック"/>
        </w:rPr>
        <w:t xml:space="preserve">6.3 統一化における女川町の受益・負担構造(仮説)</w:t>
      </w:r>
    </w:p>
    <w:p>
      <w:pPr>
        <w:pStyle w:val="ListParagraph"/>
        <w:numPr>
          <w:ilvl w:val="0"/>
          <w:numId w:val="2"/>
        </w:numPr>
        <w:spacing w:after="40" w:before="40" w:line="320"/>
      </w:pPr>
      <w:r>
        <w:rPr>
          <w:rFonts w:ascii="游明朝" w:cs="游明朝" w:eastAsia="游明朝" w:hAnsi="游明朝"/>
          <w:sz w:val="22"/>
          <w:szCs w:val="22"/>
        </w:rPr>
        <w:t xml:space="preserve">受益と想定される側面: 固定費の県全体での分散、高コストな離島・半島給水の負担平準化、更新投資の共同実施によるスケールメリット</w:t>
      </w:r>
    </w:p>
    <w:p>
      <w:pPr>
        <w:pStyle w:val="ListParagraph"/>
        <w:numPr>
          <w:ilvl w:val="0"/>
          <w:numId w:val="2"/>
        </w:numPr>
        <w:spacing w:after="40" w:before="40" w:line="320"/>
      </w:pPr>
      <w:r>
        <w:rPr>
          <w:rFonts w:ascii="游明朝" w:cs="游明朝" w:eastAsia="游明朝" w:hAnsi="游明朝"/>
          <w:sz w:val="22"/>
          <w:szCs w:val="22"/>
        </w:rPr>
        <w:t xml:space="preserve">負担と想定される側面: 家庭用の一部で単価上昇の可能性(現行1,210円/10㎥は相対的に低水準であるため)、独自区分(船舶・湯屋)の廃止または再設計コスト</w:t>
      </w:r>
    </w:p>
    <w:p>
      <w:pPr>
        <w:pStyle w:val="ListParagraph"/>
        <w:numPr>
          <w:ilvl w:val="0"/>
          <w:numId w:val="2"/>
        </w:numPr>
        <w:spacing w:after="40" w:before="40" w:line="320"/>
      </w:pPr>
      <w:r>
        <w:rPr>
          <w:rFonts w:ascii="游明朝" w:cs="游明朝" w:eastAsia="游明朝" w:hAnsi="游明朝"/>
          <w:sz w:val="22"/>
          <w:szCs w:val="22"/>
        </w:rPr>
        <w:t xml:space="preserve">産業政策上の留意点: 水産加工業への影響は、統一後の料金設計次第で大きく変わる。町の基幹産業保護の観点から、激変緩和措置が必要</w:t>
      </w:r>
    </w:p>
    <w:p>
      <w:r>
        <w:t xml:space="preserve"/>
      </w:r>
    </w:p>
    <w:p>
      <w:pPr>
        <w:pStyle w:val="Heading1"/>
      </w:pPr>
      <w:r>
        <w:rPr>
          <w:rFonts w:ascii="游ゴシック" w:cs="游ゴシック" w:eastAsia="游ゴシック" w:hAnsi="游ゴシック"/>
        </w:rPr>
        <w:t xml:space="preserve">7. 次段階での必要な検討項目</w:t>
      </w:r>
    </w:p>
    <w:p>
      <w:pPr>
        <w:pStyle w:val="ListParagraph"/>
        <w:numPr>
          <w:ilvl w:val="0"/>
          <w:numId w:val="2"/>
        </w:numPr>
        <w:spacing w:after="40" w:before="40" w:line="320"/>
      </w:pPr>
      <w:r>
        <w:rPr>
          <w:rFonts w:ascii="游明朝" w:cs="游明朝" w:eastAsia="游明朝" w:hAnsi="游明朝"/>
          <w:sz w:val="22"/>
          <w:szCs w:val="22"/>
        </w:rPr>
        <w:t xml:space="preserve">女川町の実使用水量データの詳細分析(家庭用・水産加工業・船舶用・湯屋用の構成比、上位大口使用者の使用量推移)</w:t>
      </w:r>
    </w:p>
    <w:p>
      <w:pPr>
        <w:pStyle w:val="ListParagraph"/>
        <w:numPr>
          <w:ilvl w:val="0"/>
          <w:numId w:val="2"/>
        </w:numPr>
        <w:spacing w:after="40" w:before="40" w:line="320"/>
      </w:pPr>
      <w:r>
        <w:rPr>
          <w:rFonts w:ascii="游明朝" w:cs="游明朝" w:eastAsia="游明朝" w:hAnsi="游明朝"/>
          <w:sz w:val="22"/>
          <w:szCs w:val="22"/>
        </w:rPr>
        <w:t xml:space="preserve">水産加工業の水使用実態調査(1社当たりの平均使用量、季節変動、統一料金適用時の影響試算)</w:t>
      </w:r>
    </w:p>
    <w:p>
      <w:pPr>
        <w:pStyle w:val="ListParagraph"/>
        <w:numPr>
          <w:ilvl w:val="0"/>
          <w:numId w:val="2"/>
        </w:numPr>
        <w:spacing w:after="40" w:before="40" w:line="320"/>
      </w:pPr>
      <w:r>
        <w:rPr>
          <w:rFonts w:ascii="游明朝" w:cs="游明朝" w:eastAsia="游明朝" w:hAnsi="游明朝"/>
          <w:sz w:val="22"/>
          <w:szCs w:val="22"/>
        </w:rPr>
        <w:t xml:space="preserve">県内臨海団体(気仙沼市・塩竈市・石巻市・多賀城市・名取市・岩沼市・七ヶ浜町・山元町・南三陸町・松島町・亘理町)における船舶給水の有無と体系の実態調査</w:t>
      </w:r>
    </w:p>
    <w:p>
      <w:pPr>
        <w:pStyle w:val="ListParagraph"/>
        <w:numPr>
          <w:ilvl w:val="0"/>
          <w:numId w:val="2"/>
        </w:numPr>
        <w:spacing w:after="40" w:before="40" w:line="320"/>
      </w:pPr>
      <w:r>
        <w:rPr>
          <w:rFonts w:ascii="游明朝" w:cs="游明朝" w:eastAsia="游明朝" w:hAnsi="游明朝"/>
          <w:sz w:val="22"/>
          <w:szCs w:val="22"/>
        </w:rPr>
        <w:t xml:space="preserve">女川町の財政指標(給水原価、企業債残高、内部留保資金、更新投資計画)の県内団体平均との比較</w:t>
      </w:r>
    </w:p>
    <w:p>
      <w:pPr>
        <w:pStyle w:val="ListParagraph"/>
        <w:numPr>
          <w:ilvl w:val="0"/>
          <w:numId w:val="2"/>
        </w:numPr>
        <w:spacing w:after="40" w:before="40" w:line="320"/>
      </w:pPr>
      <w:r>
        <w:rPr>
          <w:rFonts w:ascii="游明朝" w:cs="游明朝" w:eastAsia="游明朝" w:hAnsi="游明朝"/>
          <w:sz w:val="22"/>
          <w:szCs w:val="22"/>
        </w:rPr>
        <w:t xml:space="preserve">統一料金適用シミュレーション(家庭標準世帯、水産加工業中規模事業者、湯屋事業者それぞれの影響額算出)</w:t>
      </w:r>
    </w:p>
    <w:p>
      <w:pPr>
        <w:pStyle w:val="ListParagraph"/>
        <w:numPr>
          <w:ilvl w:val="0"/>
          <w:numId w:val="2"/>
        </w:numPr>
        <w:spacing w:after="40" w:before="40" w:line="320"/>
      </w:pPr>
      <w:r>
        <w:rPr>
          <w:rFonts w:ascii="游明朝" w:cs="游明朝" w:eastAsia="游明朝" w:hAnsi="游明朝"/>
          <w:sz w:val="22"/>
          <w:szCs w:val="22"/>
        </w:rPr>
        <w:t xml:space="preserve">経過措置の設計(香川県方式の10年区分経理を宮城版にアレンジした場合の女川町への影響)</w:t>
      </w:r>
    </w:p>
    <w:p>
      <w:r>
        <w:t xml:space="preserve"/>
      </w:r>
    </w:p>
    <w:p>
      <w:pPr>
        <w:pStyle w:val="Heading1"/>
      </w:pPr>
      <w:r>
        <w:rPr>
          <w:rFonts w:ascii="游ゴシック" w:cs="游ゴシック" w:eastAsia="游ゴシック" w:hAnsi="游ゴシック"/>
        </w:rPr>
        <w:t xml:space="preserve">出典・参考資料</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女川町公式ウェブサイト「上下水道料金及び支払方法」(令和6年4月以降適用)</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女川町公式ウェブサイト「公共下水道」、「水道に関するQ&amp;A」</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石巻地方広域水道企業団「水道料金の改定について」(令和5年4月改定)</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石巻地方広域水道企業団給水条例、同施行規則</w:t>
      </w:r>
    </w:p>
    <w:p>
      <w:pPr>
        <w:pStyle w:val="ListParagraph"/>
        <w:numPr>
          <w:ilvl w:val="0"/>
          <w:numId w:val="2"/>
        </w:numPr>
        <w:spacing w:after="40" w:before="40" w:line="320"/>
      </w:pPr>
      <w:r>
        <w:rPr>
          <w:rFonts w:ascii="游明朝" w:cs="游明朝" w:eastAsia="游明朝" w:hAnsi="游明朝"/>
          <w:sz w:val="22"/>
          <w:szCs w:val="22"/>
        </w:rPr>
        <w:t xml:space="preserve">仙台市水道局「水道料金のしくみと料金表」、「よくある質問Q&amp;A(水道料金)」</w:t>
      </w:r>
    </w:p>
    <w:p>
      <w:pPr>
        <w:pStyle w:val="ListParagraph"/>
        <w:numPr>
          <w:ilvl w:val="0"/>
          <w:numId w:val="2"/>
        </w:numPr>
        <w:spacing w:after="40" w:before="40" w:line="320"/>
      </w:pPr>
      <w:r>
        <w:rPr>
          <w:rFonts w:ascii="游明朝" w:cs="游明朝" w:eastAsia="游明朝" w:hAnsi="游明朝"/>
          <w:sz w:val="22"/>
          <w:szCs w:val="22"/>
        </w:rPr>
        <w:t xml:space="preserve">登米市上下水道部「登米市の水道料金」</w:t>
      </w:r>
    </w:p>
    <w:p>
      <w:pPr>
        <w:pStyle w:val="ListParagraph"/>
        <w:numPr>
          <w:ilvl w:val="0"/>
          <w:numId w:val="2"/>
        </w:numPr>
        <w:spacing w:after="40" w:before="40" w:line="320"/>
      </w:pPr>
      <w:r>
        <w:rPr>
          <w:rFonts w:ascii="游明朝" w:cs="游明朝" w:eastAsia="游明朝" w:hAnsi="游明朝"/>
          <w:sz w:val="22"/>
          <w:szCs w:val="22"/>
        </w:rPr>
        <w:t xml:space="preserve">女川町 Wikipedia、女川原子力発電所 Wikipedia(地理・産業・人口動態情報)</w:t>
      </w:r>
    </w:p>
    <w:p>
      <w:pPr>
        <w:pStyle w:val="ListParagraph"/>
        <w:numPr>
          <w:ilvl w:val="0"/>
          <w:numId w:val="2"/>
        </w:numPr>
        <w:spacing w:after="40" w:before="40" w:line="320"/>
      </w:pPr>
      <w:r>
        <w:rPr>
          <w:rFonts w:ascii="游明朝" w:cs="游明朝" w:eastAsia="游明朝" w:hAnsi="游明朝"/>
          <w:sz w:val="22"/>
          <w:szCs w:val="22"/>
        </w:rPr>
        <w:t xml:space="preserve">東京新聞「女川原発の地元を待つ険しすぎる前途」(2024年6月、人口動態)</w:t>
      </w:r>
    </w:p>
    <w:p>
      <w:pPr>
        <w:pStyle w:val="ListParagraph"/>
        <w:numPr>
          <w:ilvl w:val="0"/>
          <w:numId w:val="2"/>
        </w:numPr>
        <w:spacing w:after="40" w:before="40" w:line="320"/>
      </w:pPr>
      <w:r>
        <w:rPr>
          <w:rFonts w:ascii="游明朝" w:cs="游明朝" w:eastAsia="游明朝" w:hAnsi="游明朝"/>
          <w:sz w:val="22"/>
          <w:szCs w:val="22"/>
        </w:rPr>
        <w:t xml:space="preserve">宮城県公式ウェブサイト「大崎広域水道事業及び仙南・仙塩広域水道事業の料金改定について」</w:t>
      </w:r>
    </w:p>
    <w:p>
      <w:r>
        <w:t xml:space="preserve"/>
      </w:r>
    </w:p>
    <w:p>
      <w:pPr>
        <w:spacing w:after="60" w:before="60" w:line="340"/>
        <w:jc w:val="left"/>
      </w:pPr>
      <w:r>
        <w:rPr>
          <w:rFonts w:ascii="游明朝" w:cs="游明朝" w:eastAsia="游明朝" w:hAnsi="游明朝"/>
          <w:b w:val="false"/>
          <w:bCs w:val="false"/>
          <w:sz w:val="22"/>
          <w:szCs w:val="22"/>
        </w:rPr>
        <w:t xml:space="preserve">※ 本資料は公表情報に基づく分析です。具体的な統一化検討に際しては、女川町および関係団体の最新の経営指標・条例改正状況を個別に確認する必要があります。</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女川町水道料金体系 比較検討資料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游明朝" w:cs="游明朝" w:eastAsia="游明朝" w:hAnsi="游明朝"/>
        <w:sz w:val="22"/>
        <w:szCs w:val="22"/>
      </w:rPr>
    </w:lvl>
    <w:lvl w:ilvl="1" w15:tentative="1">
      <w:start w:val="1"/>
      <w:numFmt w:val="bullet"/>
      <w:lvlText w:val="○"/>
      <w:lvlJc w:val="left"/>
      <w:pPr>
        <w:ind w:left="1080" w:hanging="270"/>
      </w:pPr>
      <w:rPr>
        <w:rFonts w:ascii="游明朝" w:cs="游明朝" w:eastAsia="游明朝" w:hAnsi="游明朝"/>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4"/>
      </w:pBdr>
      <w:spacing w:after="180" w:before="360"/>
      <w:outlineLvl w:val="0"/>
    </w:pPr>
    <w:rPr>
      <w:rFonts w:ascii="游ゴシック" w:cs="游ゴシック" w:eastAsia="游ゴシック" w:hAnsi="游ゴシック"/>
      <w:b/>
      <w:bCs/>
      <w:color w:val="1F4E78"/>
      <w:sz w:val="30"/>
      <w:szCs w:val="30"/>
    </w:rPr>
  </w:style>
  <w:style w:type="paragraph" w:styleId="Heading2">
    <w:name w:val="Heading 2"/>
    <w:basedOn w:val="Normal"/>
    <w:next w:val="Normal"/>
    <w:qFormat/>
    <w:pPr>
      <w:spacing w:after="120" w:before="240"/>
      <w:outlineLvl w:val="1"/>
    </w:pPr>
    <w:rPr>
      <w:rFonts w:ascii="游ゴシック" w:cs="游ゴシック" w:eastAsia="游ゴシック" w:hAnsi="游ゴシック"/>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女川町水道料金体系の比較検討資料</dc:title>
  <dc:subject>令和8年度上下水道経営指標評価書作成等業務委託</dc:subject>
  <dc:creator>若山諒太</dc:creator>
  <cp:lastModifiedBy>若山諒太</cp:lastModifiedBy>
  <cp:revision>1</cp:revision>
  <dcterms:created xsi:type="dcterms:W3CDTF">2026-09-28T10:17:35Z</dcterms:created>
  <dcterms:modified xsi:type="dcterms:W3CDTF">2026-09-28T10:17:35Z</dcterms:modified>
  <cp:category>ビズアップ公共コンサルティング株式会社</cp:category>
</cp:coreProperties>
</file>

<file path=docProps/custom.xml><?xml version="1.0" encoding="utf-8"?>
<Properties xmlns="http://schemas.openxmlformats.org/officeDocument/2006/custom-properties" xmlns:vt="http://schemas.openxmlformats.org/officeDocument/2006/docPropsVTypes"/>
</file>