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118</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n=439。参加している割合は15.9％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総額は計画に近い一方、居宅サービスは計画を下回り、施設サービスは上回りました。この乖離には、町内事業所の縮小（訪問介護の登録ヘルパーの減少）と、住所地特例24人（令和8年3月末）に表れる町外施設の利用の常態化が影響した可能性がありますが、在宅から施設等への移行の実態及び原因は確かめられていません（町内外別の利用者数や経年の推移等による追加の検証を要します）。第10期のサービス見込量は、令和7年度の利用実績を出発点としているため、この利用の構成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第1回策定委員会で報告された1ユニット分の人員の削減、訪問介護の従業者が常勤換算4.5人、施設・居住系の介護職員（常勤換算）82.8人→80.5人、給付費の平坦化（令和7年度0.7％減）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一般高齢者調査（調査の回答者のうちの割合。通いの場の参加者数÷65歳以上人口による参加率は、地域支援事業のデータの受領後に別の指標として置きます）</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一般高齢者調査の回答者のうち実際に参加している割合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通いの場等に参加していない方へ個別に働きかけ、参加につなげます。参加意向55.2％に対し参加割合15.9％（いずれも一般高齢者調査の回答者）という開きを埋める取組です。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町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令和7年度の入所・居住系の給付費680,226千円÷介護保険事業状況報告の受給者数延べ2,274人月）×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通いの場への参加割合（調査）・参加者数（町実績）／特定健診受診率／サポーター活動回数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各年齢階級の人数は1人未満を四捨五入して表示し、計は小数のまま合計してから四捨五入しています。このため認知症の人の数は、内訳の和（372人）と計（374人）が2人一致し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は把握の方法と対象が異なるため、単純な差を、要介護認定を受けておられない認知症の方の数と読むことはできません。地域の状況を検討する参考として並べて掲げ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計画の実施状況を毎年度評価し、結果を公表します。評価にあたっては、認知症の人及び家族等の意見を聴きます（認知症基本法第13条第3項において準用する第12条第5項）。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保険給付費（介護保険事業状況報告 様式3 の支払額。審査支払手数料を含まない）は令和6年度の1,092,621千円から令和7年度の1,084,587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評価結果の活用」の16点は、新たな事業も予算も要さずに回復できる。要件は評価を実施することではなく、交付金の評価結果を共有・活用・公表する手順が定まっていることである。とりわけ要件エ（公表）は、宮城県内35市町村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1,084,826千円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令和7年度実績：介護保険事業状況報告（年報・令和7年度）／令和9〜11年度：本計画の算定値。令和7年度の標準給付費見込額は、上の5項目の和です（総給付費は様式2の給付費。審査支払手数料は審査件数10,929件×60円による）。2-4の「保険給付の支払状況」（様式3）の計1,084,587千円とは、①審査支払手数料を含まないこと、②介護・介護予防サービス等諸費の支払額（998,639千円）が様式2の給付費（998,222千円）を417千円上回ること（支払額と給付実績という集計の違い）により、239千円異なります。令和9〜11年度は、円単位の算定値を合計してから千円未満を四捨五入しているため、内訳の和と1千円異なる年度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第10期では、後期高齢者の増加と認知症基本法対応に伴う認知症施策の拡充により、給付費の上方圧力が見込まれます。一方で、保険給付費（様式3 の支払額）は令和6年度1,092,621千円から令和7年度1,084,587千円へ0.7％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試算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こで「保険料収納必要額」は3年間の合計値です。「所得段階別加入割合補正後被保険者数」は、所得段階別の被保険者数に各段階の基準額に対する割合（乗率）を乗じて合計した値です。本試算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試算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本試算の置き方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欄は、本試算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調整済み認定率、通いの場への参加割合、外出を控えている高齢者の割合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通いの場への参加割合（一般高齢者調査の回答者。65歳以上）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保健福祉課／次期ニーズ調査（調査の回答者のうちの割合。通いの場の参加者数÷65歳以上人口による参加率は、地域支援事業のデータの受領後に別の指標として置きます）</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計画のKPIのうち、現時点で現状値が確定しているのは調査により把握できる3指標（通いの場への参加割合（調査の回答者）、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