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第4版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Heading2"/>
      </w:pPr>
      <w:r>
        <w:t>4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5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6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7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は0.6％、費用は3.9％、手続きの分かりにくさは4.5％にとどまり、上位3つの需要側の要因が合計92.9％を占め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第1段階0.285（22,600円）、第2段階0.485（38,500円）、第3段階0.685（54,300円）、第4段階0.9（71,300円）</w:t>
            </w:r>
          </w:p>
        </w:tc>
        <w:tc>
          <w:tcPr>
            <w:tcW w:type="dxa" w:w="2160"/>
          </w:tcPr>
          <w:p>
            <w:r/>
            <w:r>
              <w:rPr>
                <w:sz w:val="18"/>
              </w:rPr>
              <w:t>所得第1〜3段階の割合は28％。低所得者保険料軽減の繰入金は平成27年度2.1百万円→令和5年度16.5百万円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92.9％を占め、供給制約は0.6％</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在宅受給率が12.2％から10.3％、在宅サービス利用率が59.3％から44.1％へ低下。令和7年度調査では在宅の認定者の42.1％が未利用で、理由は需要側が92.9％、供給制約は0.6％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