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素案（第11稿・調査結果と供給構造の反映）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91"/>
          </w:tcPr>
          <w:p>
            <w:r/>
            <w:r>
              <w:rPr>
                <w:rFonts w:ascii="游ゴシック" w:hAnsi="游ゴシック" w:eastAsia="游ゴシック"/>
                <w:b/>
                <w:sz w:val="17"/>
              </w:rPr>
              <w:t>項目</w:t>
            </w:r>
          </w:p>
        </w:tc>
        <w:tc>
          <w:tcPr>
            <w:tcW w:type="dxa" w:w="1315"/>
          </w:tcPr>
          <w:p>
            <w:r/>
            <w:r>
              <w:rPr>
                <w:rFonts w:ascii="游ゴシック" w:hAnsi="游ゴシック" w:eastAsia="游ゴシック"/>
                <w:b/>
                <w:sz w:val="17"/>
              </w:rPr>
              <w:t>R3</w:t>
            </w:r>
          </w:p>
        </w:tc>
        <w:tc>
          <w:tcPr>
            <w:tcW w:type="dxa" w:w="1315"/>
          </w:tcPr>
          <w:p>
            <w:r/>
            <w:r>
              <w:rPr>
                <w:rFonts w:ascii="游ゴシック" w:hAnsi="游ゴシック" w:eastAsia="游ゴシック"/>
                <w:b/>
                <w:sz w:val="17"/>
              </w:rPr>
              <w:t>R4</w:t>
            </w:r>
          </w:p>
        </w:tc>
        <w:tc>
          <w:tcPr>
            <w:tcW w:type="dxa" w:w="1315"/>
          </w:tcPr>
          <w:p>
            <w:r/>
            <w:r>
              <w:rPr>
                <w:rFonts w:ascii="游ゴシック" w:hAnsi="游ゴシック" w:eastAsia="游ゴシック"/>
                <w:b/>
                <w:sz w:val="17"/>
              </w:rPr>
              <w:t>R5</w:t>
            </w:r>
          </w:p>
        </w:tc>
        <w:tc>
          <w:tcPr>
            <w:tcW w:type="dxa" w:w="3616"/>
          </w:tcPr>
          <w:p>
            <w:r/>
            <w:r>
              <w:rPr>
                <w:rFonts w:ascii="游ゴシック" w:hAnsi="游ゴシック" w:eastAsia="游ゴシック"/>
                <w:b/>
                <w:sz w:val="17"/>
              </w:rPr>
              <w:t>第10期での扱い</w:t>
            </w:r>
          </w:p>
        </w:tc>
      </w:tr>
      <w:tr>
        <w:tc>
          <w:tcPr>
            <w:tcW w:type="dxa" w:w="2191"/>
          </w:tcPr>
          <w:p>
            <w:r/>
            <w:r>
              <w:rPr>
                <w:rFonts w:ascii="游ゴシック" w:hAnsi="游ゴシック" w:eastAsia="游ゴシック"/>
                <w:sz w:val="17"/>
              </w:rPr>
              <w:t>保険料収入</w:t>
            </w:r>
          </w:p>
        </w:tc>
        <w:tc>
          <w:tcPr>
            <w:tcW w:type="dxa" w:w="1315"/>
          </w:tcPr>
          <w:p>
            <w:r/>
            <w:r>
              <w:rPr>
                <w:rFonts w:ascii="游ゴシック" w:hAnsi="游ゴシック" w:eastAsia="游ゴシック"/>
                <w:sz w:val="17"/>
              </w:rPr>
              <w:t>638.6</w:t>
            </w:r>
          </w:p>
        </w:tc>
        <w:tc>
          <w:tcPr>
            <w:tcW w:type="dxa" w:w="1315"/>
          </w:tcPr>
          <w:p>
            <w:r/>
            <w:r>
              <w:rPr>
                <w:rFonts w:ascii="游ゴシック" w:hAnsi="游ゴシック" w:eastAsia="游ゴシック"/>
                <w:sz w:val="17"/>
              </w:rPr>
              <w:t>637.0</w:t>
            </w:r>
          </w:p>
        </w:tc>
        <w:tc>
          <w:tcPr>
            <w:tcW w:type="dxa" w:w="1315"/>
          </w:tcPr>
          <w:p>
            <w:r/>
            <w:r>
              <w:rPr>
                <w:rFonts w:ascii="游ゴシック" w:hAnsi="游ゴシック" w:eastAsia="游ゴシック"/>
                <w:sz w:val="17"/>
              </w:rPr>
              <w:t>636.0</w:t>
            </w:r>
          </w:p>
        </w:tc>
        <w:tc>
          <w:tcPr>
            <w:tcW w:type="dxa" w:w="3616"/>
          </w:tcPr>
          <w:p>
            <w:r/>
            <w:r>
              <w:rPr>
                <w:rFonts w:ascii="游ゴシック" w:hAnsi="游ゴシック" w:eastAsia="游ゴシック"/>
                <w:sz w:val="17"/>
              </w:rPr>
              <w:t>R5決算を基礎資料としてR6～R8へ更新</w:t>
            </w:r>
          </w:p>
        </w:tc>
      </w:tr>
      <w:tr>
        <w:tc>
          <w:tcPr>
            <w:tcW w:type="dxa" w:w="2191"/>
          </w:tcPr>
          <w:p>
            <w:r/>
            <w:r>
              <w:rPr>
                <w:rFonts w:ascii="游ゴシック" w:hAnsi="游ゴシック" w:eastAsia="游ゴシック"/>
                <w:sz w:val="17"/>
              </w:rPr>
              <w:t>保険給付費</w:t>
            </w:r>
          </w:p>
        </w:tc>
        <w:tc>
          <w:tcPr>
            <w:tcW w:type="dxa" w:w="1315"/>
          </w:tcPr>
          <w:p>
            <w:r/>
            <w:r>
              <w:rPr>
                <w:rFonts w:ascii="游ゴシック" w:hAnsi="游ゴシック" w:eastAsia="游ゴシック"/>
                <w:sz w:val="17"/>
              </w:rPr>
              <w:t>2,992.0</w:t>
            </w:r>
          </w:p>
        </w:tc>
        <w:tc>
          <w:tcPr>
            <w:tcW w:type="dxa" w:w="1315"/>
          </w:tcPr>
          <w:p>
            <w:r/>
            <w:r>
              <w:rPr>
                <w:rFonts w:ascii="游ゴシック" w:hAnsi="游ゴシック" w:eastAsia="游ゴシック"/>
                <w:sz w:val="17"/>
              </w:rPr>
              <w:t>2,907.2</w:t>
            </w:r>
          </w:p>
        </w:tc>
        <w:tc>
          <w:tcPr>
            <w:tcW w:type="dxa" w:w="1315"/>
          </w:tcPr>
          <w:p>
            <w:r/>
            <w:r>
              <w:rPr>
                <w:rFonts w:ascii="游ゴシック" w:hAnsi="游ゴシック" w:eastAsia="游ゴシック"/>
                <w:sz w:val="17"/>
              </w:rPr>
              <w:t>2,940.4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地域支援事業費</w:t>
            </w:r>
          </w:p>
        </w:tc>
        <w:tc>
          <w:tcPr>
            <w:tcW w:type="dxa" w:w="1315"/>
          </w:tcPr>
          <w:p>
            <w:r/>
            <w:r>
              <w:rPr>
                <w:rFonts w:ascii="游ゴシック" w:hAnsi="游ゴシック" w:eastAsia="游ゴシック"/>
                <w:sz w:val="17"/>
              </w:rPr>
              <w:t>177.3</w:t>
            </w:r>
          </w:p>
        </w:tc>
        <w:tc>
          <w:tcPr>
            <w:tcW w:type="dxa" w:w="1315"/>
          </w:tcPr>
          <w:p>
            <w:r/>
            <w:r>
              <w:rPr>
                <w:rFonts w:ascii="游ゴシック" w:hAnsi="游ゴシック" w:eastAsia="游ゴシック"/>
                <w:sz w:val="17"/>
              </w:rPr>
              <w:t>182.1</w:t>
            </w:r>
          </w:p>
        </w:tc>
        <w:tc>
          <w:tcPr>
            <w:tcW w:type="dxa" w:w="1315"/>
          </w:tcPr>
          <w:p>
            <w:r/>
            <w:r>
              <w:rPr>
                <w:rFonts w:ascii="游ゴシック" w:hAnsi="游ゴシック" w:eastAsia="游ゴシック"/>
                <w:sz w:val="17"/>
              </w:rPr>
              <w:t>177.5</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歳入歳出差引</w:t>
            </w:r>
          </w:p>
        </w:tc>
        <w:tc>
          <w:tcPr>
            <w:tcW w:type="dxa" w:w="1315"/>
          </w:tcPr>
          <w:p>
            <w:r/>
            <w:r>
              <w:rPr>
                <w:rFonts w:ascii="游ゴシック" w:hAnsi="游ゴシック" w:eastAsia="游ゴシック"/>
                <w:sz w:val="17"/>
              </w:rPr>
              <w:t>94.9</w:t>
            </w:r>
          </w:p>
        </w:tc>
        <w:tc>
          <w:tcPr>
            <w:tcW w:type="dxa" w:w="1315"/>
          </w:tcPr>
          <w:p>
            <w:r/>
            <w:r>
              <w:rPr>
                <w:rFonts w:ascii="游ゴシック" w:hAnsi="游ゴシック" w:eastAsia="游ゴシック"/>
                <w:sz w:val="17"/>
              </w:rPr>
              <w:t>86.7</w:t>
            </w:r>
          </w:p>
        </w:tc>
        <w:tc>
          <w:tcPr>
            <w:tcW w:type="dxa" w:w="1315"/>
          </w:tcPr>
          <w:p>
            <w:r/>
            <w:r>
              <w:rPr>
                <w:rFonts w:ascii="游ゴシック" w:hAnsi="游ゴシック" w:eastAsia="游ゴシック"/>
                <w:sz w:val="17"/>
              </w:rPr>
              <w:t>134.4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基金取崩額</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3616"/>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出典：介護人材実態調査（第10期分・令和7年4月1日現在）。訪問系は区域内13事業所のうち3事業所からの回答であり、訪問系を含む数値は区域全体を代表するものではありません。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36452"/>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36452"/>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達成（▲0.1pt）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未達（▲1.2pt）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802"/>
          </w:tcPr>
          <w:p>
            <w:r/>
            <w:r>
              <w:rPr>
                <w:rFonts w:ascii="游ゴシック" w:hAnsi="游ゴシック" w:eastAsia="游ゴシック"/>
                <w:b/>
                <w:sz w:val="17"/>
              </w:rPr>
              <w:t>区分</w:t>
            </w:r>
          </w:p>
        </w:tc>
        <w:tc>
          <w:tcPr>
            <w:tcW w:type="dxa" w:w="795"/>
          </w:tcPr>
          <w:p>
            <w:r/>
            <w:r>
              <w:rPr>
                <w:rFonts w:ascii="游ゴシック" w:hAnsi="游ゴシック" w:eastAsia="游ゴシック"/>
                <w:b/>
                <w:sz w:val="17"/>
              </w:rPr>
              <w:t>H29</w:t>
            </w:r>
          </w:p>
        </w:tc>
        <w:tc>
          <w:tcPr>
            <w:tcW w:type="dxa" w:w="795"/>
          </w:tcPr>
          <w:p>
            <w:r/>
            <w:r>
              <w:rPr>
                <w:rFonts w:ascii="游ゴシック" w:hAnsi="游ゴシック" w:eastAsia="游ゴシック"/>
                <w:b/>
                <w:sz w:val="17"/>
              </w:rPr>
              <w:t>H30</w:t>
            </w:r>
          </w:p>
        </w:tc>
        <w:tc>
          <w:tcPr>
            <w:tcW w:type="dxa" w:w="795"/>
          </w:tcPr>
          <w:p>
            <w:r/>
            <w:r>
              <w:rPr>
                <w:rFonts w:ascii="游ゴシック" w:hAnsi="游ゴシック" w:eastAsia="游ゴシック"/>
                <w:b/>
                <w:sz w:val="17"/>
              </w:rPr>
              <w:t>R元</w:t>
            </w:r>
          </w:p>
        </w:tc>
        <w:tc>
          <w:tcPr>
            <w:tcW w:type="dxa" w:w="795"/>
          </w:tcPr>
          <w:p>
            <w:r/>
            <w:r>
              <w:rPr>
                <w:rFonts w:ascii="游ゴシック" w:hAnsi="游ゴシック" w:eastAsia="游ゴシック"/>
                <w:b/>
                <w:sz w:val="17"/>
              </w:rPr>
              <w:t>R2</w:t>
            </w:r>
          </w:p>
        </w:tc>
        <w:tc>
          <w:tcPr>
            <w:tcW w:type="dxa" w:w="1060"/>
          </w:tcPr>
          <w:p>
            <w:r/>
            <w:r>
              <w:rPr>
                <w:rFonts w:ascii="游ゴシック" w:hAnsi="游ゴシック" w:eastAsia="游ゴシック"/>
                <w:b/>
                <w:sz w:val="17"/>
              </w:rPr>
              <w:t>北海道R2</w:t>
            </w:r>
          </w:p>
        </w:tc>
        <w:tc>
          <w:tcPr>
            <w:tcW w:type="dxa" w:w="1060"/>
          </w:tcPr>
          <w:p>
            <w:r/>
            <w:r>
              <w:rPr>
                <w:rFonts w:ascii="游ゴシック" w:hAnsi="游ゴシック" w:eastAsia="游ゴシック"/>
                <w:b/>
                <w:sz w:val="17"/>
              </w:rPr>
              <w:t>全国R2</w:t>
            </w:r>
          </w:p>
        </w:tc>
        <w:tc>
          <w:tcPr>
            <w:tcW w:type="dxa" w:w="2650"/>
          </w:tcPr>
          <w:p>
            <w:r/>
            <w:r>
              <w:rPr>
                <w:rFonts w:ascii="游ゴシック" w:hAnsi="游ゴシック" w:eastAsia="游ゴシック"/>
                <w:b/>
                <w:sz w:val="17"/>
              </w:rPr>
              <w:t>評価</w:t>
            </w:r>
          </w:p>
        </w:tc>
      </w:tr>
      <w:tr>
        <w:tc>
          <w:tcPr>
            <w:tcW w:type="dxa" w:w="1802"/>
          </w:tcPr>
          <w:p>
            <w:r/>
            <w:r>
              <w:rPr>
                <w:rFonts w:ascii="游ゴシック" w:hAnsi="游ゴシック" w:eastAsia="游ゴシック"/>
                <w:sz w:val="17"/>
              </w:rPr>
              <w:t>月1回以上の参加率</w:t>
            </w:r>
          </w:p>
        </w:tc>
        <w:tc>
          <w:tcPr>
            <w:tcW w:type="dxa" w:w="795"/>
          </w:tcPr>
          <w:p>
            <w:r/>
            <w:r>
              <w:rPr>
                <w:rFonts w:ascii="游ゴシック" w:hAnsi="游ゴシック" w:eastAsia="游ゴシック"/>
                <w:sz w:val="17"/>
              </w:rPr>
              <w:t>3.1％</w:t>
            </w:r>
          </w:p>
        </w:tc>
        <w:tc>
          <w:tcPr>
            <w:tcW w:type="dxa" w:w="795"/>
          </w:tcPr>
          <w:p>
            <w:r/>
            <w:r>
              <w:rPr>
                <w:rFonts w:ascii="游ゴシック" w:hAnsi="游ゴシック" w:eastAsia="游ゴシック"/>
                <w:sz w:val="17"/>
              </w:rPr>
              <w:t>3.0％</w:t>
            </w:r>
          </w:p>
        </w:tc>
        <w:tc>
          <w:tcPr>
            <w:tcW w:type="dxa" w:w="795"/>
          </w:tcPr>
          <w:p>
            <w:r/>
            <w:r>
              <w:rPr>
                <w:rFonts w:ascii="游ゴシック" w:hAnsi="游ゴシック" w:eastAsia="游ゴシック"/>
                <w:sz w:val="17"/>
              </w:rPr>
              <w:t>2.7％</w:t>
            </w:r>
          </w:p>
        </w:tc>
        <w:tc>
          <w:tcPr>
            <w:tcW w:type="dxa" w:w="795"/>
          </w:tcPr>
          <w:p>
            <w:r/>
            <w:r>
              <w:rPr>
                <w:rFonts w:ascii="游ゴシック" w:hAnsi="游ゴシック" w:eastAsia="游ゴシック"/>
                <w:sz w:val="17"/>
              </w:rPr>
              <w:t>1.6％</w:t>
            </w:r>
          </w:p>
        </w:tc>
        <w:tc>
          <w:tcPr>
            <w:tcW w:type="dxa" w:w="1060"/>
          </w:tcPr>
          <w:p>
            <w:r/>
            <w:r>
              <w:rPr>
                <w:rFonts w:ascii="游ゴシック" w:hAnsi="游ゴシック" w:eastAsia="游ゴシック"/>
                <w:sz w:val="17"/>
              </w:rPr>
              <w:t>3.9％</w:t>
            </w:r>
          </w:p>
        </w:tc>
        <w:tc>
          <w:tcPr>
            <w:tcW w:type="dxa" w:w="1060"/>
          </w:tcPr>
          <w:p>
            <w:r/>
            <w:r>
              <w:rPr>
                <w:rFonts w:ascii="游ゴシック" w:hAnsi="游ゴシック" w:eastAsia="游ゴシック"/>
                <w:sz w:val="17"/>
              </w:rPr>
              <w:t>5.2％</w:t>
            </w:r>
          </w:p>
        </w:tc>
        <w:tc>
          <w:tcPr>
            <w:tcW w:type="dxa" w:w="2650"/>
          </w:tcPr>
          <w:p>
            <w:r/>
            <w:r>
              <w:rPr>
                <w:rFonts w:ascii="游ゴシック" w:hAnsi="游ゴシック" w:eastAsia="游ゴシック"/>
                <w:sz w:val="17"/>
              </w:rPr>
              <w:t>北海道の41％、全国の31％。北海道の第9期目標5.37％を2.34pt下回る</w:t>
            </w:r>
          </w:p>
        </w:tc>
      </w:tr>
      <w:tr>
        <w:tc>
          <w:tcPr>
            <w:tcW w:type="dxa" w:w="1802"/>
          </w:tcPr>
          <w:p>
            <w:r/>
            <w:r>
              <w:rPr>
                <w:rFonts w:ascii="游ゴシック" w:hAnsi="游ゴシック" w:eastAsia="游ゴシック"/>
                <w:sz w:val="17"/>
              </w:rPr>
              <w:t>週1回以上の参加率</w:t>
            </w:r>
          </w:p>
        </w:tc>
        <w:tc>
          <w:tcPr>
            <w:tcW w:type="dxa" w:w="795"/>
          </w:tcPr>
          <w:p>
            <w:r/>
            <w:r>
              <w:rPr>
                <w:rFonts w:ascii="游ゴシック" w:hAnsi="游ゴシック" w:eastAsia="游ゴシック"/>
                <w:sz w:val="17"/>
              </w:rPr>
              <w:t>0.9％</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0.7％</w:t>
            </w:r>
          </w:p>
        </w:tc>
        <w:tc>
          <w:tcPr>
            <w:tcW w:type="dxa" w:w="1060"/>
          </w:tcPr>
          <w:p>
            <w:r/>
            <w:r>
              <w:rPr>
                <w:rFonts w:ascii="游ゴシック" w:hAnsi="游ゴシック" w:eastAsia="游ゴシック"/>
                <w:sz w:val="17"/>
              </w:rPr>
              <w:t>1.6％</w:t>
            </w:r>
          </w:p>
        </w:tc>
        <w:tc>
          <w:tcPr>
            <w:tcW w:type="dxa" w:w="1060"/>
          </w:tcPr>
          <w:p>
            <w:r/>
            <w:r>
              <w:rPr>
                <w:rFonts w:ascii="游ゴシック" w:hAnsi="游ゴシック" w:eastAsia="游ゴシック"/>
                <w:sz w:val="17"/>
              </w:rPr>
              <w:t>2.1％</w:t>
            </w:r>
          </w:p>
        </w:tc>
        <w:tc>
          <w:tcPr>
            <w:tcW w:type="dxa" w:w="2650"/>
          </w:tcPr>
          <w:p>
            <w:r/>
            <w:r>
              <w:rPr>
                <w:rFonts w:ascii="游ゴシック" w:hAnsi="游ゴシック" w:eastAsia="游ゴシック"/>
                <w:sz w:val="17"/>
              </w:rPr>
              <w:t>H25は大雪1.0％が全国0.7％を上回っていたが逆転した</w:t>
            </w:r>
          </w:p>
        </w:tc>
      </w:tr>
      <w:tr>
        <w:tc>
          <w:tcPr>
            <w:tcW w:type="dxa" w:w="1802"/>
          </w:tcPr>
          <w:p>
            <w:r/>
            <w:r>
              <w:rPr>
                <w:rFonts w:ascii="游ゴシック" w:hAnsi="游ゴシック" w:eastAsia="游ゴシック"/>
                <w:sz w:val="17"/>
              </w:rPr>
              <w:t>週1回以上の箇所数</w:t>
            </w:r>
          </w:p>
        </w:tc>
        <w:tc>
          <w:tcPr>
            <w:tcW w:type="dxa" w:w="795"/>
          </w:tcPr>
          <w:p>
            <w:r/>
            <w:r>
              <w:rPr>
                <w:rFonts w:ascii="游ゴシック" w:hAnsi="游ゴシック" w:eastAsia="游ゴシック"/>
                <w:sz w:val="17"/>
              </w:rPr>
              <w:t>7箇所</w:t>
            </w:r>
          </w:p>
        </w:tc>
        <w:tc>
          <w:tcPr>
            <w:tcW w:type="dxa" w:w="795"/>
          </w:tcPr>
          <w:p>
            <w:r/>
            <w:r>
              <w:rPr>
                <w:rFonts w:ascii="游ゴシック" w:hAnsi="游ゴシック" w:eastAsia="游ゴシック"/>
                <w:sz w:val="17"/>
              </w:rPr>
              <w:t>6箇所</w:t>
            </w:r>
          </w:p>
        </w:tc>
        <w:tc>
          <w:tcPr>
            <w:tcW w:type="dxa" w:w="795"/>
          </w:tcPr>
          <w:p>
            <w:r/>
            <w:r>
              <w:rPr>
                <w:rFonts w:ascii="游ゴシック" w:hAnsi="游ゴシック" w:eastAsia="游ゴシック"/>
                <w:sz w:val="17"/>
              </w:rPr>
              <w:t>4箇所</w:t>
            </w:r>
          </w:p>
        </w:tc>
        <w:tc>
          <w:tcPr>
            <w:tcW w:type="dxa" w:w="795"/>
          </w:tcPr>
          <w:p>
            <w:r/>
            <w:r>
              <w:rPr>
                <w:rFonts w:ascii="游ゴシック" w:hAnsi="游ゴシック" w:eastAsia="游ゴシック"/>
                <w:sz w:val="17"/>
              </w:rPr>
              <w:t>3箇所</w:t>
            </w:r>
          </w:p>
        </w:tc>
        <w:tc>
          <w:tcPr>
            <w:tcW w:type="dxa" w:w="1060"/>
          </w:tcPr>
          <w:p>
            <w:r/>
            <w:r>
              <w:rPr>
                <w:rFonts w:ascii="游ゴシック" w:hAnsi="游ゴシック" w:eastAsia="游ゴシック"/>
                <w:sz w:val="17"/>
              </w:rPr>
              <w:t>1,766箇所</w:t>
            </w:r>
          </w:p>
        </w:tc>
        <w:tc>
          <w:tcPr>
            <w:tcW w:type="dxa" w:w="1060"/>
          </w:tcPr>
          <w:p>
            <w:r/>
            <w:r>
              <w:rPr>
                <w:rFonts w:ascii="游ゴシック" w:hAnsi="游ゴシック" w:eastAsia="游ゴシック"/>
                <w:sz w:val="17"/>
              </w:rPr>
              <w:t>47,181箇所</w:t>
            </w:r>
          </w:p>
        </w:tc>
        <w:tc>
          <w:tcPr>
            <w:tcW w:type="dxa" w:w="2650"/>
          </w:tcPr>
          <w:p>
            <w:r/>
            <w:r>
              <w:rPr>
                <w:rFonts w:ascii="游ゴシック" w:hAnsi="游ゴシック" w:eastAsia="游ゴシック"/>
                <w:sz w:val="17"/>
              </w:rPr>
              <w:t>65歳以上1万人当たり3.24箇所は全国13.12箇所の25％</w:t>
            </w:r>
          </w:p>
        </w:tc>
      </w:tr>
      <w:tr>
        <w:tc>
          <w:tcPr>
            <w:tcW w:type="dxa" w:w="1802"/>
          </w:tcPr>
          <w:p>
            <w:r/>
            <w:r>
              <w:rPr>
                <w:rFonts w:ascii="游ゴシック" w:hAnsi="游ゴシック" w:eastAsia="游ゴシック"/>
                <w:sz w:val="17"/>
              </w:rPr>
              <w:t>月1回以上の参加者数</w:t>
            </w:r>
          </w:p>
        </w:tc>
        <w:tc>
          <w:tcPr>
            <w:tcW w:type="dxa" w:w="795"/>
          </w:tcPr>
          <w:p>
            <w:r/>
            <w:r>
              <w:rPr>
                <w:rFonts w:ascii="游ゴシック" w:hAnsi="游ゴシック" w:eastAsia="游ゴシック"/>
                <w:sz w:val="17"/>
              </w:rPr>
              <w:t>277人</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151人</w:t>
            </w:r>
          </w:p>
        </w:tc>
        <w:tc>
          <w:tcPr>
            <w:tcW w:type="dxa" w:w="1060"/>
          </w:tcPr>
          <w:p>
            <w:r/>
            <w:r>
              <w:rPr>
                <w:rFonts w:ascii="游ゴシック" w:hAnsi="游ゴシック" w:eastAsia="游ゴシック"/>
                <w:sz w:val="17"/>
              </w:rPr>
              <w:t>―</w:t>
            </w:r>
          </w:p>
        </w:tc>
        <w:tc>
          <w:tcPr>
            <w:tcW w:type="dxa" w:w="1060"/>
          </w:tcPr>
          <w:p>
            <w:r/>
            <w:r>
              <w:rPr>
                <w:rFonts w:ascii="游ゴシック" w:hAnsi="游ゴシック" w:eastAsia="游ゴシック"/>
                <w:sz w:val="17"/>
              </w:rPr>
              <w:t>―</w:t>
            </w:r>
          </w:p>
        </w:tc>
        <w:tc>
          <w:tcPr>
            <w:tcW w:type="dxa" w:w="2650"/>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191"/>
          </w:tcPr>
          <w:p>
            <w:r/>
            <w:r>
              <w:rPr>
                <w:rFonts w:ascii="游ゴシック" w:hAnsi="游ゴシック" w:eastAsia="游ゴシック"/>
                <w:b/>
                <w:sz w:val="17"/>
              </w:rPr>
              <w:t>施策</w:t>
            </w:r>
          </w:p>
        </w:tc>
        <w:tc>
          <w:tcPr>
            <w:tcW w:type="dxa" w:w="1205"/>
          </w:tcPr>
          <w:p>
            <w:r/>
            <w:r>
              <w:rPr>
                <w:rFonts w:ascii="游ゴシック" w:hAnsi="游ゴシック" w:eastAsia="游ゴシック"/>
                <w:b/>
                <w:sz w:val="17"/>
              </w:rPr>
              <w:t>評価可能性</w:t>
            </w:r>
          </w:p>
        </w:tc>
        <w:tc>
          <w:tcPr>
            <w:tcW w:type="dxa" w:w="1534"/>
          </w:tcPr>
          <w:p>
            <w:r/>
            <w:r>
              <w:rPr>
                <w:rFonts w:ascii="游ゴシック" w:hAnsi="游ゴシック" w:eastAsia="游ゴシック"/>
                <w:b/>
                <w:sz w:val="17"/>
              </w:rPr>
              <w:t>妥当性判断</w:t>
            </w:r>
          </w:p>
        </w:tc>
        <w:tc>
          <w:tcPr>
            <w:tcW w:type="dxa" w:w="4054"/>
          </w:tcPr>
          <w:p>
            <w:r/>
            <w:r>
              <w:rPr>
                <w:rFonts w:ascii="游ゴシック" w:hAnsi="游ゴシック" w:eastAsia="游ゴシック"/>
                <w:b/>
                <w:sz w:val="17"/>
              </w:rPr>
              <w:t>第10期の修正方向</w:t>
            </w:r>
          </w:p>
        </w:tc>
      </w:tr>
      <w:tr>
        <w:tc>
          <w:tcPr>
            <w:tcW w:type="dxa" w:w="767"/>
          </w:tcPr>
          <w:p>
            <w:r/>
            <w:r>
              <w:rPr>
                <w:rFonts w:ascii="游ゴシック" w:hAnsi="游ゴシック" w:eastAsia="游ゴシック"/>
                <w:sz w:val="17"/>
              </w:rPr>
              <w:t>1-1</w:t>
            </w:r>
          </w:p>
        </w:tc>
        <w:tc>
          <w:tcPr>
            <w:tcW w:type="dxa" w:w="2191"/>
          </w:tcPr>
          <w:p>
            <w:r/>
            <w:r>
              <w:rPr>
                <w:rFonts w:ascii="游ゴシック" w:hAnsi="游ゴシック" w:eastAsia="游ゴシック"/>
                <w:sz w:val="17"/>
              </w:rPr>
              <w:t>圏域ビジョン・戦略</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必要性は高い</w:t>
            </w:r>
          </w:p>
        </w:tc>
        <w:tc>
          <w:tcPr>
            <w:tcW w:type="dxa" w:w="4054"/>
          </w:tcPr>
          <w:p>
            <w:r/>
            <w:r>
              <w:rPr>
                <w:rFonts w:ascii="游ゴシック" w:hAnsi="游ゴシック" w:eastAsia="游ゴシック"/>
                <w:sz w:val="17"/>
              </w:rPr>
              <w:t>2040年需要・供給と町別役割を具体化</w:t>
            </w:r>
          </w:p>
        </w:tc>
      </w:tr>
      <w:tr>
        <w:tc>
          <w:tcPr>
            <w:tcW w:type="dxa" w:w="767"/>
          </w:tcPr>
          <w:p>
            <w:r/>
            <w:r>
              <w:rPr>
                <w:rFonts w:ascii="游ゴシック" w:hAnsi="游ゴシック" w:eastAsia="游ゴシック"/>
                <w:sz w:val="17"/>
              </w:rPr>
              <w:t>1-2</w:t>
            </w:r>
          </w:p>
        </w:tc>
        <w:tc>
          <w:tcPr>
            <w:tcW w:type="dxa" w:w="2191"/>
          </w:tcPr>
          <w:p>
            <w:r/>
            <w:r>
              <w:rPr>
                <w:rFonts w:ascii="游ゴシック" w:hAnsi="游ゴシック" w:eastAsia="游ゴシック"/>
                <w:sz w:val="17"/>
              </w:rPr>
              <w:t>医療・介護連携</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必要性は高い</w:t>
            </w:r>
          </w:p>
        </w:tc>
        <w:tc>
          <w:tcPr>
            <w:tcW w:type="dxa" w:w="4054"/>
          </w:tcPr>
          <w:p>
            <w:r/>
            <w:r>
              <w:rPr>
                <w:rFonts w:ascii="游ゴシック" w:hAnsi="游ゴシック" w:eastAsia="游ゴシック"/>
                <w:sz w:val="17"/>
              </w:rPr>
              <w:t>4場面別成果KPIを新設。交付金評価で全国の38.2％（第4節）</w:t>
            </w:r>
          </w:p>
        </w:tc>
      </w:tr>
      <w:tr>
        <w:tc>
          <w:tcPr>
            <w:tcW w:type="dxa" w:w="767"/>
          </w:tcPr>
          <w:p>
            <w:r/>
            <w:r>
              <w:rPr>
                <w:rFonts w:ascii="游ゴシック" w:hAnsi="游ゴシック" w:eastAsia="游ゴシック"/>
                <w:sz w:val="17"/>
              </w:rPr>
              <w:t>1-3</w:t>
            </w:r>
          </w:p>
        </w:tc>
        <w:tc>
          <w:tcPr>
            <w:tcW w:type="dxa" w:w="2191"/>
          </w:tcPr>
          <w:p>
            <w:r/>
            <w:r>
              <w:rPr>
                <w:rFonts w:ascii="游ゴシック" w:hAnsi="游ゴシック" w:eastAsia="游ゴシック"/>
                <w:sz w:val="17"/>
              </w:rPr>
              <w:t>状態に応じたサービス</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需要・供給判別が必要</w:t>
            </w:r>
          </w:p>
        </w:tc>
        <w:tc>
          <w:tcPr>
            <w:tcW w:type="dxa" w:w="4054"/>
          </w:tcPr>
          <w:p>
            <w:r/>
            <w:r>
              <w:rPr>
                <w:rFonts w:ascii="游ゴシック" w:hAnsi="游ゴシック" w:eastAsia="游ゴシック"/>
                <w:sz w:val="17"/>
              </w:rPr>
              <w:t>未充足・受入不可・供給余力を併記。事業所ゼロ11種別を明示</w:t>
            </w:r>
          </w:p>
        </w:tc>
      </w:tr>
      <w:tr>
        <w:tc>
          <w:tcPr>
            <w:tcW w:type="dxa" w:w="767"/>
          </w:tcPr>
          <w:p>
            <w:r/>
            <w:r>
              <w:rPr>
                <w:rFonts w:ascii="游ゴシック" w:hAnsi="游ゴシック" w:eastAsia="游ゴシック"/>
                <w:sz w:val="17"/>
              </w:rPr>
              <w:t>1-4</w:t>
            </w:r>
          </w:p>
        </w:tc>
        <w:tc>
          <w:tcPr>
            <w:tcW w:type="dxa" w:w="2191"/>
          </w:tcPr>
          <w:p>
            <w:r/>
            <w:r>
              <w:rPr>
                <w:rFonts w:ascii="游ゴシック" w:hAnsi="游ゴシック" w:eastAsia="游ゴシック"/>
                <w:sz w:val="17"/>
              </w:rPr>
              <w:t>虐待防止・権利擁護</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初動・終結・再発・後見接続を管理</w:t>
            </w:r>
          </w:p>
        </w:tc>
      </w:tr>
      <w:tr>
        <w:tc>
          <w:tcPr>
            <w:tcW w:type="dxa" w:w="767"/>
          </w:tcPr>
          <w:p>
            <w:r/>
            <w:r>
              <w:rPr>
                <w:rFonts w:ascii="游ゴシック" w:hAnsi="游ゴシック" w:eastAsia="游ゴシック"/>
                <w:sz w:val="17"/>
              </w:rPr>
              <w:t>2-1</w:t>
            </w:r>
          </w:p>
        </w:tc>
        <w:tc>
          <w:tcPr>
            <w:tcW w:type="dxa" w:w="2191"/>
          </w:tcPr>
          <w:p>
            <w:r/>
            <w:r>
              <w:rPr>
                <w:rFonts w:ascii="游ゴシック" w:hAnsi="游ゴシック" w:eastAsia="游ゴシック"/>
                <w:sz w:val="17"/>
              </w:rPr>
              <w:t>地域共生・包括相談</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初動、解決、連携成果を管理</w:t>
            </w:r>
          </w:p>
        </w:tc>
      </w:tr>
      <w:tr>
        <w:tc>
          <w:tcPr>
            <w:tcW w:type="dxa" w:w="767"/>
          </w:tcPr>
          <w:p>
            <w:r/>
            <w:r>
              <w:rPr>
                <w:rFonts w:ascii="游ゴシック" w:hAnsi="游ゴシック" w:eastAsia="游ゴシック"/>
                <w:sz w:val="17"/>
              </w:rPr>
              <w:t>2-2</w:t>
            </w:r>
          </w:p>
        </w:tc>
        <w:tc>
          <w:tcPr>
            <w:tcW w:type="dxa" w:w="2191"/>
          </w:tcPr>
          <w:p>
            <w:r/>
            <w:r>
              <w:rPr>
                <w:rFonts w:ascii="游ゴシック" w:hAnsi="游ゴシック" w:eastAsia="游ゴシック"/>
                <w:sz w:val="17"/>
              </w:rPr>
              <w:t>介護予防・生活支援</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実人数・継続・地区カバーへ転換。総合事業ベースで全国の31％</w:t>
            </w:r>
          </w:p>
        </w:tc>
      </w:tr>
      <w:tr>
        <w:tc>
          <w:tcPr>
            <w:tcW w:type="dxa" w:w="767"/>
          </w:tcPr>
          <w:p>
            <w:r/>
            <w:r>
              <w:rPr>
                <w:rFonts w:ascii="游ゴシック" w:hAnsi="游ゴシック" w:eastAsia="游ゴシック"/>
                <w:sz w:val="17"/>
              </w:rPr>
              <w:t>2-3</w:t>
            </w:r>
          </w:p>
        </w:tc>
        <w:tc>
          <w:tcPr>
            <w:tcW w:type="dxa" w:w="2191"/>
          </w:tcPr>
          <w:p>
            <w:r/>
            <w:r>
              <w:rPr>
                <w:rFonts w:ascii="游ゴシック" w:hAnsi="游ゴシック" w:eastAsia="游ゴシック"/>
                <w:sz w:val="17"/>
              </w:rPr>
              <w:t>認知症施策</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本人参画・早期接続・家族負担。交付金評価で全国の66.6％</w:t>
            </w:r>
          </w:p>
        </w:tc>
      </w:tr>
      <w:tr>
        <w:tc>
          <w:tcPr>
            <w:tcW w:type="dxa" w:w="767"/>
          </w:tcPr>
          <w:p>
            <w:r/>
            <w:r>
              <w:rPr>
                <w:rFonts w:ascii="游ゴシック" w:hAnsi="游ゴシック" w:eastAsia="游ゴシック"/>
                <w:sz w:val="17"/>
              </w:rPr>
              <w:t>2-4</w:t>
            </w:r>
          </w:p>
        </w:tc>
        <w:tc>
          <w:tcPr>
            <w:tcW w:type="dxa" w:w="2191"/>
          </w:tcPr>
          <w:p>
            <w:r/>
            <w:r>
              <w:rPr>
                <w:rFonts w:ascii="游ゴシック" w:hAnsi="游ゴシック" w:eastAsia="游ゴシック"/>
                <w:sz w:val="17"/>
              </w:rPr>
              <w:t>住まい・生活支援</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独立強化が妥当</w:t>
            </w:r>
          </w:p>
        </w:tc>
        <w:tc>
          <w:tcPr>
            <w:tcW w:type="dxa" w:w="4054"/>
          </w:tcPr>
          <w:p>
            <w:r/>
            <w:r>
              <w:rPr>
                <w:rFonts w:ascii="游ゴシック" w:hAnsi="游ゴシック" w:eastAsia="游ゴシック"/>
                <w:sz w:val="17"/>
              </w:rPr>
              <w:t>身寄りなし・保証・住替え課題</w:t>
            </w:r>
          </w:p>
        </w:tc>
      </w:tr>
      <w:tr>
        <w:tc>
          <w:tcPr>
            <w:tcW w:type="dxa" w:w="767"/>
          </w:tcPr>
          <w:p>
            <w:r/>
            <w:r>
              <w:rPr>
                <w:rFonts w:ascii="游ゴシック" w:hAnsi="游ゴシック" w:eastAsia="游ゴシック"/>
                <w:sz w:val="17"/>
              </w:rPr>
              <w:t>2-5</w:t>
            </w:r>
          </w:p>
        </w:tc>
        <w:tc>
          <w:tcPr>
            <w:tcW w:type="dxa" w:w="2191"/>
          </w:tcPr>
          <w:p>
            <w:r/>
            <w:r>
              <w:rPr>
                <w:rFonts w:ascii="游ゴシック" w:hAnsi="游ゴシック" w:eastAsia="游ゴシック"/>
                <w:sz w:val="17"/>
              </w:rPr>
              <w:t>地域ケア会議</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方法改善が必要</w:t>
            </w:r>
          </w:p>
        </w:tc>
        <w:tc>
          <w:tcPr>
            <w:tcW w:type="dxa" w:w="4054"/>
          </w:tcPr>
          <w:p>
            <w:r/>
            <w:r>
              <w:rPr>
                <w:rFonts w:ascii="游ゴシック" w:hAnsi="游ゴシック" w:eastAsia="游ゴシック"/>
                <w:sz w:val="17"/>
              </w:rPr>
              <w:t>会議から施策化への転換率。個別事例の検討は全国の187.5％と強み</w:t>
            </w:r>
          </w:p>
        </w:tc>
      </w:tr>
      <w:tr>
        <w:tc>
          <w:tcPr>
            <w:tcW w:type="dxa" w:w="767"/>
          </w:tcPr>
          <w:p>
            <w:r/>
            <w:r>
              <w:rPr>
                <w:rFonts w:ascii="游ゴシック" w:hAnsi="游ゴシック" w:eastAsia="游ゴシック"/>
                <w:sz w:val="17"/>
              </w:rPr>
              <w:t>2-6</w:t>
            </w:r>
          </w:p>
        </w:tc>
        <w:tc>
          <w:tcPr>
            <w:tcW w:type="dxa" w:w="2191"/>
          </w:tcPr>
          <w:p>
            <w:r/>
            <w:r>
              <w:rPr>
                <w:rFonts w:ascii="游ゴシック" w:hAnsi="游ゴシック" w:eastAsia="游ゴシック"/>
                <w:sz w:val="17"/>
              </w:rPr>
              <w:t>包括的支援体制</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人員・アクセス・支援成果を一体評価</w:t>
            </w:r>
          </w:p>
        </w:tc>
      </w:tr>
      <w:tr>
        <w:tc>
          <w:tcPr>
            <w:tcW w:type="dxa" w:w="767"/>
          </w:tcPr>
          <w:p>
            <w:r/>
            <w:r>
              <w:rPr>
                <w:rFonts w:ascii="游ゴシック" w:hAnsi="游ゴシック" w:eastAsia="游ゴシック"/>
                <w:sz w:val="17"/>
              </w:rPr>
              <w:t>3-1</w:t>
            </w:r>
          </w:p>
        </w:tc>
        <w:tc>
          <w:tcPr>
            <w:tcW w:type="dxa" w:w="2191"/>
          </w:tcPr>
          <w:p>
            <w:r/>
            <w:r>
              <w:rPr>
                <w:rFonts w:ascii="游ゴシック" w:hAnsi="游ゴシック" w:eastAsia="游ゴシック"/>
                <w:sz w:val="17"/>
              </w:rPr>
              <w:t>健康づくり・フレイル予防</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年次代理＋調査アウトカム</w:t>
            </w:r>
          </w:p>
        </w:tc>
      </w:tr>
      <w:tr>
        <w:tc>
          <w:tcPr>
            <w:tcW w:type="dxa" w:w="767"/>
          </w:tcPr>
          <w:p>
            <w:r/>
            <w:r>
              <w:rPr>
                <w:rFonts w:ascii="游ゴシック" w:hAnsi="游ゴシック" w:eastAsia="游ゴシック"/>
                <w:sz w:val="17"/>
              </w:rPr>
              <w:t>3-2</w:t>
            </w:r>
          </w:p>
        </w:tc>
        <w:tc>
          <w:tcPr>
            <w:tcW w:type="dxa" w:w="2191"/>
          </w:tcPr>
          <w:p>
            <w:r/>
            <w:r>
              <w:rPr>
                <w:rFonts w:ascii="游ゴシック" w:hAnsi="游ゴシック" w:eastAsia="游ゴシック"/>
                <w:sz w:val="17"/>
              </w:rPr>
              <w:t>リハビリ体制</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継続・改善妥当</w:t>
            </w:r>
          </w:p>
        </w:tc>
        <w:tc>
          <w:tcPr>
            <w:tcW w:type="dxa" w:w="4054"/>
          </w:tcPr>
          <w:p>
            <w:r/>
            <w:r>
              <w:rPr>
                <w:rFonts w:ascii="游ゴシック" w:hAnsi="游ゴシック" w:eastAsia="游ゴシック"/>
                <w:sz w:val="17"/>
              </w:rPr>
              <w:t>生活機能維持改善・卒業を評価。機能訓練指導員は1人（第2章第3節）</w:t>
            </w:r>
          </w:p>
        </w:tc>
      </w:tr>
      <w:tr>
        <w:tc>
          <w:tcPr>
            <w:tcW w:type="dxa" w:w="767"/>
          </w:tcPr>
          <w:p>
            <w:r/>
            <w:r>
              <w:rPr>
                <w:rFonts w:ascii="游ゴシック" w:hAnsi="游ゴシック" w:eastAsia="游ゴシック"/>
                <w:sz w:val="17"/>
              </w:rPr>
              <w:t>3-3</w:t>
            </w:r>
          </w:p>
        </w:tc>
        <w:tc>
          <w:tcPr>
            <w:tcW w:type="dxa" w:w="2191"/>
          </w:tcPr>
          <w:p>
            <w:r/>
            <w:r>
              <w:rPr>
                <w:rFonts w:ascii="游ゴシック" w:hAnsi="游ゴシック" w:eastAsia="游ゴシック"/>
                <w:sz w:val="17"/>
              </w:rPr>
              <w:t>保健事業との一体化</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抽出→接触→支援→改善の歩留まり</w:t>
            </w:r>
          </w:p>
        </w:tc>
      </w:tr>
      <w:tr>
        <w:tc>
          <w:tcPr>
            <w:tcW w:type="dxa" w:w="767"/>
          </w:tcPr>
          <w:p>
            <w:r/>
            <w:r>
              <w:rPr>
                <w:rFonts w:ascii="游ゴシック" w:hAnsi="游ゴシック" w:eastAsia="游ゴシック"/>
                <w:sz w:val="17"/>
              </w:rPr>
              <w:t>3-4</w:t>
            </w:r>
          </w:p>
        </w:tc>
        <w:tc>
          <w:tcPr>
            <w:tcW w:type="dxa" w:w="2191"/>
          </w:tcPr>
          <w:p>
            <w:r/>
            <w:r>
              <w:rPr>
                <w:rFonts w:ascii="游ゴシック" w:hAnsi="游ゴシック" w:eastAsia="游ゴシック"/>
                <w:sz w:val="17"/>
              </w:rPr>
              <w:t>地域支援事業の連動</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再設計が必要</w:t>
            </w:r>
          </w:p>
        </w:tc>
        <w:tc>
          <w:tcPr>
            <w:tcW w:type="dxa" w:w="4054"/>
          </w:tcPr>
          <w:p>
            <w:r/>
            <w:r>
              <w:rPr>
                <w:rFonts w:ascii="游ゴシック" w:hAnsi="游ゴシック" w:eastAsia="游ゴシック"/>
                <w:sz w:val="17"/>
              </w:rPr>
              <w:t>サービス前後・維持改善を横断評価</w:t>
            </w:r>
          </w:p>
        </w:tc>
      </w:tr>
      <w:tr>
        <w:tc>
          <w:tcPr>
            <w:tcW w:type="dxa" w:w="767"/>
          </w:tcPr>
          <w:p>
            <w:r/>
            <w:r>
              <w:rPr>
                <w:rFonts w:ascii="游ゴシック" w:hAnsi="游ゴシック" w:eastAsia="游ゴシック"/>
                <w:sz w:val="17"/>
              </w:rPr>
              <w:t>4-1</w:t>
            </w:r>
          </w:p>
        </w:tc>
        <w:tc>
          <w:tcPr>
            <w:tcW w:type="dxa" w:w="2191"/>
          </w:tcPr>
          <w:p>
            <w:r/>
            <w:r>
              <w:rPr>
                <w:rFonts w:ascii="游ゴシック" w:hAnsi="游ゴシック" w:eastAsia="游ゴシック"/>
                <w:sz w:val="17"/>
              </w:rPr>
              <w:t>生産性向上</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重点化が妥当</w:t>
            </w:r>
          </w:p>
        </w:tc>
        <w:tc>
          <w:tcPr>
            <w:tcW w:type="dxa" w:w="4054"/>
          </w:tcPr>
          <w:p>
            <w:r/>
            <w:r>
              <w:rPr>
                <w:rFonts w:ascii="游ゴシック" w:hAnsi="游ゴシック" w:eastAsia="游ゴシック"/>
                <w:sz w:val="17"/>
              </w:rPr>
              <w:t>導入と業務時間等の効果を分ける</w:t>
            </w:r>
          </w:p>
        </w:tc>
      </w:tr>
      <w:tr>
        <w:tc>
          <w:tcPr>
            <w:tcW w:type="dxa" w:w="767"/>
          </w:tcPr>
          <w:p>
            <w:r/>
            <w:r>
              <w:rPr>
                <w:rFonts w:ascii="游ゴシック" w:hAnsi="游ゴシック" w:eastAsia="游ゴシック"/>
                <w:sz w:val="17"/>
              </w:rPr>
              <w:t>4-2</w:t>
            </w:r>
          </w:p>
        </w:tc>
        <w:tc>
          <w:tcPr>
            <w:tcW w:type="dxa" w:w="2191"/>
          </w:tcPr>
          <w:p>
            <w:r/>
            <w:r>
              <w:rPr>
                <w:rFonts w:ascii="游ゴシック" w:hAnsi="游ゴシック" w:eastAsia="游ゴシック"/>
                <w:sz w:val="17"/>
              </w:rPr>
              <w:t>事業者指導・質確保</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継続妥当</w:t>
            </w:r>
          </w:p>
        </w:tc>
        <w:tc>
          <w:tcPr>
            <w:tcW w:type="dxa" w:w="4054"/>
          </w:tcPr>
          <w:p>
            <w:r/>
            <w:r>
              <w:rPr>
                <w:rFonts w:ascii="游ゴシック" w:hAnsi="游ゴシック" w:eastAsia="游ゴシック"/>
                <w:sz w:val="17"/>
              </w:rPr>
              <w:t>指導後改善・再指摘・事故再発</w:t>
            </w:r>
          </w:p>
        </w:tc>
      </w:tr>
      <w:tr>
        <w:tc>
          <w:tcPr>
            <w:tcW w:type="dxa" w:w="767"/>
          </w:tcPr>
          <w:p>
            <w:r/>
            <w:r>
              <w:rPr>
                <w:rFonts w:ascii="游ゴシック" w:hAnsi="游ゴシック" w:eastAsia="游ゴシック"/>
                <w:sz w:val="17"/>
              </w:rPr>
              <w:t>4-3</w:t>
            </w:r>
          </w:p>
        </w:tc>
        <w:tc>
          <w:tcPr>
            <w:tcW w:type="dxa" w:w="2191"/>
          </w:tcPr>
          <w:p>
            <w:r/>
            <w:r>
              <w:rPr>
                <w:rFonts w:ascii="游ゴシック" w:hAnsi="游ゴシック" w:eastAsia="游ゴシック"/>
                <w:sz w:val="17"/>
              </w:rPr>
              <w:t>給付適正化</w:t>
            </w:r>
          </w:p>
        </w:tc>
        <w:tc>
          <w:tcPr>
            <w:tcW w:type="dxa" w:w="1205"/>
          </w:tcPr>
          <w:p>
            <w:r/>
            <w:r>
              <w:rPr>
                <w:rFonts w:ascii="游ゴシック" w:hAnsi="游ゴシック" w:eastAsia="游ゴシック"/>
                <w:sz w:val="17"/>
              </w:rPr>
              <w:t>部分評価</w:t>
            </w:r>
          </w:p>
        </w:tc>
        <w:tc>
          <w:tcPr>
            <w:tcW w:type="dxa" w:w="1534"/>
          </w:tcPr>
          <w:p>
            <w:r/>
            <w:r>
              <w:rPr>
                <w:rFonts w:ascii="游ゴシック" w:hAnsi="游ゴシック" w:eastAsia="游ゴシック"/>
                <w:sz w:val="17"/>
              </w:rPr>
              <w:t>最重点化が妥当</w:t>
            </w:r>
          </w:p>
        </w:tc>
        <w:tc>
          <w:tcPr>
            <w:tcW w:type="dxa" w:w="4054"/>
          </w:tcPr>
          <w:p>
            <w:r/>
            <w:r>
              <w:rPr>
                <w:rFonts w:ascii="游ゴシック" w:hAnsi="游ゴシック" w:eastAsia="游ゴシック"/>
                <w:sz w:val="17"/>
              </w:rPr>
              <w:t>ケアプラン点検・医療情報突合はいずれも交付金評価で0点。実施そのものが課題</w:t>
            </w:r>
          </w:p>
        </w:tc>
      </w:tr>
      <w:tr>
        <w:tc>
          <w:tcPr>
            <w:tcW w:type="dxa" w:w="767"/>
          </w:tcPr>
          <w:p>
            <w:r/>
            <w:r>
              <w:rPr>
                <w:rFonts w:ascii="游ゴシック" w:hAnsi="游ゴシック" w:eastAsia="游ゴシック"/>
                <w:sz w:val="17"/>
              </w:rPr>
              <w:t>4-4</w:t>
            </w:r>
          </w:p>
        </w:tc>
        <w:tc>
          <w:tcPr>
            <w:tcW w:type="dxa" w:w="2191"/>
          </w:tcPr>
          <w:p>
            <w:r/>
            <w:r>
              <w:rPr>
                <w:rFonts w:ascii="游ゴシック" w:hAnsi="游ゴシック" w:eastAsia="游ゴシック"/>
                <w:sz w:val="17"/>
              </w:rPr>
              <w:t>介護人材確保</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最重点化が妥当</w:t>
            </w:r>
          </w:p>
        </w:tc>
        <w:tc>
          <w:tcPr>
            <w:tcW w:type="dxa" w:w="4054"/>
          </w:tcPr>
          <w:p>
            <w:r/>
            <w:r>
              <w:rPr>
                <w:rFonts w:ascii="游ゴシック" w:hAnsi="游ゴシック" w:eastAsia="游ゴシック"/>
                <w:sz w:val="17"/>
              </w:rPr>
              <w:t>職種別従事者数の推移・採用率と離職率の差へ指標を変更</w:t>
            </w:r>
          </w:p>
        </w:tc>
      </w:tr>
      <w:tr>
        <w:tc>
          <w:tcPr>
            <w:tcW w:type="dxa" w:w="767"/>
          </w:tcPr>
          <w:p>
            <w:r/>
            <w:r>
              <w:rPr>
                <w:rFonts w:ascii="游ゴシック" w:hAnsi="游ゴシック" w:eastAsia="游ゴシック"/>
                <w:sz w:val="17"/>
              </w:rPr>
              <w:t>5-1</w:t>
            </w:r>
          </w:p>
        </w:tc>
        <w:tc>
          <w:tcPr>
            <w:tcW w:type="dxa" w:w="2191"/>
          </w:tcPr>
          <w:p>
            <w:r/>
            <w:r>
              <w:rPr>
                <w:rFonts w:ascii="游ゴシック" w:hAnsi="游ゴシック" w:eastAsia="游ゴシック"/>
                <w:sz w:val="17"/>
              </w:rPr>
              <w:t>災害・感染症の事業継続</w:t>
            </w:r>
          </w:p>
        </w:tc>
        <w:tc>
          <w:tcPr>
            <w:tcW w:type="dxa" w:w="1205"/>
          </w:tcPr>
          <w:p>
            <w:r/>
            <w:r>
              <w:rPr>
                <w:rFonts w:ascii="游ゴシック" w:hAnsi="游ゴシック" w:eastAsia="游ゴシック"/>
                <w:sz w:val="17"/>
              </w:rPr>
              <w:t>指標不足</w:t>
            </w:r>
          </w:p>
        </w:tc>
        <w:tc>
          <w:tcPr>
            <w:tcW w:type="dxa" w:w="1534"/>
          </w:tcPr>
          <w:p>
            <w:r/>
            <w:r>
              <w:rPr>
                <w:rFonts w:ascii="游ゴシック" w:hAnsi="游ゴシック" w:eastAsia="游ゴシック"/>
                <w:sz w:val="17"/>
              </w:rPr>
              <w:t>継続・実効化が妥当</w:t>
            </w:r>
          </w:p>
        </w:tc>
        <w:tc>
          <w:tcPr>
            <w:tcW w:type="dxa" w:w="4054"/>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36.0％（R7・6区分合成）／通いの場8.8％</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主介護者の高負担割合</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在宅介護実態調査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データ源の確保が前提</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介護離職懸念・就労継続困難割合（補完）</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在宅介護実態調査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必要サービス未充足率</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事業所実態調査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代理指標への振替を検討</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第9期は必要保険料月額ベースで算定可</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災害・感染症時の必須サービス継続率</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事業所実態調査</w:t>
            </w:r>
          </w:p>
        </w:tc>
        <w:tc>
          <w:tcPr>
            <w:tcW w:type="dxa" w:w="886"/>
          </w:tcPr>
          <w:p>
            <w:r/>
            <w:r>
              <w:rPr>
                <w:rFonts w:ascii="游ゴシック" w:hAnsi="游ゴシック" w:eastAsia="游ゴシック"/>
                <w:sz w:val="17"/>
              </w:rPr>
              <w:t>未確保</w:t>
            </w:r>
          </w:p>
        </w:tc>
        <w:tc>
          <w:tcPr>
            <w:tcW w:type="dxa" w:w="1477"/>
          </w:tcPr>
          <w:p>
            <w:r/>
            <w:r>
              <w:rPr>
                <w:rFonts w:ascii="游ゴシック" w:hAnsi="游ゴシック" w:eastAsia="游ゴシック"/>
                <w:sz w:val="17"/>
              </w:rPr>
              <w:t>算定不可</w:t>
            </w:r>
          </w:p>
        </w:tc>
        <w:tc>
          <w:tcPr>
            <w:tcW w:type="dxa" w:w="1576"/>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第9期は必要保険料月額ベースで算定可</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計画値の定義（標準給付費見込額か総給付費か）を確定する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942"/>
          </w:tcPr>
          <w:p>
            <w:r/>
            <w:r>
              <w:rPr>
                <w:rFonts w:ascii="游ゴシック" w:hAnsi="游ゴシック" w:eastAsia="游ゴシック"/>
                <w:b/>
                <w:sz w:val="17"/>
              </w:rPr>
              <w:t>区分</w:t>
            </w:r>
          </w:p>
        </w:tc>
        <w:tc>
          <w:tcPr>
            <w:tcW w:type="dxa" w:w="1198"/>
          </w:tcPr>
          <w:p>
            <w:r/>
            <w:r>
              <w:rPr>
                <w:rFonts w:ascii="游ゴシック" w:hAnsi="游ゴシック" w:eastAsia="游ゴシック"/>
                <w:b/>
                <w:sz w:val="17"/>
              </w:rPr>
              <w:t>公開最新</w:t>
            </w:r>
          </w:p>
        </w:tc>
        <w:tc>
          <w:tcPr>
            <w:tcW w:type="dxa" w:w="926"/>
          </w:tcPr>
          <w:p>
            <w:r/>
            <w:r>
              <w:rPr>
                <w:rFonts w:ascii="游ゴシック" w:hAnsi="游ゴシック" w:eastAsia="游ゴシック"/>
                <w:b/>
                <w:sz w:val="17"/>
              </w:rPr>
              <w:t>R9</w:t>
            </w:r>
          </w:p>
        </w:tc>
        <w:tc>
          <w:tcPr>
            <w:tcW w:type="dxa" w:w="926"/>
          </w:tcPr>
          <w:p>
            <w:r/>
            <w:r>
              <w:rPr>
                <w:rFonts w:ascii="游ゴシック" w:hAnsi="游ゴシック" w:eastAsia="游ゴシック"/>
                <w:b/>
                <w:sz w:val="17"/>
              </w:rPr>
              <w:t>R10</w:t>
            </w:r>
          </w:p>
        </w:tc>
        <w:tc>
          <w:tcPr>
            <w:tcW w:type="dxa" w:w="926"/>
          </w:tcPr>
          <w:p>
            <w:r/>
            <w:r>
              <w:rPr>
                <w:rFonts w:ascii="游ゴシック" w:hAnsi="游ゴシック" w:eastAsia="游ゴシック"/>
                <w:b/>
                <w:sz w:val="17"/>
              </w:rPr>
              <w:t>R11</w:t>
            </w:r>
          </w:p>
        </w:tc>
        <w:tc>
          <w:tcPr>
            <w:tcW w:type="dxa" w:w="1090"/>
          </w:tcPr>
          <w:p>
            <w:r/>
            <w:r>
              <w:rPr>
                <w:rFonts w:ascii="游ゴシック" w:hAnsi="游ゴシック" w:eastAsia="游ゴシック"/>
                <w:b/>
                <w:sz w:val="17"/>
              </w:rPr>
              <w:t>第10期計</w:t>
            </w:r>
          </w:p>
        </w:tc>
        <w:tc>
          <w:tcPr>
            <w:tcW w:type="dxa" w:w="872"/>
          </w:tcPr>
          <w:p>
            <w:r/>
            <w:r>
              <w:rPr>
                <w:rFonts w:ascii="游ゴシック" w:hAnsi="游ゴシック" w:eastAsia="游ゴシック"/>
                <w:b/>
                <w:sz w:val="17"/>
              </w:rPr>
              <w:t>R17</w:t>
            </w:r>
          </w:p>
        </w:tc>
        <w:tc>
          <w:tcPr>
            <w:tcW w:type="dxa" w:w="872"/>
          </w:tcPr>
          <w:p>
            <w:r/>
            <w:r>
              <w:rPr>
                <w:rFonts w:ascii="游ゴシック" w:hAnsi="游ゴシック" w:eastAsia="游ゴシック"/>
                <w:b/>
                <w:sz w:val="17"/>
              </w:rPr>
              <w:t>R22</w:t>
            </w:r>
          </w:p>
        </w:tc>
      </w:tr>
      <w:tr>
        <w:tc>
          <w:tcPr>
            <w:tcW w:type="dxa" w:w="2942"/>
          </w:tcPr>
          <w:p>
            <w:r/>
            <w:r>
              <w:rPr>
                <w:rFonts w:ascii="游ゴシック" w:hAnsi="游ゴシック" w:eastAsia="游ゴシック"/>
                <w:sz w:val="17"/>
              </w:rPr>
              <w:t>介護予防・日常生活支援総合事業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包括的支援事業（地域包括支援センター運営）</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包括的支援事業（社会保障充実分）</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任意事業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地域支援事業費合計</w:t>
            </w:r>
          </w:p>
        </w:tc>
        <w:tc>
          <w:tcPr>
            <w:tcW w:type="dxa" w:w="1198"/>
          </w:tcPr>
          <w:p>
            <w:r/>
            <w:r>
              <w:rPr>
                <w:rFonts w:ascii="游ゴシック" w:hAnsi="游ゴシック" w:eastAsia="游ゴシック"/>
                <w:sz w:val="17"/>
              </w:rPr>
              <w:t>R5 177.5</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事業別積上げ</w:t>
            </w:r>
          </w:p>
        </w:tc>
      </w:tr>
      <w:tr>
        <w:tc>
          <w:tcPr>
            <w:tcW w:type="dxa" w:w="2108"/>
          </w:tcPr>
          <w:p>
            <w:r/>
            <w:r>
              <w:rPr>
                <w:rFonts w:ascii="游ゴシック" w:hAnsi="游ゴシック" w:eastAsia="游ゴシック"/>
                <w:sz w:val="17"/>
              </w:rPr>
              <w:t>合計（A＋B）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第9期は必要保険料月額ベースで算定可</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