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キックオフ会議資料（第6稿）</w:t>
      </w:r>
    </w:p>
    <w:p>
      <w:pPr>
        <w:spacing w:after="40" w:before="0" w:line="276" w:lineRule="auto"/>
      </w:pPr>
      <w:r>
        <w:rPr>
          <w:rFonts w:ascii="游ゴシック" w:hAnsi="游ゴシック" w:eastAsia="游ゴシック"/>
          <w:b w:val="0"/>
          <w:sz w:val="21"/>
        </w:rPr>
        <w:t>令和8年8月5日現在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本資料は、キックオフ資料を令和8年8月5日現在の作業状況に合わせて更新した第6稿です。計画素案第10稿、第1回委員会資料、代表KPIの定義（計画素案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北海道の施設・住まいの名簿及び介護サービス情報公表システムとの突合により、調査だけでは把握できていなかった施設が明らかになりました。計画本文に載せる供給量が変わるため、数値の差し替えと未回答施設への照会の要否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あわせて令和8年8月4日から5日にかけて北海道の施設・住まいの名簿8種及び介護サービス情報公表システムの個別公表画面を受領し、区域内の施設・住まいの供給量を確定しました。</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健康とくらしの調査は個票4,729票を受領し分析完了。他3調査は第10期分102ファイルを受領し点検・集計済（点検事項35件、うち重大6件）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3の2</w:t>
            </w:r>
          </w:p>
        </w:tc>
        <w:tc>
          <w:tcPr>
            <w:tcW w:type="dxa" w:w="1814"/>
          </w:tcPr>
          <w:p>
            <w:pPr>
              <w:spacing w:after="20" w:before="20"/>
            </w:pPr>
            <w:r/>
            <w:r>
              <w:rPr>
                <w:rFonts w:ascii="游ゴシック" w:hAnsi="游ゴシック" w:eastAsia="游ゴシック"/>
                <w:b w:val="0"/>
                <w:sz w:val="18"/>
              </w:rPr>
              <w:t>施設・住まいの供給量</w:t>
            </w:r>
          </w:p>
        </w:tc>
        <w:tc>
          <w:tcPr>
            <w:tcW w:type="dxa" w:w="4082"/>
          </w:tcPr>
          <w:p>
            <w:pPr>
              <w:spacing w:after="20" w:before="20"/>
            </w:pPr>
            <w:r/>
            <w:r>
              <w:rPr>
                <w:rFonts w:ascii="游ゴシック" w:hAnsi="游ゴシック" w:eastAsia="游ゴシック"/>
                <w:b w:val="0"/>
                <w:sz w:val="18"/>
              </w:rPr>
              <w:t>北海道の名簿8種と公表システムの個別画面により、特定施設156人・住宅型有料223人・サ高住66戸・軽費50人・特養160人＋地域密着型62人・グループホーム99人を確定。居所変更実態調査には13施設が未回答（施設数ベースの把握率58.1％）</w:t>
            </w:r>
          </w:p>
        </w:tc>
        <w:tc>
          <w:tcPr>
            <w:tcW w:type="dxa" w:w="3061"/>
          </w:tcPr>
          <w:p>
            <w:pPr>
              <w:spacing w:after="20" w:before="20"/>
            </w:pPr>
            <w:r/>
            <w:r>
              <w:rPr>
                <w:rFonts w:ascii="游ゴシック" w:hAnsi="游ゴシック" w:eastAsia="游ゴシック"/>
                <w:b w:val="0"/>
                <w:sz w:val="18"/>
              </w:rPr>
              <w:t>供給量の数値の差し替え、未回答施設への照会の要否、グループホームくるみの郷の定員</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5件あります（別冊「実施済み3調査の受領点検と集計」）。</w:t>
      </w:r>
    </w:p>
    <w:p>
      <w:pPr>
        <w:spacing w:after="120" w:before="0" w:line="276" w:lineRule="auto"/>
      </w:pPr>
      <w:r>
        <w:rPr>
          <w:rFonts w:ascii="游ゴシック" w:hAnsi="游ゴシック" w:eastAsia="游ゴシック"/>
          <w:b w:val="0"/>
          <w:sz w:val="21"/>
        </w:rPr>
        <w:t>さらに、北海道の施設・住まいの名簿及び介護サービス情報公表システムとの突合により、居所変更実態調査に回答していない施設が13施設あることが分かりました。うち8施設は介護保険の指定を受けない住まい（住宅型有料老人ホーム6・サービス付き高齢者向け住宅1・軽費老人ホーム1）、5施設は指定を受ける施設・居住系（特別養護老人ホーム2・グループホーム2・特定施設1）です。区域内最大の特定施設（さわやか東神楽館・定員100人）も含まれます。定員は名簿により確定できますが、入居者数は名簿になく、調査に回答した4施設分しか把握できていません（別冊「住まいと施設の公表名簿との突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515"/>
            <w:shd w:val="clear" w:fill="1F3864"/>
          </w:tcPr>
          <w:p>
            <w:pPr>
              <w:spacing w:after="20" w:before="20"/>
            </w:pPr>
            <w:r/>
            <w:r>
              <w:rPr>
                <w:rFonts w:ascii="游ゴシック" w:hAnsi="游ゴシック" w:eastAsia="游ゴシック"/>
                <w:b/>
                <w:color w:val="FFFFFF"/>
                <w:sz w:val="18"/>
              </w:rPr>
              <w:t>内容</w:t>
            </w:r>
          </w:p>
        </w:tc>
        <w:tc>
          <w:tcPr>
            <w:tcW w:type="dxa" w:w="907"/>
            <w:shd w:val="clear" w:fill="1F3864"/>
          </w:tcPr>
          <w:p>
            <w:pPr>
              <w:spacing w:after="20" w:before="20"/>
            </w:pPr>
            <w:r/>
            <w:r>
              <w:rPr>
                <w:rFonts w:ascii="游ゴシック" w:hAnsi="游ゴシック" w:eastAsia="游ゴシック"/>
                <w:b/>
                <w:color w:val="FFFFFF"/>
                <w:sz w:val="18"/>
              </w:rPr>
              <w:t>R9</w:t>
            </w:r>
          </w:p>
        </w:tc>
        <w:tc>
          <w:tcPr>
            <w:tcW w:type="dxa" w:w="907"/>
            <w:shd w:val="clear" w:fill="1F3864"/>
          </w:tcPr>
          <w:p>
            <w:pPr>
              <w:spacing w:after="20" w:before="20"/>
            </w:pPr>
            <w:r/>
            <w:r>
              <w:rPr>
                <w:rFonts w:ascii="游ゴシック" w:hAnsi="游ゴシック" w:eastAsia="游ゴシック"/>
                <w:b/>
                <w:color w:val="FFFFFF"/>
                <w:sz w:val="18"/>
              </w:rPr>
              <w:t>R10</w:t>
            </w:r>
          </w:p>
        </w:tc>
        <w:tc>
          <w:tcPr>
            <w:tcW w:type="dxa" w:w="907"/>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515"/>
          </w:tcPr>
          <w:p>
            <w:pPr>
              <w:spacing w:after="20" w:before="20"/>
            </w:pPr>
            <w:r/>
            <w:r>
              <w:rPr>
                <w:rFonts w:ascii="游ゴシック" w:hAnsi="游ゴシック" w:eastAsia="游ゴシック"/>
                <w:b w:val="0"/>
                <w:sz w:val="18"/>
              </w:rPr>
              <w:t>令和8年3月末の認定率をそのまま固定する</w:t>
            </w:r>
          </w:p>
        </w:tc>
        <w:tc>
          <w:tcPr>
            <w:tcW w:type="dxa" w:w="907"/>
          </w:tcPr>
          <w:p>
            <w:pPr>
              <w:spacing w:after="20" w:before="20"/>
            </w:pPr>
            <w:r/>
            <w:r>
              <w:rPr>
                <w:rFonts w:ascii="游ゴシック" w:hAnsi="游ゴシック" w:eastAsia="游ゴシック"/>
                <w:b w:val="0"/>
                <w:sz w:val="18"/>
              </w:rPr>
              <w:t>2,014</w:t>
            </w:r>
          </w:p>
        </w:tc>
        <w:tc>
          <w:tcPr>
            <w:tcW w:type="dxa" w:w="907"/>
          </w:tcPr>
          <w:p>
            <w:pPr>
              <w:spacing w:after="20" w:before="20"/>
            </w:pPr>
            <w:r/>
            <w:r>
              <w:rPr>
                <w:rFonts w:ascii="游ゴシック" w:hAnsi="游ゴシック" w:eastAsia="游ゴシック"/>
                <w:b w:val="0"/>
                <w:sz w:val="18"/>
              </w:rPr>
              <w:t>2,029</w:t>
            </w:r>
          </w:p>
        </w:tc>
        <w:tc>
          <w:tcPr>
            <w:tcW w:type="dxa" w:w="907"/>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515"/>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07"/>
          </w:tcPr>
          <w:p>
            <w:pPr>
              <w:spacing w:after="20" w:before="20"/>
            </w:pPr>
            <w:r/>
            <w:r>
              <w:rPr>
                <w:rFonts w:ascii="游ゴシック" w:hAnsi="游ゴシック" w:eastAsia="游ゴシック"/>
                <w:b w:val="0"/>
                <w:sz w:val="18"/>
              </w:rPr>
              <w:t>1,995</w:t>
            </w:r>
          </w:p>
        </w:tc>
        <w:tc>
          <w:tcPr>
            <w:tcW w:type="dxa" w:w="907"/>
          </w:tcPr>
          <w:p>
            <w:pPr>
              <w:spacing w:after="20" w:before="20"/>
            </w:pPr>
            <w:r/>
            <w:r>
              <w:rPr>
                <w:rFonts w:ascii="游ゴシック" w:hAnsi="游ゴシック" w:eastAsia="游ゴシック"/>
                <w:b w:val="0"/>
                <w:sz w:val="18"/>
              </w:rPr>
              <w:t>2,000</w:t>
            </w:r>
          </w:p>
        </w:tc>
        <w:tc>
          <w:tcPr>
            <w:tcW w:type="dxa" w:w="907"/>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515"/>
          </w:tcPr>
          <w:p>
            <w:pPr>
              <w:spacing w:after="20" w:before="20"/>
            </w:pPr>
            <w:r/>
            <w:r>
              <w:rPr>
                <w:rFonts w:ascii="游ゴシック" w:hAnsi="游ゴシック" w:eastAsia="游ゴシック"/>
                <w:b w:val="0"/>
                <w:sz w:val="18"/>
              </w:rPr>
              <w:t>令和11年度にかけて令和元年の水準へ戻る</w:t>
            </w:r>
          </w:p>
        </w:tc>
        <w:tc>
          <w:tcPr>
            <w:tcW w:type="dxa" w:w="907"/>
          </w:tcPr>
          <w:p>
            <w:pPr>
              <w:spacing w:after="20" w:before="20"/>
            </w:pPr>
            <w:r/>
            <w:r>
              <w:rPr>
                <w:rFonts w:ascii="游ゴシック" w:hAnsi="游ゴシック" w:eastAsia="游ゴシック"/>
                <w:b w:val="0"/>
                <w:sz w:val="18"/>
              </w:rPr>
              <w:t>2,048</w:t>
            </w:r>
          </w:p>
        </w:tc>
        <w:tc>
          <w:tcPr>
            <w:tcW w:type="dxa" w:w="907"/>
          </w:tcPr>
          <w:p>
            <w:pPr>
              <w:spacing w:after="20" w:before="20"/>
            </w:pPr>
            <w:r/>
            <w:r>
              <w:rPr>
                <w:rFonts w:ascii="游ゴシック" w:hAnsi="游ゴシック" w:eastAsia="游ゴシック"/>
                <w:b w:val="0"/>
                <w:sz w:val="18"/>
              </w:rPr>
              <w:t>2,080</w:t>
            </w:r>
          </w:p>
        </w:tc>
        <w:tc>
          <w:tcPr>
            <w:tcW w:type="dxa" w:w="907"/>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工程開始、キックオフ資料第6稿、計画素案第10稿、第1回委員会資料、代表KPIの定義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令和6～8年度実績の受領、3調査の点検事項の解消（重大6件のご意向の確認）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施設・住まいの供給量</w:t>
            </w:r>
          </w:p>
        </w:tc>
        <w:tc>
          <w:tcPr>
            <w:tcW w:type="dxa" w:w="2041"/>
          </w:tcPr>
          <w:p>
            <w:pPr>
              <w:spacing w:after="20" w:before="20"/>
            </w:pPr>
            <w:r/>
            <w:r>
              <w:rPr>
                <w:rFonts w:ascii="游ゴシック" w:hAnsi="游ゴシック" w:eastAsia="游ゴシック"/>
                <w:b w:val="0"/>
                <w:sz w:val="18"/>
              </w:rPr>
              <w:t>北海道の名簿8種と突合済</w:t>
            </w:r>
          </w:p>
        </w:tc>
        <w:tc>
          <w:tcPr>
            <w:tcW w:type="dxa" w:w="3402"/>
          </w:tcPr>
          <w:p>
            <w:pPr>
              <w:spacing w:after="20" w:before="20"/>
            </w:pPr>
            <w:r/>
            <w:r>
              <w:rPr>
                <w:rFonts w:ascii="游ゴシック" w:hAnsi="游ゴシック" w:eastAsia="游ゴシック"/>
                <w:b w:val="0"/>
                <w:sz w:val="18"/>
              </w:rPr>
              <w:t>特定施設156人（調査は58人）、住宅型有料9施設223人（調査は3施設91人）、特養160人＋地域密着型62人（調査は152人）</w:t>
            </w:r>
          </w:p>
        </w:tc>
        <w:tc>
          <w:tcPr>
            <w:tcW w:type="dxa" w:w="2608"/>
          </w:tcPr>
          <w:p>
            <w:pPr>
              <w:spacing w:after="20" w:before="20"/>
            </w:pPr>
            <w:r/>
            <w:r>
              <w:rPr>
                <w:rFonts w:ascii="游ゴシック" w:hAnsi="游ゴシック" w:eastAsia="游ゴシック"/>
                <w:b w:val="0"/>
                <w:sz w:val="18"/>
              </w:rPr>
              <w:t>第2章第3節の数値の差し替え、入居者数の照会の要否</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第1回委員会資料・キックオフ資料第6稿を作成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35件の取扱い。特に重大6件（職員数の二重計上、利用者票の回答の偏り、所在地区の集計の可否、老健・通所リハの介護職員数と見える化の乖離、区域内最大の特定施設の未回答、区域内の施設数と未回答数）</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施設・住まい</w:t>
            </w:r>
          </w:p>
        </w:tc>
        <w:tc>
          <w:tcPr>
            <w:tcW w:type="dxa" w:w="6463"/>
          </w:tcPr>
          <w:p>
            <w:pPr>
              <w:spacing w:after="20" w:before="20"/>
            </w:pPr>
            <w:r/>
            <w:r>
              <w:rPr>
                <w:rFonts w:ascii="游ゴシック" w:hAnsi="游ゴシック" w:eastAsia="游ゴシック"/>
                <w:b w:val="0"/>
                <w:sz w:val="18"/>
              </w:rPr>
              <w:t>指定事業所台帳（グループホームくるみの郷の定員と休止の有無。地域密着型サービスであり指定権者は広域連合）。施設・居住系の入所者数・空床・休止床</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16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実施済み3調査の点検事項の取扱い（重大6件）と事業所への照会</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14</w:t>
            </w:r>
          </w:p>
        </w:tc>
        <w:tc>
          <w:tcPr>
            <w:tcW w:type="dxa" w:w="7030"/>
          </w:tcPr>
          <w:p>
            <w:pPr>
              <w:spacing w:after="20" w:before="20"/>
            </w:pPr>
            <w:r/>
            <w:r>
              <w:rPr>
                <w:rFonts w:ascii="游ゴシック" w:hAnsi="游ゴシック" w:eastAsia="游ゴシック"/>
                <w:b w:val="0"/>
                <w:sz w:val="18"/>
              </w:rPr>
              <w:t>施設・住まいの供給量の差し替えと調査の配布範囲（くるみの郷の定員を含む）</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15</w:t>
            </w:r>
          </w:p>
        </w:tc>
        <w:tc>
          <w:tcPr>
            <w:tcW w:type="dxa" w:w="7030"/>
          </w:tcPr>
          <w:p>
            <w:pPr>
              <w:spacing w:after="20" w:before="20"/>
            </w:pPr>
            <w:r/>
            <w:r>
              <w:rPr>
                <w:rFonts w:ascii="游ゴシック" w:hAnsi="游ゴシック" w:eastAsia="游ゴシック"/>
                <w:b w:val="0"/>
                <w:sz w:val="18"/>
              </w:rPr>
              <w:t>供給構造に関する記述の表現（運営法人の集中の書き方）</w:t>
            </w:r>
          </w:p>
        </w:tc>
        <w:tc>
          <w:tcPr>
            <w:tcW w:type="dxa" w:w="2041"/>
          </w:tcPr>
          <w:p>
            <w:pPr>
              <w:spacing w:after="20" w:before="20"/>
            </w:pPr>
            <w:r/>
            <w:r>
              <w:rPr>
                <w:rFonts w:ascii="游ゴシック" w:hAnsi="游ゴシック" w:eastAsia="游ゴシック"/>
                <w:b w:val="0"/>
                <w:sz w:val="18"/>
              </w:rPr>
              <w:t>計画の記述</w:t>
            </w:r>
          </w:p>
        </w:tc>
      </w:tr>
      <w:tr>
        <w:tc>
          <w:tcPr>
            <w:tcW w:type="dxa" w:w="680"/>
          </w:tcPr>
          <w:p>
            <w:pPr>
              <w:spacing w:after="20" w:before="20"/>
            </w:pPr>
            <w:r/>
            <w:r>
              <w:rPr>
                <w:rFonts w:ascii="游ゴシック" w:hAnsi="游ゴシック" w:eastAsia="游ゴシック"/>
                <w:b w:val="0"/>
                <w:sz w:val="18"/>
              </w:rPr>
              <w:t>16</w:t>
            </w:r>
          </w:p>
        </w:tc>
        <w:tc>
          <w:tcPr>
            <w:tcW w:type="dxa" w:w="7030"/>
          </w:tcPr>
          <w:p>
            <w:pPr>
              <w:spacing w:after="20" w:before="20"/>
            </w:pPr>
            <w:r/>
            <w:r>
              <w:rPr>
                <w:rFonts w:ascii="游ゴシック" w:hAnsi="游ゴシック" w:eastAsia="游ゴシック"/>
                <w:b w:val="0"/>
                <w:sz w:val="18"/>
              </w:rPr>
              <w:t>調査結果報告書の様式と構成</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35件を整理し、重大6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・施設・住まいの供給量を計画素案 第2章第3節へ反映し、未回答施設への照会の要否についてご意向を確認します。グループホームくるみの郷の定員は指定事業所台帳によります。</w:t>
      </w:r>
    </w:p>
    <w:p>
      <w:pPr>
        <w:spacing w:after="40"/>
        <w:ind w:left="283"/>
      </w:pPr>
      <w:r>
        <w:rPr>
          <w:rFonts w:ascii="游ゴシック" w:hAnsi="游ゴシック" w:eastAsia="游ゴシック"/>
          <w:sz w:val="21"/>
        </w:rPr>
        <w:t>・キックオフ資料を第6稿から更新し、本日いただいたご意向を業務工程管理表及び必要事項の一覧に反映します。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