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は、事業所名の記入はあるものの各設問が0又は記号のみとなっています。対象となる事例が0件であったのか未記入であるのかが判別できないため、「回答事業所15件」と「集計に反映した事業所」を区別する必要があります。提出元への確認を要します。</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調査で得られた件数を需要量として用いるには、次の補正が必要です。本報告書ではこの補正を行っていません。点検事項の取扱いが決まった後に、低位・標準・高位の3シナリオとして別途算定します。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