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20"/>
        <w:jc w:val="center"/>
      </w:pPr>
      <w:r>
        <w:rPr>
          <w:rFonts w:ascii="游ゴシック" w:hAnsi="游ゴシック" w:eastAsia="游ゴシック"/>
          <w:b/>
          <w:i w:val="0"/>
          <w:color w:val="2E74B5"/>
          <w:sz w:val="44"/>
        </w:rPr>
        <w:t>小野町高齢者保健福祉計画・第10期介護保険事業計画</w:t>
      </w:r>
    </w:p>
    <w:p>
      <w:pPr>
        <w:spacing w:after="120"/>
        <w:jc w:val="center"/>
      </w:pPr>
      <w:r>
        <w:rPr>
          <w:rFonts w:ascii="游ゴシック" w:hAnsi="游ゴシック" w:eastAsia="游ゴシック"/>
          <w:b w:val="0"/>
          <w:i w:val="0"/>
          <w:sz w:val="26"/>
        </w:rPr>
        <w:t>見える化システムの出力資料（第1回）の確認結果</w:t>
      </w:r>
    </w:p>
    <w:p>
      <w:pPr>
        <w:spacing w:after="120"/>
        <w:jc w:val="center"/>
      </w:pPr>
      <w:r>
        <w:rPr>
          <w:rFonts w:ascii="游ゴシック" w:hAnsi="游ゴシック" w:eastAsia="游ゴシック"/>
          <w:b w:val="0"/>
          <w:i w:val="0"/>
          <w:sz w:val="26"/>
        </w:rPr>
        <w:t>令和8年10月20日</w:t>
      </w:r>
    </w:p>
    <w:p>
      <w:pPr>
        <w:spacing w:after="120"/>
        <w:jc w:val="center"/>
      </w:pPr>
      <w:r>
        <w:rPr>
          <w:rFonts w:ascii="游ゴシック" w:hAnsi="游ゴシック" w:eastAsia="游ゴシック"/>
          <w:b w:val="0"/>
          <w:i w:val="0"/>
          <w:sz w:val="26"/>
        </w:rPr>
        <w:t>ビズアップ公共コンサルティング株式会社</w:t>
      </w:r>
    </w:p>
    <w:p>
      <w:r>
        <w:br w:type="page"/>
      </w:r>
    </w:p>
    <w:p>
      <w:pPr>
        <w:spacing w:after="280"/>
        <w:jc w:val="center"/>
      </w:pPr>
      <w:r>
        <w:rPr>
          <w:rFonts w:ascii="游ゴシック" w:hAnsi="游ゴシック" w:eastAsia="游ゴシック"/>
          <w:b/>
          <w:i w:val="0"/>
          <w:color w:val="2E74B5"/>
          <w:sz w:val="30"/>
        </w:rPr>
        <w:t>目　次</w:t>
      </w:r>
    </w:p>
    <w:p>
      <w:pPr>
        <w:spacing w:after="200"/>
        <w:jc w:val="center"/>
      </w:pPr>
      <w:r>
        <w:rPr>
          <w:rFonts w:ascii="游ゴシック" w:hAnsi="游ゴシック" w:eastAsia="游ゴシック"/>
          <w:b w:val="0"/>
          <w:i w:val="0"/>
          <w:sz w:val="18"/>
        </w:rPr>
        <w:t>各行をクリックすると本文へ移動します。ページ番号はWordで開いた時点で更新されます</w:t>
      </w:r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1">
        <w:r>
          <w:rPr>
            <w:rFonts w:ascii="游ゴシック" w:hAnsi="游ゴシック" w:eastAsia="游ゴシック"/>
            <w:b/>
            <w:sz w:val="22"/>
          </w:rPr>
          <w:t xml:space="preserve">1　受領した資料と依頼との照合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_Toc_001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2">
        <w:r>
          <w:rPr>
            <w:rFonts w:ascii="游ゴシック" w:hAnsi="游ゴシック" w:eastAsia="游ゴシック"/>
            <w:b/>
            <w:sz w:val="22"/>
          </w:rPr>
          <w:t xml:space="preserve">2　小野町の値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_Toc_002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3">
        <w:r>
          <w:rPr>
            <w:rFonts w:ascii="游ゴシック" w:hAnsi="游ゴシック" w:eastAsia="游ゴシック"/>
            <w:b/>
            <w:sz w:val="22"/>
          </w:rPr>
          <w:t xml:space="preserve">3　読み方の注意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_Toc_003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4">
        <w:r>
          <w:rPr>
            <w:rFonts w:ascii="游ゴシック" w:hAnsi="游ゴシック" w:eastAsia="游ゴシック"/>
            <w:b/>
            <w:sz w:val="22"/>
          </w:rPr>
          <w:t xml:space="preserve">4　追加でお願いしたいもの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_Toc_004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5">
        <w:r>
          <w:rPr>
            <w:rFonts w:ascii="游ゴシック" w:hAnsi="游ゴシック" w:eastAsia="游ゴシック"/>
            <w:b/>
            <w:sz w:val="22"/>
          </w:rPr>
          <w:t xml:space="preserve">5　素案への反映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_Toc_005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sectPr>
          <w:headerReference w:type="default" r:id="rId9"/>
          <w:footerReference w:type="default" r:id="rId10"/>
          <w:pgSz w:w="11906" w:h="16838"/>
          <w:pgMar w:top="1134" w:right="1077" w:bottom="1134" w:left="1077" w:header="709" w:footer="709" w:gutter="0"/>
          <w:cols w:space="720"/>
          <w:docGrid w:linePitch="360"/>
        </w:sectPr>
      </w:pPr>
    </w:p>
    <w:p>
      <w:pPr>
        <w:pStyle w:val="Heading1"/>
        <w:keepNext/>
        <w:spacing w:before="240" w:after="100"/>
      </w:pPr>
      <w:bookmarkStart w:id="101" w:name="_Toc_001"/>
      <w:r>
        <w:rPr>
          <w:rFonts w:ascii="游ゴシック" w:hAnsi="游ゴシック" w:eastAsia="游ゴシック"/>
          <w:b/>
          <w:i w:val="0"/>
          <w:color w:val="2E74B5"/>
          <w:sz w:val="30"/>
        </w:rPr>
        <w:t>1　受領した資料と依頼との照合</w:t>
      </w:r>
      <w:bookmarkEnd w:id="101"/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受領した37ファイル（35指標）のうち、依頼した21指標のうち17指標が届いています。</w:t>
      </w:r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【表1】依頼との照合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2268"/>
        <w:gridCol w:w="7483"/>
      </w:tblGrid>
      <w:tr>
        <w:tc>
          <w:tcPr>
            <w:tcW w:type="dxa" w:w="226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区分</w:t>
            </w:r>
          </w:p>
        </w:tc>
        <w:tc>
          <w:tcPr>
            <w:tcW w:type="dxa" w:w="7483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指標ID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届いたもの（依頼分）</w:t>
            </w:r>
          </w:p>
        </w:tc>
        <w:tc>
          <w:tcPr>
            <w:tcW w:type="dxa" w:w="748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L27-a、L27-b、L27-c、L28-a、δ1-c、L26、O5、K3-a、K3-c、K3-f、K3-p、K3-s、F27、W154、D1、B3-a、B7</w:t>
            </w:r>
          </w:p>
        </w:tc>
      </w:tr>
      <w:tr>
        <w:tc>
          <w:tcPr>
            <w:tcW w:type="dxa" w:w="2268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届いていないもの</w:t>
            </w:r>
          </w:p>
        </w:tc>
        <w:tc>
          <w:tcPr>
            <w:tcW w:type="dxa" w:w="7483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L25、K1-a、K1-b、K2-c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追加で届いたもの</w:t>
            </w:r>
          </w:p>
        </w:tc>
        <w:tc>
          <w:tcPr>
            <w:tcW w:type="dxa" w:w="748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K3-b、K3-d、K3-e、K3-g、K3-h、K3-i、K3-j、K3-k、K3-l、K3-m、K3-n、K3-o、K3-q、K3-r、K3-t、L28-b、O4、W155</w:t>
            </w:r>
          </w:p>
        </w:tc>
      </w:tr>
    </w:tbl>
    <w:p>
      <w:pPr>
        <w:spacing w:after="40"/>
      </w:pPr>
    </w:p>
    <w:p>
      <w:pPr>
        <w:spacing w:before="40" w:after="160"/>
        <w:ind w:left="113"/>
      </w:pPr>
      <w:r>
        <w:rPr>
          <w:rFonts w:ascii="游ゴシック" w:hAnsi="游ゴシック" w:eastAsia="游ゴシック"/>
          <w:b w:val="0"/>
          <w:i w:val="0"/>
          <w:sz w:val="17"/>
        </w:rPr>
        <w:t>L26は同じ内容のファイルが3つあった（値はすべて同じ）。</w:t>
      </w:r>
    </w:p>
    <w:p>
      <w:pPr>
        <w:pStyle w:val="Heading1"/>
        <w:keepNext/>
        <w:spacing w:before="240" w:after="100"/>
      </w:pPr>
      <w:bookmarkStart w:id="102" w:name="_Toc_002"/>
      <w:r>
        <w:rPr>
          <w:rFonts w:ascii="游ゴシック" w:hAnsi="游ゴシック" w:eastAsia="游ゴシック"/>
          <w:b/>
          <w:i w:val="0"/>
          <w:color w:val="2E74B5"/>
          <w:sz w:val="30"/>
        </w:rPr>
        <w:t>2　小野町の値</w:t>
      </w:r>
      <w:bookmarkEnd w:id="102"/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【表2】小野町の値（主なもの）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1134"/>
        <w:gridCol w:w="2608"/>
        <w:gridCol w:w="3969"/>
        <w:gridCol w:w="2041"/>
      </w:tblGrid>
      <w:tr>
        <w:tc>
          <w:tcPr>
            <w:tcW w:type="dxa" w:w="113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指標ID</w:t>
            </w:r>
          </w:p>
        </w:tc>
        <w:tc>
          <w:tcPr>
            <w:tcW w:type="dxa" w:w="260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指標</w:t>
            </w:r>
          </w:p>
        </w:tc>
        <w:tc>
          <w:tcPr>
            <w:tcW w:type="dxa" w:w="3969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小野町の値</w:t>
            </w:r>
          </w:p>
        </w:tc>
        <w:tc>
          <w:tcPr>
            <w:tcW w:type="dxa" w:w="204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素案の箇所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B3-a・D1</w:t>
            </w:r>
          </w:p>
        </w:tc>
        <w:tc>
          <w:tcPr>
            <w:tcW w:type="dxa" w:w="260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認定者に対する受給者の比率</w:t>
            </w:r>
          </w:p>
        </w:tc>
        <w:tc>
          <w:tcPr>
            <w:tcW w:type="dxa" w:w="396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68.6％（受給者537人÷認定者783人、令和8年3月）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基本目標3②の成果指標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B7</w:t>
            </w:r>
          </w:p>
        </w:tc>
        <w:tc>
          <w:tcPr>
            <w:tcW w:type="dxa" w:w="260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認知症高齢者の日常生活自立度（令和8年4月末）</w:t>
            </w:r>
          </w:p>
        </w:tc>
        <w:tc>
          <w:tcPr>
            <w:tcW w:type="dxa" w:w="396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Ⅲa 117人・Ⅲb 28人・Ⅳ 43人・Ｍ 18人。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自立度Ⅱ以上 520人（56.9％）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第2章6（認知症高齢者数の見込み）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W154</w:t>
            </w:r>
          </w:p>
        </w:tc>
        <w:tc>
          <w:tcPr>
            <w:tcW w:type="dxa" w:w="260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認知症サポーター数（65歳以上人口10万対、令和5年）</w:t>
            </w:r>
          </w:p>
        </w:tc>
        <w:tc>
          <w:tcPr>
            <w:tcW w:type="dxa" w:w="396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27,591.2（福島県36,514.6、全国39,358.8）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基本目標2③の成果指標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W155</w:t>
            </w:r>
          </w:p>
        </w:tc>
        <w:tc>
          <w:tcPr>
            <w:tcW w:type="dxa" w:w="260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ステップアップ講座修了者数（同）</w:t>
            </w:r>
          </w:p>
        </w:tc>
        <w:tc>
          <w:tcPr>
            <w:tcW w:type="dxa" w:w="396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0.0（福島県17.0、全国118.8）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基本目標2③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δ1-c</w:t>
            </w:r>
          </w:p>
        </w:tc>
        <w:tc>
          <w:tcPr>
            <w:tcW w:type="dxa" w:w="260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医療介護連携（2025年、偏差値）</w:t>
            </w:r>
          </w:p>
        </w:tc>
        <w:tc>
          <w:tcPr>
            <w:tcW w:type="dxa" w:w="396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在宅死亡（自宅）54.5、入退院時の連携加算50.2、協力医療機関連携56.2、看取り・ターミナルケア45.1、緊急時訪問看護55.8、認知症専門ケア48.4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基本目標2⑦</w:t>
            </w:r>
          </w:p>
        </w:tc>
      </w:tr>
      <w:tr>
        <w:tc>
          <w:tcPr>
            <w:tcW w:type="dxa" w:w="1134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L27-a〜c</w:t>
            </w:r>
          </w:p>
        </w:tc>
        <w:tc>
          <w:tcPr>
            <w:tcW w:type="dxa" w:w="2608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在宅死亡者数（人口10万対、令和元年度）</w:t>
            </w:r>
          </w:p>
        </w:tc>
        <w:tc>
          <w:tcPr>
            <w:tcW w:type="dxa" w:w="3969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自宅190.0・老人ホーム10.0・介護老人保健施設20.0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資料編12 三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L28-a</w:t>
            </w:r>
          </w:p>
        </w:tc>
        <w:tc>
          <w:tcPr>
            <w:tcW w:type="dxa" w:w="260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看取り数（人口10万対、令和元年度）</w:t>
            </w:r>
          </w:p>
        </w:tc>
        <w:tc>
          <w:tcPr>
            <w:tcW w:type="dxa" w:w="396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0.0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基本目標2⑦</w:t>
            </w:r>
          </w:p>
        </w:tc>
      </w:tr>
    </w:tbl>
    <w:p>
      <w:pPr>
        <w:spacing w:after="40"/>
      </w:pP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町内の事業所数（令和6年度、K3系）</w:t>
      </w:r>
      <w:r>
        <w:rPr>
          <w:rFonts w:ascii="游ゴシック" w:hAnsi="游ゴシック" w:eastAsia="游ゴシック"/>
          <w:b w:val="0"/>
          <w:i w:val="0"/>
          <w:sz w:val="21"/>
        </w:rPr>
        <w:t>は次のとおりです。</w:t>
      </w:r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【表3】町内の事業所数（令和6年度）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1928"/>
        <w:gridCol w:w="7824"/>
      </w:tblGrid>
      <w:tr>
        <w:tc>
          <w:tcPr>
            <w:tcW w:type="dxa" w:w="192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区分</w:t>
            </w:r>
          </w:p>
        </w:tc>
        <w:tc>
          <w:tcPr>
            <w:tcW w:type="dxa" w:w="782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サービス（事業所数）</w:t>
            </w:r>
          </w:p>
        </w:tc>
      </w:tr>
      <w:tr>
        <w:tc>
          <w:tcPr>
            <w:tcW w:type="dxa" w:w="1928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町内にあるもの</w:t>
            </w:r>
          </w:p>
        </w:tc>
        <w:tc>
          <w:tcPr>
            <w:tcW w:type="dxa" w:w="7824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訪問介護 2、訪問看護 1、居宅療養管理指導 1、通所介護 3、短期入所生活介護 2、福祉用具貸与 1、定期巡回・随時対応型訪問介護看護 1、認知症対応型通所介護 1、小規模多機能型居宅介護 2、介護予防支援 1、居宅介護支援 3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町内にないもの</w:t>
            </w:r>
          </w:p>
        </w:tc>
        <w:tc>
          <w:tcPr>
            <w:tcW w:type="dxa" w:w="782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訪問入浴介護、訪問リハビリテーション、地域密着型通所介護、通所リハビリテーション、短期入所療養介護（老健）、短期入所療養介護（病院等）、夜間対応型訪問介護、看護小規模多機能型居宅介護、短期入所療養介護（介護医療院）</w:t>
            </w:r>
          </w:p>
        </w:tc>
      </w:tr>
    </w:tbl>
    <w:p>
      <w:pPr>
        <w:spacing w:after="40"/>
      </w:pPr>
    </w:p>
    <w:p>
      <w:pPr>
        <w:spacing w:before="40" w:after="160"/>
        <w:ind w:left="113"/>
      </w:pPr>
      <w:r>
        <w:rPr>
          <w:rFonts w:ascii="游ゴシック" w:hAnsi="游ゴシック" w:eastAsia="游ゴシック"/>
          <w:b w:val="0"/>
          <w:i w:val="0"/>
          <w:sz w:val="17"/>
        </w:rPr>
        <w:t>施設（介護老人福祉施設・地域密着型介護老人福祉施設）と認知症対応型共同生活介護の事業所数（K1-a・K1-b・K2-c）は未着のため、この表に含まない。</w:t>
      </w:r>
    </w:p>
    <w:p>
      <w:pPr>
        <w:pStyle w:val="Heading1"/>
        <w:keepNext/>
        <w:spacing w:before="240" w:after="100"/>
      </w:pPr>
      <w:bookmarkStart w:id="103" w:name="_Toc_003"/>
      <w:r>
        <w:rPr>
          <w:rFonts w:ascii="游ゴシック" w:hAnsi="游ゴシック" w:eastAsia="游ゴシック"/>
          <w:b/>
          <w:i w:val="0"/>
          <w:color w:val="2E74B5"/>
          <w:sz w:val="30"/>
        </w:rPr>
        <w:t>3　読み方の注意</w:t>
      </w:r>
      <w:bookmarkEnd w:id="103"/>
    </w:p>
    <w:p>
      <w:pPr>
        <w:spacing w:before="40" w:after="40"/>
        <w:ind w:left="227"/>
      </w:pPr>
      <w:r>
        <w:rPr>
          <w:rFonts w:ascii="游ゴシック" w:hAnsi="游ゴシック" w:eastAsia="游ゴシック"/>
          <w:b w:val="0"/>
          <w:i w:val="0"/>
          <w:sz w:val="21"/>
        </w:rPr>
        <w:t>・</w:t>
      </w:r>
      <w:r>
        <w:rPr>
          <w:rFonts w:ascii="游ゴシック" w:hAnsi="游ゴシック" w:eastAsia="游ゴシック"/>
          <w:b/>
          <w:i w:val="0"/>
          <w:sz w:val="21"/>
        </w:rPr>
        <w:t>δ1-cの「在宅死亡者数（自宅）190（人）」は人数ではありません。</w:t>
      </w:r>
      <w:r>
        <w:rPr>
          <w:rFonts w:ascii="游ゴシック" w:hAnsi="游ゴシック" w:eastAsia="游ゴシック"/>
          <w:b w:val="0"/>
          <w:i w:val="0"/>
          <w:sz w:val="21"/>
        </w:rPr>
        <w:t xml:space="preserve"> L27-cのグラフの数値データでは同じ190.0が「人口10万対」と表示されており、令和元年度の値です。表形式の単位欄（人）の誤りとみられます。当時の本町の人口（約1万人）では、1年に約19人に当たります</w:t>
      </w:r>
    </w:p>
    <w:p>
      <w:pPr>
        <w:spacing w:before="40" w:after="40"/>
        <w:ind w:left="227"/>
      </w:pPr>
      <w:r>
        <w:rPr>
          <w:rFonts w:ascii="游ゴシック" w:hAnsi="游ゴシック" w:eastAsia="游ゴシック"/>
          <w:b w:val="0"/>
          <w:i w:val="0"/>
          <w:sz w:val="21"/>
        </w:rPr>
        <w:t>・</w:t>
      </w:r>
      <w:r>
        <w:rPr>
          <w:rFonts w:ascii="游ゴシック" w:hAnsi="游ゴシック" w:eastAsia="游ゴシック"/>
          <w:b/>
          <w:i w:val="0"/>
          <w:sz w:val="21"/>
        </w:rPr>
        <w:t>在宅死亡者数・看取り数（L27・L28）は令和元年度までしかありません。</w:t>
      </w:r>
      <w:r>
        <w:rPr>
          <w:rFonts w:ascii="游ゴシック" w:hAnsi="游ゴシック" w:eastAsia="游ゴシック"/>
          <w:b w:val="0"/>
          <w:i w:val="0"/>
          <w:sz w:val="21"/>
        </w:rPr>
        <w:t xml:space="preserve"> 医療計画作成支援データブックの更新待ちとみられます。素案の現状値に使う場合は、年度を明記します</w:t>
      </w:r>
    </w:p>
    <w:p>
      <w:pPr>
        <w:spacing w:before="40" w:after="40"/>
        <w:ind w:left="227"/>
      </w:pPr>
      <w:r>
        <w:rPr>
          <w:rFonts w:ascii="游ゴシック" w:hAnsi="游ゴシック" w:eastAsia="游ゴシック"/>
          <w:b w:val="0"/>
          <w:i w:val="0"/>
          <w:sz w:val="21"/>
        </w:rPr>
        <w:t>・</w:t>
      </w:r>
      <w:r>
        <w:rPr>
          <w:rFonts w:ascii="游ゴシック" w:hAnsi="游ゴシック" w:eastAsia="游ゴシック"/>
          <w:b/>
          <w:i w:val="0"/>
          <w:sz w:val="21"/>
        </w:rPr>
        <w:t>入院時情報連携加算の算定回数（L26）は、令和5・6年度が0.0（人口10万対）です。</w:t>
      </w:r>
      <w:r>
        <w:rPr>
          <w:rFonts w:ascii="游ゴシック" w:hAnsi="游ゴシック" w:eastAsia="游ゴシック"/>
          <w:b w:val="0"/>
          <w:i w:val="0"/>
          <w:sz w:val="21"/>
        </w:rPr>
        <w:t xml:space="preserve"> 令和元年度140.0→令和2年度30.6→令和4年度21.5と下がっています（福島県139.3、全国117.4、令和6年度）。</w:t>
      </w:r>
      <w:r>
        <w:rPr>
          <w:rFonts w:ascii="游ゴシック" w:hAnsi="游ゴシック" w:eastAsia="游ゴシック"/>
          <w:b/>
          <w:i w:val="0"/>
          <w:sz w:val="21"/>
        </w:rPr>
        <w:t>一方、素案は交付金の評価指標（令和6年度実績）により「算定者数割合は全保険者の上位1割」としており、食い違います。</w:t>
      </w:r>
      <w:r>
        <w:rPr>
          <w:rFonts w:ascii="游ゴシック" w:hAnsi="游ゴシック" w:eastAsia="游ゴシック"/>
          <w:b w:val="0"/>
          <w:i w:val="0"/>
          <w:sz w:val="21"/>
        </w:rPr>
        <w:t xml:space="preserve"> δ1-c（2025年）の入院時・退院時を合わせた算定率は50.17％（偏差値50.2）で全国平均並みです。</w:t>
      </w:r>
      <w:r>
        <w:rPr>
          <w:rFonts w:ascii="游ゴシック" w:hAnsi="游ゴシック" w:eastAsia="游ゴシック"/>
          <w:b/>
          <w:i w:val="0"/>
          <w:sz w:val="21"/>
        </w:rPr>
        <w:t>素案の記載は直さず、交付金の集計表と見える化の定義（算定回数か算定者数か、令和6年度改定での加算区分の変更）を確かめてから判断します</w:t>
      </w:r>
    </w:p>
    <w:p>
      <w:pPr>
        <w:spacing w:before="40" w:after="40"/>
        <w:ind w:left="227"/>
      </w:pPr>
      <w:r>
        <w:rPr>
          <w:rFonts w:ascii="游ゴシック" w:hAnsi="游ゴシック" w:eastAsia="游ゴシック"/>
          <w:b w:val="0"/>
          <w:i w:val="0"/>
          <w:sz w:val="21"/>
        </w:rPr>
        <w:t>・</w:t>
      </w:r>
      <w:r>
        <w:rPr>
          <w:rFonts w:ascii="游ゴシック" w:hAnsi="游ゴシック" w:eastAsia="游ゴシック"/>
          <w:b/>
          <w:i w:val="0"/>
          <w:sz w:val="21"/>
        </w:rPr>
        <w:t>認定者数がB3-a（令和8年3月末783人）とB7（令和8年4月末914人）で大きく違います。</w:t>
      </w:r>
      <w:r>
        <w:rPr>
          <w:rFonts w:ascii="游ゴシック" w:hAnsi="游ゴシック" w:eastAsia="游ゴシック"/>
          <w:b w:val="0"/>
          <w:i w:val="0"/>
          <w:sz w:val="21"/>
        </w:rPr>
        <w:t xml:space="preserve"> B3-aは介護保険事業状況報告、B7は介護保険総合データベースで、令和7年9月の認定者数の断層（素案 第2章3）がB7には現れていません。</w:t>
      </w:r>
      <w:r>
        <w:rPr>
          <w:rFonts w:ascii="游ゴシック" w:hAnsi="游ゴシック" w:eastAsia="游ゴシック"/>
          <w:b/>
          <w:i w:val="0"/>
          <w:sz w:val="21"/>
        </w:rPr>
        <w:t>そこで、B7は人数ではなく構成比（自立度Ⅱ以上56.9％）で使います</w:t>
      </w:r>
    </w:p>
    <w:p>
      <w:pPr>
        <w:spacing w:before="40" w:after="40"/>
        <w:ind w:left="227"/>
      </w:pPr>
      <w:r>
        <w:rPr>
          <w:rFonts w:ascii="游ゴシック" w:hAnsi="游ゴシック" w:eastAsia="游ゴシック"/>
          <w:b w:val="0"/>
          <w:i w:val="0"/>
          <w:sz w:val="21"/>
        </w:rPr>
        <w:t>・</w:t>
      </w:r>
      <w:r>
        <w:rPr>
          <w:rFonts w:ascii="游ゴシック" w:hAnsi="游ゴシック" w:eastAsia="游ゴシック"/>
          <w:b/>
          <w:i w:val="0"/>
          <w:sz w:val="21"/>
        </w:rPr>
        <w:t>協議体（F27）は令和2年（2020年）の出力で、小野町は「-」（値なし）でした。</w:t>
      </w:r>
      <w:r>
        <w:rPr>
          <w:rFonts w:ascii="游ゴシック" w:hAnsi="游ゴシック" w:eastAsia="游ゴシック"/>
          <w:b w:val="0"/>
          <w:i w:val="0"/>
          <w:sz w:val="21"/>
        </w:rPr>
        <w:t xml:space="preserve"> 前回の出力と同じです。令和3年以降の年を選んで出力し直していただく必要があります</w:t>
      </w:r>
    </w:p>
    <w:p>
      <w:pPr>
        <w:pStyle w:val="Heading1"/>
        <w:keepNext/>
        <w:spacing w:before="240" w:after="100"/>
      </w:pPr>
      <w:bookmarkStart w:id="104" w:name="_Toc_004"/>
      <w:r>
        <w:rPr>
          <w:rFonts w:ascii="游ゴシック" w:hAnsi="游ゴシック" w:eastAsia="游ゴシック"/>
          <w:b/>
          <w:i w:val="0"/>
          <w:color w:val="2E74B5"/>
          <w:sz w:val="30"/>
        </w:rPr>
        <w:t>4　追加でお願いしたいもの</w:t>
      </w:r>
      <w:bookmarkEnd w:id="104"/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【表4】追加でお願いしたいもの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1928"/>
        <w:gridCol w:w="4762"/>
        <w:gridCol w:w="3061"/>
      </w:tblGrid>
      <w:tr>
        <w:tc>
          <w:tcPr>
            <w:tcW w:type="dxa" w:w="192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指標ID</w:t>
            </w:r>
          </w:p>
        </w:tc>
        <w:tc>
          <w:tcPr>
            <w:tcW w:type="dxa" w:w="4762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内容</w:t>
            </w:r>
          </w:p>
        </w:tc>
        <w:tc>
          <w:tcPr>
            <w:tcW w:type="dxa" w:w="306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理由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K1-a・K1-b・K2-c</w:t>
            </w:r>
          </w:p>
        </w:tc>
        <w:tc>
          <w:tcPr>
            <w:tcW w:type="dxa" w:w="476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施設（介護老人福祉施設・地域密着型介護老人福祉施設）と認知症対応型共同生活介護の事業所数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未着。町内事業所数の合計に要る</w:t>
            </w:r>
          </w:p>
        </w:tc>
      </w:tr>
      <w:tr>
        <w:tc>
          <w:tcPr>
            <w:tcW w:type="dxa" w:w="1928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L25</w:t>
            </w:r>
          </w:p>
        </w:tc>
        <w:tc>
          <w:tcPr>
            <w:tcW w:type="dxa" w:w="4762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退院退所加算の算定回数</w:t>
            </w:r>
          </w:p>
        </w:tc>
        <w:tc>
          <w:tcPr>
            <w:tcW w:type="dxa" w:w="3061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未着。L26との対で入退院支援を見る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F27</w:t>
            </w:r>
          </w:p>
        </w:tc>
        <w:tc>
          <w:tcPr>
            <w:tcW w:type="dxa" w:w="476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協議体（令和3年以降の年）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2020年は小野町の値がない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240" w:after="100"/>
      </w:pPr>
      <w:bookmarkStart w:id="105" w:name="_Toc_005"/>
      <w:r>
        <w:rPr>
          <w:rFonts w:ascii="游ゴシック" w:hAnsi="游ゴシック" w:eastAsia="游ゴシック"/>
          <w:b/>
          <w:i w:val="0"/>
          <w:color w:val="2E74B5"/>
          <w:sz w:val="30"/>
        </w:rPr>
        <w:t>5　素案への反映</w:t>
      </w:r>
      <w:bookmarkEnd w:id="105"/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次の箇所は、今回の値で埋められます。</w:t>
      </w:r>
      <w:r>
        <w:rPr>
          <w:rFonts w:ascii="游ゴシック" w:hAnsi="游ゴシック" w:eastAsia="游ゴシック"/>
          <w:b w:val="0"/>
          <w:i w:val="0"/>
          <w:sz w:val="21"/>
        </w:rPr>
        <w:t xml:space="preserve"> 介護SCRの反映とあわせて第14版に入れる案です。</w:t>
      </w:r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【表5】素案への反映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2835"/>
        <w:gridCol w:w="6917"/>
      </w:tblGrid>
      <w:tr>
        <w:tc>
          <w:tcPr>
            <w:tcW w:type="dxa" w:w="2835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素案の箇所</w:t>
            </w:r>
          </w:p>
        </w:tc>
        <w:tc>
          <w:tcPr>
            <w:tcW w:type="dxa" w:w="6917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埋める値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第2章6（認知症高齢者数）</w:t>
            </w:r>
          </w:p>
        </w:tc>
        <w:tc>
          <w:tcPr>
            <w:tcW w:type="dxa" w:w="691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自立度Ⅱ以上の構成比（Ⅲa・Ⅲbを含む完全な値）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基本目標3②の成果指標</w:t>
            </w:r>
          </w:p>
        </w:tc>
        <w:tc>
          <w:tcPr>
            <w:tcW w:type="dxa" w:w="691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認定者に対する受給者の比率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基本目標2③の成果指標</w:t>
            </w:r>
          </w:p>
        </w:tc>
        <w:tc>
          <w:tcPr>
            <w:tcW w:type="dxa" w:w="691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認知症サポーター数（65歳以上人口10万対）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基本目標2⑥の成果指標</w:t>
            </w:r>
          </w:p>
        </w:tc>
        <w:tc>
          <w:tcPr>
            <w:tcW w:type="dxa" w:w="691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町内事業所数（施設分の着信後に合計）</w:t>
            </w:r>
          </w:p>
        </w:tc>
      </w:tr>
      <w:tr>
        <w:tc>
          <w:tcPr>
            <w:tcW w:type="dxa" w:w="2835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基本目標2⑦</w:t>
            </w:r>
          </w:p>
        </w:tc>
        <w:tc>
          <w:tcPr>
            <w:tcW w:type="dxa" w:w="6917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医療介護連携の偏差値（2025年）。入院時情報連携加算の記載は確認後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資料編12 三</w:t>
            </w:r>
          </w:p>
        </w:tc>
        <w:tc>
          <w:tcPr>
            <w:tcW w:type="dxa" w:w="691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在宅死亡者数（令和元年度、人口10万対）。年度を明記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11"/>
      <w:footerReference w:type="default" r:id="rId12"/>
      <w:pgSz w:w="11906" w:h="16838"/>
      <w:pgMar w:top="1134" w:right="1077" w:bottom="1134" w:left="1077" w:header="709" w:footer="709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游ゴシック" w:hAnsi="游ゴシック" w:eastAsia="游ゴシック"/>
        <w:b w:val="0"/>
        <w:i w:val="0"/>
        <w:sz w:val="20"/>
      </w:rPr>
      <w:t xml:space="preserve">- </w:t>
    </w:r>
    <w:r>
      <w:rPr>
        <w:rFonts w:ascii="游ゴシック" w:hAnsi="游ゴシック" w:eastAsia="游ゴシック"/>
        <w:b w:val="0"/>
        <w:i w:val="0"/>
        <w:sz w:val="20"/>
      </w:rPr>
      <w:fldChar w:fldCharType="begin"/>
    </w:r>
    <w:r>
      <w:rPr>
        <w:rFonts w:ascii="游ゴシック" w:hAnsi="游ゴシック" w:eastAsia="游ゴシック"/>
        <w:b w:val="0"/>
        <w:i w:val="0"/>
        <w:sz w:val="20"/>
      </w:rPr>
      <w:instrText xml:space="preserve"> PAGE </w:instrText>
    </w:r>
    <w:r>
      <w:rPr>
        <w:rFonts w:ascii="游ゴシック" w:hAnsi="游ゴシック" w:eastAsia="游ゴシック"/>
        <w:b w:val="0"/>
        <w:i w:val="0"/>
        <w:sz w:val="20"/>
      </w:rPr>
      <w:fldChar w:fldCharType="end"/>
    </w:r>
    <w:r>
      <w:rPr>
        <w:rFonts w:ascii="游ゴシック" w:hAnsi="游ゴシック" w:eastAsia="游ゴシック"/>
        <w:b w:val="0"/>
        <w:i w:val="0"/>
        <w:sz w:val="20"/>
      </w:rPr>
      <w:t xml:space="preserve"> -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游ゴシック" w:hAnsi="游ゴシック" w:eastAsia="游ゴシック"/>
        <w:b w:val="0"/>
        <w:i w:val="0"/>
        <w:sz w:val="18"/>
      </w:rPr>
    </w:r>
    <w:r>
      <w:rPr>
        <w:rFonts w:ascii="游ゴシック" w:hAnsi="游ゴシック" w:eastAsia="游ゴシック"/>
        <w:b w:val="0"/>
        <w:i w:val="0"/>
        <w:sz w:val="18"/>
      </w:rPr>
      <w:t>小野町　見える化出力資料の確認結果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游ゴシック" w:hAnsi="游ゴシック" w:eastAsia="游ゴシック"/>
        <w:b w:val="0"/>
        <w:i w:val="0"/>
        <w:sz w:val="18"/>
      </w:rPr>
      <w:t>小野町　見える化出力資料の確認結果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60" w:after="60"/>
    </w:pPr>
    <w:rPr>
      <w:rFonts w:ascii="游ゴシック" w:hAnsi="游ゴシック" w:eastAsia="游ゴシック"/>
      <w:sz w:val="21"/>
      <w:lang w:val="en-US" w:eastAsia="ja-JP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ind w:left="0" w:firstLine="0"/>
      <w:outlineLvl w:val="0"/>
    </w:pPr>
    <w:rPr>
      <w:rFonts w:asciiTheme="majorHAnsi" w:eastAsiaTheme="majorEastAsia" w:hAnsiTheme="majorHAnsi" w:cstheme="majorBidi" w:ascii="游ゴシック" w:hAnsi="游ゴシック" w:eastAsia="游ゴシック"/>
      <w:b/>
      <w:bCs/>
      <w:i w:val="0"/>
      <w:color w:val="2E74B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ind w:left="0" w:firstLine="0"/>
      <w:outlineLvl w:val="1"/>
    </w:pPr>
    <w:rPr>
      <w:rFonts w:asciiTheme="majorHAnsi" w:eastAsiaTheme="majorEastAsia" w:hAnsiTheme="majorHAnsi" w:cstheme="majorBidi" w:ascii="游ゴシック" w:hAnsi="游ゴシック" w:eastAsia="游ゴシック"/>
      <w:b/>
      <w:bCs/>
      <w:i w:val="0"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ind w:left="0" w:firstLine="0"/>
      <w:outlineLvl w:val="2"/>
    </w:pPr>
    <w:rPr>
      <w:rFonts w:asciiTheme="majorHAnsi" w:eastAsiaTheme="majorEastAsia" w:hAnsiTheme="majorHAnsi" w:cstheme="majorBidi" w:ascii="游ゴシック" w:hAnsi="游ゴシック" w:eastAsia="游ゴシック"/>
      <w:b/>
      <w:bCs/>
      <w:i w:val="0"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小野町　見える化出力資料の確認結果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ja-JP</dc:language>
</cp:coreProperties>
</file>