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　【要確認】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　【要確認】</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明朝" w:cs="游明朝" w:eastAsia="游明朝" w:hAnsi="游明朝"/>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出典：厚生労働省配布「第10期将来推計用推計人口」を基礎に作成　単位：人</w:t>
      </w:r>
    </w:p>
    <w:p>
      <w:pPr>
        <w:spacing w:after="120" w:line="300"/>
      </w:pPr>
      <w:r>
        <w:rPr>
          <w:rFonts w:ascii="游明朝" w:cs="游明朝" w:eastAsia="游明朝" w:hAnsi="游明朝"/>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配布データの推計値をそのまま用いると、令和8年の第1号被保険者数は954人となり、実績の1,012人を58人（5.7%）下回ります。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住民主体の通いの場の状況（令和6年度）</w:t>
      </w:r>
    </w:p>
    <w:p>
      <w:pPr>
        <w:spacing w:after="200"/>
        <w:jc w:val="center"/>
      </w:pPr>
      <w:r>
        <w:rPr>
          <w:rFonts w:ascii="游ゴシック" w:cs="游ゴシック" w:eastAsia="游ゴシック" w:hAnsi="游ゴシック"/>
          <w:color w:val="595959"/>
          <w:sz w:val="15"/>
          <w:szCs w:val="15"/>
        </w:rPr>
        <w:t xml:space="preserve">出典：厚生労働省「介護予防・日常生活支援総合事業（地域支援事業）の実施状況に関する調査」</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参加率は12.2%です。このうち週1回以上開催しているのは8か所・123人で、参加率は5.3%にとどまります。</w:t>
      </w:r>
    </w:p>
    <w:p>
      <w:pPr>
        <w:spacing w:after="120" w:line="300"/>
      </w:pPr>
      <w:r>
        <w:rPr>
          <w:rFonts w:ascii="游明朝" w:cs="游明朝" w:eastAsia="游明朝" w:hAnsi="游明朝"/>
          <w:sz w:val="21"/>
          <w:szCs w:val="21"/>
        </w:rPr>
        <w:t xml:space="preserve">第9期のアンケート調査における参加率11.2%（509人中57人）とほぼ同じ水準であり、地区による差が大きいことも確認されています。とりわけ大塩地区は参加率・参加意向がいずれも最も低い状況です。</w:t>
      </w:r>
    </w:p>
    <w:p>
      <w:pPr>
        <w:spacing w:after="120" w:line="300"/>
      </w:pPr>
      <w:r>
        <w:rPr>
          <w:rFonts w:ascii="游明朝" w:cs="游明朝" w:eastAsia="游明朝" w:hAnsi="游明朝"/>
          <w:sz w:val="21"/>
          <w:szCs w:val="21"/>
        </w:rPr>
        <w:t xml:space="preserve">介護予防の効果は開催の頻度に左右されます。週1回以上の開催が8か所にとどまることは、箇所数を増やすことと同時に、既存の通いの場の開催頻度を高めることが課題であることを示しています。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編集注記：地域包括ケア「見える化」システムの通いの場のデータは令和2年度で更新を終えているため、上記は令和6年度の介護予防・日常生活支援総合事業の実施状況に関する調査による数値です。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交付金 目標別得点と全国平均の対比（令和8年度）</w:t>
      </w:r>
    </w:p>
    <w:p>
      <w:pPr>
        <w:spacing w:after="200"/>
        <w:jc w:val="center"/>
      </w:pPr>
      <w:r>
        <w:rPr>
          <w:rFonts w:ascii="游ゴシック" w:cs="游ゴシック" w:eastAsia="游ゴシック" w:hAnsi="游ゴシック"/>
          <w:color w:val="595959"/>
          <w:sz w:val="15"/>
          <w:szCs w:val="15"/>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交付金 合計得点の推移（村・福島県平均・全国平均）</w:t>
      </w:r>
    </w:p>
    <w:p>
      <w:pPr>
        <w:spacing w:after="200"/>
        <w:jc w:val="center"/>
      </w:pPr>
      <w:r>
        <w:rPr>
          <w:rFonts w:ascii="游ゴシック" w:cs="游ゴシック" w:eastAsia="游ゴシック" w:hAnsi="游ゴシック"/>
          <w:color w:val="595959"/>
          <w:sz w:val="15"/>
          <w:szCs w:val="15"/>
        </w:rPr>
        <w:t xml:space="preserve">出典：厚生労働省「評価指標に係る該当状況調査票集計表」（令和6〜8年度）</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1"/>
          <w:szCs w:val="21"/>
        </w:rPr>
        <w:t xml:space="preserve">残された課題は2点です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1123"/>
        <w:gridCol w:w="4399"/>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439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 目標Ⅱ（認知症総合支援）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439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全国平均を下回る唯一の目標。3か年で唯一、得点が低下した局面がある</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目標Ⅳ（成果指標群）</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439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令和6年度65点、令和7年度70点から令和8年度は45点へ25点低下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目標Ⅳは、村の申告ではなく国が保有する統計から自動的に算定される領域です。得点の低下は、要介護度の維持・改善の実績そのものが後退したことを意味します。両交付金の合計で50点の減となっており、令和8年度の伸びを打ち消してい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成果指標（アウトカム）の状況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中重度の方については状態の改善が見られる一方、軽度の方については重度化が進んでいます。2-3で見た要支援1の急増と、2-6で見た介護予防の受け皿の不足が、この結果に現れているものと考えられます。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約1,009人（推計）</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第9期計画は将来推計人口をそのまま用いたため、実績を6.6%下回る見込みとなりました。第1号被保険者数は保険料算定の基礎となるため、この乖離は保険料の水準にも影響しています。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おり、本計画ではこの点を第6章において改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においても、軽度の方の重度化が進んでいることが確認されています。</w:t>
      </w:r>
    </w:p>
    <w:p>
      <w:pPr>
        <w:spacing w:after="100" w:line="300"/>
      </w:pPr>
      <w:r>
        <w:rPr>
          <w:rFonts w:ascii="游ゴシック" w:cs="游ゴシック" w:eastAsia="游ゴシック" w:hAnsi="游ゴシック"/>
          <w:b/>
          <w:bCs/>
          <w:color w:val="2E75B6"/>
          <w:sz w:val="21"/>
          <w:szCs w:val="21"/>
        </w:rPr>
        <w:t xml:space="preserve">課題3　計画を評価し改善する仕組みが十分ではありません</w:t>
      </w:r>
    </w:p>
    <w:p>
      <w:pPr>
        <w:spacing w:after="120" w:line="300"/>
      </w:pPr>
      <w:r>
        <w:rPr>
          <w:rFonts w:ascii="游明朝" w:cs="游明朝" w:eastAsia="游明朝" w:hAnsi="游明朝"/>
          <w:sz w:val="21"/>
          <w:szCs w:val="21"/>
        </w:rPr>
        <w:t xml:space="preserve">計画値と実績値の乖離の分析、目標未達成時の改善、評価結果の共有のいずれもが、国の評価指標において0点となっています。第9期の推計の乖離も、検証の仕組みがあれば計画期間の途中で把握できたもので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総合事業における多様なサービスの創設を検討するとともに、通いの場を再構築し、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通いの場の再構築と参加率の向上／1-2 総合事業における多様なサービスの創設／1-3 一般介護予防事業の拡充／1-4 介護予防におけるデータ活用／1-5 地域リハビリテーション活動支援事業の推進／1-6 高齢者の保健事業と介護予防の一体的実施</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高齢者の移動に関する支援／2-2 社会参加の促進とインセンティブの検討／2-3 住まいの安定的な確保と生活困難者支援／2-4 日常生活の安全確保／2-5 地域支え合い活動の促進／2-6 冬期の生活支援（除雪）【新規】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居宅サービスの確保／3-2 地域密着型サービスの維持と定員の検討／3-3 村外施設サービスの利用支援／3-4 短期入所サービスの確保／3-5 介護給付の適正化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地域包括支援センターの機能強化／4-2 地域ケア会議の充実／4-3 在宅医療・介護連携の推進／4-4 認知症施策の推進／4-5 生活支援体制の整備／4-6 介護人材の確保と生産性向上／4-7 成年後見制度の利用促進</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計画の推進と進捗管理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成果目標・活動指標の設定と毎年度の進捗評価／5-2 計画値と実績値の乖離分析／5-3 評価結果の関係者間共有／5-4 保険者機能強化推進交付金の評価指標との連動</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要支援1の認定者が6年間で3倍になる一方、介護予防の受け皿は整っていません。国の評価指標において0点であった21項目のうち8項目がこの分野に集中しています。本計画の最重点分野として取り組みます。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通いの場の再構築と参加率の向上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リハビリ教室、シニア元気アップ教室、住民主体の通いの場であるいきいき百歳体操などを実施しています。令和6年度の通いの場は23か所・参加者281人で、参加率は12.2%です。このうち週1回以上開催しているのは8か所・123人で、参加率は5.3%にとどまります。第9期の調査における参加率11.2%とほぼ同じ水準であり、地区による差が大きく、大塩地区が最も低い状況です。介護予防の効果は開催の頻度に左右されるため、箇所数を増やすことと同時に、既存の通いの場の開催頻度を高めること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参加していない方へのアウトリーチを実施します</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介護予防の取組に係る課題把握について、国の評価指標では0点となっています。地域包括ケア「見える化」システムや国保データベース（KDB）システムを活用した分析が行われていません。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データを活用した課題把握の実施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地域リハビリテーション活動支援事業の推進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地域リハビリテーションの推進に向けた具体的な取組について、国の評価指標では0点となっています。関係団体との連携によるリハビリテーション専門職の関与の仕組みが構築されていません。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介護予防と保健事業の一体的実施については、国の評価指標において20点を得ており、第9期の成果の一つです。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では令和3年度5点から令和4年度15点へと改善し、公共交通担当部局との連携体制の構築、取組の実施、取組の見直しで得点しています。一方、移動に関する課題の把握は0点のまま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高齢者の社会参加を促す個人へのインセンティブ付与について、国の評価指標では0点であり、ポイント事業も実施していません。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では0点です。また管内の住宅型有料老人ホーム・サービス付き高齢者向け住宅の情報を計画策定に活用することについても0点とな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の適正化は、介護保険法第117条第3項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明朝" w:cs="游明朝" w:eastAsia="游明朝" w:hAnsi="游明朝"/>
          <w:sz w:val="21"/>
          <w:szCs w:val="21"/>
        </w:rPr>
        <w:t xml:space="preserve">縦覧点検4帳票の全件点検を継続します</w:t>
      </w:r>
    </w:p>
    <w:p>
      <w:pPr>
        <w:pStyle w:val="ListParagraph"/>
        <w:numPr>
          <w:ilvl w:val="0"/>
          <w:numId w:val="2"/>
        </w:numPr>
        <w:spacing w:after="60" w:line="300"/>
      </w:pPr>
      <w:r>
        <w:rPr>
          <w:rFonts w:ascii="游明朝" w:cs="游明朝" w:eastAsia="游明朝" w:hAnsi="游明朝"/>
          <w:sz w:val="21"/>
          <w:szCs w:val="21"/>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明朝" w:cs="游明朝" w:eastAsia="游明朝" w:hAnsi="游明朝"/>
          <w:sz w:val="21"/>
          <w:szCs w:val="21"/>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明朝" w:cs="游明朝" w:eastAsia="游明朝" w:hAnsi="游明朝"/>
          <w:sz w:val="21"/>
          <w:szCs w:val="21"/>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在宅医療・介護連携と認知症施策は、国の評価指標において高い評価を得ており、第9期の成果です。これらを維持しつつ、活動量の面で課題のある分野を強化します。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初期集中支援チームの活動で40点、早期診断・早期対応の体制構築で20点を得ています。一方、認知症サポーターは約237人（人口比9.8%）が養成されているものの、ステップアップ講座の修了者は0人であり、サポーターが活動に結びついていません。また第9期の調査では、認知症の相談窓口を知っている方は31.2%と前回の36.7%から低下しており、とくに裏磐梯地区は20.6%と他地区より低い状況です。認知症高齢者の日常生活自立度Ⅱ以上の方は3年間で132人から161人へと22%増加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w:t>
      </w:r>
    </w:p>
    <w:p>
      <w:pPr>
        <w:pStyle w:val="ListParagraph"/>
        <w:numPr>
          <w:ilvl w:val="0"/>
          <w:numId w:val="2"/>
        </w:numPr>
        <w:spacing w:after="60" w:line="300"/>
      </w:pPr>
      <w:r>
        <w:rPr>
          <w:rFonts w:ascii="游明朝" w:cs="游明朝" w:eastAsia="游明朝" w:hAnsi="游明朝"/>
          <w:sz w:val="21"/>
          <w:szCs w:val="21"/>
        </w:rPr>
        <w:t xml:space="preserve">認知症サポーターを活用した地域支援体制を構築し、社会参加を支援します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チームオレンジ・見守り体制の整備を検討します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生活支援コーディネーターが配置され、地域ケア会議への参加により20点を得ています。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成年後見制度の利用促進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明朝" w:cs="游明朝" w:eastAsia="游明朝" w:hAnsi="游明朝"/>
          <w:sz w:val="21"/>
          <w:szCs w:val="21"/>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明朝" w:cs="游明朝" w:eastAsia="游明朝" w:hAnsi="游明朝"/>
          <w:sz w:val="21"/>
          <w:szCs w:val="21"/>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明朝" w:cs="游明朝" w:eastAsia="游明朝" w:hAnsi="游明朝"/>
          <w:sz w:val="21"/>
          <w:szCs w:val="21"/>
        </w:rPr>
        <w:t xml:space="preserve">法人後見の担い手の確保について、社会福祉協議会等と協議します</w:t>
      </w:r>
    </w:p>
    <w:p>
      <w:pPr>
        <w:pStyle w:val="ListParagraph"/>
        <w:numPr>
          <w:ilvl w:val="0"/>
          <w:numId w:val="2"/>
        </w:numPr>
        <w:spacing w:after="60" w:line="300"/>
      </w:pPr>
      <w:r>
        <w:rPr>
          <w:rFonts w:ascii="游明朝" w:cs="游明朝" w:eastAsia="游明朝" w:hAnsi="游明朝"/>
          <w:sz w:val="21"/>
          <w:szCs w:val="21"/>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明朝" w:cs="游明朝" w:eastAsia="游明朝" w:hAnsi="游明朝"/>
          <w:sz w:val="21"/>
          <w:szCs w:val="21"/>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将来人口</w:t>
      </w:r>
    </w:p>
    <w:p>
      <w:pPr>
        <w:spacing w:after="120" w:line="300"/>
      </w:pPr>
      <w:r>
        <w:rPr>
          <w:rFonts w:ascii="游明朝" w:cs="游明朝" w:eastAsia="游明朝" w:hAnsi="游明朝"/>
          <w:sz w:val="21"/>
          <w:szCs w:val="21"/>
        </w:rPr>
        <w:t xml:space="preserve">国立社会保障・人口問題研究所「日本の地域別将来推計人口」を用います。5年刻みの推計値であるため、各年度の値は線形補間により算出します。</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将来推計人口は国勢調査を基礎とするのに対し、介護保険の第1号被保険者数は住民基本台帳を基礎とします。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第1号被保険者数を実績より6.6%少なく見込む結果となりました。本計画では、直近実績と将来推計人口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年齢階級別の認定率を用いて算定します。第9期計画では合計での検証のみであったため、要支援1が36%過少、要介護4が39%過大という乖離が生じても把握できませんでした。本計画では要介護度別に算定し、毎年度検証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編集注記：国の基本指針および介護保険事業計画作成支援ツール（推計ワークシート）の提供を受けたうえで、正式な推計を行います。以下5-2から5-7は、それらに基づき算定します。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2059"/>
        <w:gridCol w:w="2434"/>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参考として、年齢階級別認定率を令和7年度末の水準で固定した場合の試算を示します。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認定率を据え置いた場合でも、後期高齢者の割合が高まることにより、認定者数は214人から230人へと16人（7.5%）増加します。第1号被保険者数は1,015人から990人へと減少するにもかかわらず、認定者数は増加する見通し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は参考試算です。本村の認定率は令和2年3月末から令和8年3月末までの6年間で年平均0.62ポイント上昇しており、この傾向が続く場合は認定者数はさらに増加します。正式な推計は要介護度別に、国の推計ワークシートを用い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w:t>
      </w:r>
    </w:p>
    <w:p>
      <w:pPr>
        <w:spacing w:after="120" w:line="300"/>
      </w:pPr>
      <w:r>
        <w:rPr>
          <w:rFonts w:ascii="游明朝" w:cs="游明朝" w:eastAsia="游明朝" w:hAnsi="游明朝"/>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明朝" w:cs="游明朝" w:eastAsia="游明朝" w:hAnsi="游明朝"/>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1"/>
          <w:szCs w:val="21"/>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編集注記：実績のない地域密着型サービスについても見込量を0としていますが、施策1-2で総合事業の類型の創設を検討することとしています。創設する場合は見込量に計上します。</w:t>
      </w:r>
    </w:p>
    <w:p>
      <w:pPr>
        <w:spacing w:after="100" w:line="300"/>
      </w:pPr>
      <w:r>
        <w:rPr>
          <w:rFonts w:ascii="游ゴシック" w:cs="游ゴシック" w:eastAsia="游ゴシック" w:hAnsi="游ゴシック"/>
          <w:b/>
          <w:bCs/>
          <w:color w:val="2E75B6"/>
          <w:sz w:val="21"/>
          <w:szCs w:val="21"/>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00" w:line="300"/>
      </w:pPr>
      <w:r>
        <w:rPr>
          <w:rFonts w:ascii="游ゴシック" w:cs="游ゴシック" w:eastAsia="游ゴシック" w:hAnsi="游ゴシック"/>
          <w:b/>
          <w:bCs/>
          <w:color w:val="2E75B6"/>
          <w:sz w:val="21"/>
          <w:szCs w:val="21"/>
        </w:rPr>
        <w:t xml:space="preserve">(4) 介護給付と予防給付の区分</w:t>
      </w:r>
    </w:p>
    <w:p>
      <w:pPr>
        <w:spacing w:after="120" w:line="300"/>
      </w:pPr>
      <w:r>
        <w:rPr>
          <w:rFonts w:ascii="游明朝" w:cs="游明朝" w:eastAsia="游明朝" w:hAnsi="游明朝"/>
          <w:sz w:val="21"/>
          <w:szCs w:val="21"/>
        </w:rPr>
        <w:t xml:space="preserve">(1)〜(3)の数値は介護給付と予防給付を合算したものです。計画の様式では両者を分けて記載する必要があるため、村の給付実績の提供を受けて分離します。要支援1・2の在宅サービス受給者は令和7年度で48.3人／月であり、在宅サービス受給者全体の43%を占めます。本村は要支援1の認定者が6年間で3倍に増えているため、予防給付の見込量の設定がとくに重要になります。</w:t>
      </w:r>
    </w:p>
    <w:p>
      <w:pPr>
        <w:spacing w:after="100" w:line="300"/>
      </w:pPr>
      <w:r>
        <w:rPr>
          <w:rFonts w:ascii="游ゴシック" w:cs="游ゴシック" w:eastAsia="游ゴシック" w:hAnsi="游ゴシック"/>
          <w:b/>
          <w:bCs/>
          <w:color w:val="2E75B6"/>
          <w:sz w:val="21"/>
          <w:szCs w:val="21"/>
        </w:rPr>
        <w:t xml:space="preserve">(5)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居宅介護支援と介護予防支援は、「見える化」システムでは合算した給付費のみが把握できます。人数は村の給付実績の提供を受けて記入します。在宅サービス受給者数（112.6人／月）に近い水準になる見込みです。</w:t>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地域支援事業費の見込み</w:t>
      </w:r>
    </w:p>
    <w:p>
      <w:pPr>
        <w:spacing w:after="120" w:line="300"/>
      </w:pPr>
      <w:r>
        <w:rPr>
          <w:rFonts w:ascii="游明朝" w:cs="游明朝" w:eastAsia="游明朝" w:hAnsi="游明朝"/>
          <w:sz w:val="21"/>
          <w:szCs w:val="21"/>
        </w:rPr>
        <w:t xml:space="preserve">地域支援事業費を、次の区分により見込みます。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あり、介護給付費と予防給付費への分離は村の給付実績の提供後に行います。</w:t>
      </w:r>
    </w:p>
    <w:p>
      <w:pPr>
        <w:spacing w:after="100" w:line="300"/>
      </w:pPr>
      <w:r>
        <w:rPr>
          <w:rFonts w:ascii="游ゴシック" w:cs="游ゴシック" w:eastAsia="游ゴシック" w:hAnsi="游ゴシック"/>
          <w:b/>
          <w:bCs/>
          <w:color w:val="2E75B6"/>
          <w:sz w:val="21"/>
          <w:szCs w:val="21"/>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1"/>
          <w:szCs w:val="21"/>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p>
      <w:pPr>
        <w:spacing w:after="120" w:line="300"/>
      </w:pPr>
      <w:r>
        <w:rPr>
          <w:rFonts w:ascii="游明朝" w:cs="游明朝" w:eastAsia="游明朝" w:hAnsi="游明朝"/>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出典：令和8年度合計所得金額分布調査</w:t>
      </w:r>
    </w:p>
    <w:p>
      <w:pPr>
        <w:spacing w:after="120" w:line="300"/>
      </w:pPr>
      <w:r>
        <w:rPr>
          <w:rFonts w:ascii="游明朝" w:cs="游明朝" w:eastAsia="游明朝" w:hAnsi="游明朝"/>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明朝" w:cs="游明朝" w:eastAsia="游明朝" w:hAnsi="游明朝"/>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介護給付適正化計画</w:t>
      </w:r>
    </w:p>
    <w:p>
      <w:pPr>
        <w:spacing w:after="120" w:line="300"/>
      </w:pPr>
      <w:r>
        <w:rPr>
          <w:rFonts w:ascii="游明朝" w:cs="游明朝" w:eastAsia="游明朝" w:hAnsi="游明朝"/>
          <w:sz w:val="21"/>
          <w:szCs w:val="21"/>
        </w:rPr>
        <w:t xml:space="preserve">介護保険法第117条第3項第5号・第6号は、市町村介護保険事業計画において「介護給付等に要する費用の適正化に関し、市町村が取り組むべき施策に関する事項」および「その目標に関する事項」を定めるよう努めるものと規定しています。本節は、この規定に基づく介護給付適正化計画（第6期・令和9年度〜令和11年度）です。</w:t>
      </w:r>
    </w:p>
    <w:p>
      <w:pPr>
        <w:spacing w:after="120" w:line="300"/>
      </w:pPr>
      <w:r>
        <w:rPr>
          <w:rFonts w:ascii="游明朝" w:cs="游明朝" w:eastAsia="游明朝" w:hAnsi="游明朝"/>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1"/>
          <w:szCs w:val="21"/>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995"/>
        <w:gridCol w:w="2059"/>
        <w:gridCol w:w="206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全件点検の継続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年間の点検件数を設定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4帳票の全件点検を継続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明朝" w:cs="游明朝" w:eastAsia="游明朝" w:hAnsi="游明朝"/>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1"/>
          <w:szCs w:val="21"/>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仕組みの検討</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村内に該当施設がないため対象外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保険者機能強化推進交付金等の活用</w:t>
      </w:r>
    </w:p>
    <w:p>
      <w:pPr>
        <w:spacing w:after="120" w:line="300"/>
      </w:pPr>
      <w:r>
        <w:rPr>
          <w:rFonts w:ascii="游明朝" w:cs="游明朝" w:eastAsia="游明朝" w:hAnsi="游明朝"/>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1"/>
          <w:szCs w:val="21"/>
        </w:rPr>
        <w:t xml:space="preserve">(1) 交付見込額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(2) 評価結果の状況</w:t>
      </w:r>
    </w:p>
    <w:p>
      <w:pPr>
        <w:spacing w:after="120" w:line="300"/>
      </w:pPr>
      <w:r>
        <w:rPr>
          <w:rFonts w:ascii="游明朝" w:cs="游明朝" w:eastAsia="游明朝" w:hAnsi="游明朝"/>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明朝" w:cs="游明朝" w:eastAsia="游明朝" w:hAnsi="游明朝"/>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5-10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明朝" w:cs="游明朝" w:eastAsia="游明朝" w:hAnsi="游明朝"/>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編集注記：軽減後の保険料額は、保険料基準額の算定後に記載します。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5-11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検証において、評価と改善の仕組みが十分でなかったことが確認されたため、本計画では次のとおり具体的な方法を定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118"/>
        <w:gridCol w:w="2059"/>
        <w:gridCol w:w="1873"/>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現状値（令和5年度）</w:t>
            </w:r>
          </w:p>
        </w:tc>
        <w:tc>
          <w:tcPr>
            <w:tcW w:type="dxa" w:w="187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編集注記：目標値は、福島県平均・全国平均の提供を受けたうえで設定します。水準の妥当性を示すための比較対象が必要なためです。また第4章の各施策に掲げた指標もあわせて管理します。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資1　計画の策定経過</w:t>
      </w:r>
    </w:p>
    <w:p>
      <w:pPr>
        <w:spacing w:after="120" w:line="300"/>
      </w:pPr>
      <w:r>
        <w:rPr>
          <w:rFonts w:ascii="游明朝" w:cs="游明朝" w:eastAsia="游明朝" w:hAnsi="游明朝"/>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1"/>
          <w:szCs w:val="21"/>
        </w:rPr>
        <w:t xml:space="preserve">設置の根拠</w:t>
      </w:r>
    </w:p>
    <w:p>
      <w:pPr>
        <w:spacing w:after="120" w:line="300"/>
      </w:pPr>
      <w:r>
        <w:rPr>
          <w:rFonts w:ascii="游明朝" w:cs="游明朝" w:eastAsia="游明朝" w:hAnsi="游明朝"/>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1"/>
          <w:szCs w:val="21"/>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1"/>
          <w:szCs w:val="21"/>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資3　アンケート調査の概要</w:t>
      </w:r>
    </w:p>
    <w:p>
      <w:pPr>
        <w:spacing w:after="120" w:line="300"/>
      </w:pPr>
      <w:r>
        <w:rPr>
          <w:rFonts w:ascii="游明朝" w:cs="游明朝" w:eastAsia="游明朝" w:hAnsi="游明朝"/>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資5　用語の解説</w:t>
      </w:r>
    </w:p>
    <w:p>
      <w:pPr>
        <w:spacing w:after="120" w:line="300"/>
      </w:pPr>
      <w:r>
        <w:rPr>
          <w:rFonts w:ascii="游明朝" w:cs="游明朝" w:eastAsia="游明朝" w:hAnsi="游明朝"/>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1"/>
          <w:szCs w:val="21"/>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必要なサービスを必要な量だけ適切に提供することにより、給付費の増大を抑える取組。国は要介護認定の適正化、ケアプランの点検、縦覧点検・医療情報との突合を「主要3事業」としています。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編集注記：計画本文に用語が追加された場合は、本表にも追加します。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ad8f680faac79d28b29185476fc022851e507d95.png"/><Relationship Id="rId24" Type="http://schemas.openxmlformats.org/officeDocument/2006/relationships/image" Target="media/ad1ce5e2009e1c21d16182b395c0c1077f365d4c.png"/><Relationship Id="rId25" Type="http://schemas.openxmlformats.org/officeDocument/2006/relationships/image" Target="media/c2ea5ed8f543721031ca0ed4f864e6cb46859e88.png"/><Relationship Id="rId26" Type="http://schemas.openxmlformats.org/officeDocument/2006/relationships/image" Target="media/8c679676851485b3ad3624d7f340f2549c062cfc.png"/><Relationship Id="rId27" Type="http://schemas.openxmlformats.org/officeDocument/2006/relationships/image" Target="media/8ea9866f637acf102d5973ef341b3332309006b7.png"/><Relationship Id="rId28" Type="http://schemas.openxmlformats.org/officeDocument/2006/relationships/image" Target="media/7ec526198e3bf27f3c5b3281ec6a4ebc8928e2f3.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2026-09-08T01:23:02.165Z</dcterms:created>
  <dcterms:modified xsi:type="dcterms:W3CDTF">2026-09-08T01:23:02.165Z</dcterms:modified>
</cp:coreProperties>
</file>

<file path=docProps/custom.xml><?xml version="1.0" encoding="utf-8"?>
<Properties xmlns="http://schemas.openxmlformats.org/officeDocument/2006/custom-properties" xmlns:vt="http://schemas.openxmlformats.org/officeDocument/2006/docPropsVTypes"/>
</file>