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条件の近い団体との比較</w:t>
      </w:r>
    </w:p>
    <w:p>
      <w:pPr>
        <w:spacing w:after="120" w:line="300" w:lineRule="exact"/>
      </w:pPr>
      <w:r>
        <w:rPr>
          <w:rFonts w:ascii="游ゴシック" w:cs="游ゴシック" w:eastAsia="游ゴシック" w:hAnsi="游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1685"/>
        <w:gridCol w:w="2433"/>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本村447点との差</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437.4点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＋9.6点</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407.6点</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＋39.4点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406.9点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と比べると8.1点下回りますが、過疎地域に該当する団体の平均は9.6点、同規模の団体の平均は39.4点、同規模かつ過疎地域の団体の平均は40.1点上回ります。本村の取組の水準は、条件の近い団体の中では高い位置にあります。ただし未取得の項目があることは変わらず、6-3の取得目標はそのまま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527.8点</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り、個別の団体名と得点は掲げていない。</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総合事業における多様なサービスの実施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県への確認。第9期における取扱い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2026-10-21T08:34:20.529Z</dcterms:created>
  <dcterms:modified xsi:type="dcterms:W3CDTF">2026-10-21T08:34:20.529Z</dcterms:modified>
</cp:coreProperties>
</file>

<file path=docProps/custom.xml><?xml version="1.0" encoding="utf-8"?>
<Properties xmlns="http://schemas.openxmlformats.org/officeDocument/2006/custom-properties" xmlns:vt="http://schemas.openxmlformats.org/officeDocument/2006/docPropsVTypes"/>
</file>