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（第3版　仕様書との適合性確認及びKPI個別評価を反映）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その結果、修正指示は51件（うち第1回委員会前に対応すべきもの15件）となり、そのうち発注者へのご確認が必要なものが35件ございます。</w:t>
      </w:r>
    </w:p>
    <w:p>
      <w:pPr>
        <w:spacing w:after="200"/>
      </w:pPr>
      <w:r>
        <w:rPr>
          <w:rFonts w:ascii="游ゴシック" w:hAnsi="游ゴシック" w:eastAsia="游ゴシック"/>
          <w:b w:val="0"/>
          <w:sz w:val="21"/>
        </w:rPr>
        <w:t>本書では、第1回委員会でご決定いただきたい事項6件、事務局にてご確認いただきたい事項19件、ご提供をお願いする資料14件に整理しております。</w:t>
      </w:r>
    </w:p>
    <w:p>
      <w:pPr>
        <w:spacing w:after="200"/>
      </w:pPr>
      <w:r>
        <w:rPr>
          <w:rFonts w:ascii="游ゴシック" w:hAnsi="游ゴシック" w:eastAsia="游ゴシック"/>
          <w:b w:val="0"/>
          <w:sz w:val="21"/>
        </w:rPr>
        <w:t>なお、業務仕様書４（４）が明示的に求めている「類似保険者との比較分析」及び「日常生活圏域等の地域特性を踏まえた分析」につきましては、必要なデータが受領資料に含まれていないため未着手となっております。データのご提供をお願いいたします。</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第1回委員会でご決定いただきたい事項（6件）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r>
        <w:br w:type="page"/>
      </w:r>
    </w:p>
    <w:p>
      <w:pPr>
        <w:spacing w:after="120" w:before="200"/>
      </w:pPr>
      <w:r>
        <w:rPr>
          <w:rFonts w:ascii="游ゴシック" w:hAnsi="游ゴシック" w:eastAsia="游ゴシック"/>
          <w:b/>
          <w:sz w:val="24"/>
        </w:rPr>
        <w:t>２　事務局にてご確認いただきたい事項（19件）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介護人材実態調査の設問　【新規】</w:t>
            </w:r>
          </w:p>
        </w:tc>
        <w:tc>
          <w:tcPr>
            <w:tcW w:type="dxa" w:w="5216"/>
          </w:tcPr>
          <w:p>
            <w:r/>
            <w:r>
              <w:rPr>
                <w:rFonts w:ascii="游ゴシック" w:hAnsi="游ゴシック" w:eastAsia="游ゴシック"/>
                <w:sz w:val="18"/>
              </w:rPr>
              <w:t>H13（職種別欠員率）は「必要常勤換算数」、H14（採用者1年定着率）は「採用後12か月時点の在職」を必要としますが、第9期の同調査にこれらの設問は確認できませんでした。第10期の調査票に該当設問があるかご確認ください。ない場合は、H13は求人継続期間又は採用者数と退職者数の差分、H14は年間離職率での代替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ご提供をお願いする資料（14件）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地域包括ケア「見える化」システムの類似保険者比較の出力</w:t>
            </w:r>
          </w:p>
        </w:tc>
        <w:tc>
          <w:tcPr>
            <w:tcW w:type="dxa" w:w="3118"/>
          </w:tcPr>
          <w:p>
            <w:r/>
            <w:r>
              <w:rPr>
                <w:rFonts w:ascii="游ゴシック" w:hAnsi="游ゴシック" w:eastAsia="游ゴシック"/>
                <w:sz w:val="18"/>
              </w:rPr>
              <w:t>仕様書４（４）が求める類似保険者との比較分析（未着手）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第9期北海道高齢者保健福祉計画・介護保険事業支援計画（本編）</w:t>
            </w:r>
          </w:p>
        </w:tc>
        <w:tc>
          <w:tcPr>
            <w:tcW w:type="dxa" w:w="3118"/>
          </w:tcPr>
          <w:p>
            <w:r/>
            <w:r>
              <w:rPr>
                <w:rFonts w:ascii="游ゴシック" w:hAnsi="游ゴシック" w:eastAsia="游ゴシック"/>
                <w:sz w:val="18"/>
              </w:rPr>
              <w:t>北海道の施策の柱・数値目標との整合確認（第1章第8節）</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(6)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なお、本書に記載した数値の根拠は「第10期計画_妥当性検証報告書」（全17シート）及び「第10期計画素案 第9稿→第10稿 修正指示書」（全51件）に整理しております。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