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案（公表用）</w:t>
      </w:r>
    </w:p>
    <w:p>
      <w:pPr>
        <w:spacing w:after="120" w:line="300" w:lineRule="exact"/>
        <w:jc w:val="center"/>
      </w:pPr>
      <w:r>
        <w:rPr>
          <w:rFonts w:ascii="游ゴシック" w:cs="游ゴシック" w:eastAsia="游ゴシック" w:hAnsi="游ゴシック"/>
          <w:sz w:val="24"/>
          <w:szCs w:val="24"/>
        </w:rPr>
        <w:t xml:space="preserve">令和8年10月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計画の位置づけ</w:t>
      </w:r>
    </w:p>
    <w:p>
      <w:pPr>
        <w:keepNext/>
        <w:keepLines/>
        <w:spacing w:after="100" w:line="300" w:lineRule="exact"/>
      </w:pPr>
      <w:r>
        <w:rPr>
          <w:rFonts w:ascii="游ゴシック" w:cs="游ゴシック" w:eastAsia="游ゴシック" w:hAnsi="游ゴシック"/>
          <w:b/>
          <w:bCs/>
          <w:color w:val="2E75B6"/>
          <w:sz w:val="22"/>
          <w:szCs w:val="22"/>
        </w:rPr>
        <w:t xml:space="preserve">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spacing w:after="120" w:line="300" w:lineRule="exact"/>
      </w:pPr>
      <w:r>
        <w:rPr>
          <w:rFonts w:ascii="游ゴシック" w:cs="游ゴシック" w:eastAsia="游ゴシック" w:hAnsi="游ゴシック"/>
          <w:sz w:val="21"/>
          <w:szCs w:val="21"/>
        </w:rPr>
        <w:t xml:space="preserve">■ 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計画の対象</w:t>
      </w:r>
    </w:p>
    <w:p>
      <w:pPr>
        <w:spacing w:after="120" w:line="300" w:lineRule="exact"/>
      </w:pPr>
      <w:r>
        <w:rPr>
          <w:rFonts w:ascii="游ゴシック" w:cs="游ゴシック" w:eastAsia="游ゴシック" w:hAnsi="游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日常生活圏域</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計画の策定体制</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高齢者を取り巻く現状</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要支援・要介護認定の状況</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游ゴシック" w:cs="游ゴシック" w:eastAsia="游ゴシック" w:hAnsi="游ゴシック"/>
          <w:sz w:val="21"/>
          <w:szCs w:val="21"/>
        </w:rPr>
        <w:t xml:space="preserve">■ 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游ゴシック" w:cs="游ゴシック" w:eastAsia="游ゴシック" w:hAnsi="游ゴシック"/>
          <w:sz w:val="21"/>
          <w:szCs w:val="21"/>
        </w:rPr>
        <w:t xml:space="preserve">■ 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20" w:line="300" w:lineRule="exact"/>
      </w:pPr>
      <w:r>
        <w:rPr>
          <w:rFonts w:ascii="游ゴシック" w:cs="游ゴシック" w:eastAsia="游ゴシック" w:hAnsi="游ゴシック"/>
          <w:sz w:val="21"/>
          <w:szCs w:val="21"/>
        </w:rPr>
        <w:t xml:space="preserve">■ 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spacing w:after="120" w:line="300" w:lineRule="exact"/>
      </w:pPr>
      <w:r>
        <w:rPr>
          <w:rFonts w:ascii="游ゴシック" w:cs="游ゴシック" w:eastAsia="游ゴシック" w:hAnsi="游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游ゴシック" w:cs="游ゴシック" w:eastAsia="游ゴシック" w:hAnsi="游ゴシック"/>
          <w:sz w:val="21"/>
          <w:szCs w:val="21"/>
        </w:rPr>
        <w:t xml:space="preserve">■ 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介護サービスの利用状況</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游ゴシック" w:cs="游ゴシック" w:eastAsia="游ゴシック" w:hAnsi="游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游ゴシック" w:cs="游ゴシック" w:eastAsia="游ゴシック" w:hAnsi="游ゴシック"/>
          <w:sz w:val="21"/>
          <w:szCs w:val="21"/>
        </w:rPr>
        <w:t xml:space="preserve">■ 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高齢者福祉の取組み状況</w:t>
      </w:r>
    </w:p>
    <w:p>
      <w:pPr>
        <w:spacing w:after="120" w:line="300" w:lineRule="exact"/>
      </w:pPr>
      <w:r>
        <w:rPr>
          <w:rFonts w:ascii="游ゴシック" w:cs="游ゴシック" w:eastAsia="游ゴシック" w:hAnsi="游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サービス供給体制の状況</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游ゴシック" w:cs="游ゴシック" w:eastAsia="游ゴシック" w:hAnsi="游ゴシック"/>
          <w:sz w:val="21"/>
          <w:szCs w:val="21"/>
        </w:rPr>
        <w:t xml:space="preserve">■ 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游ゴシック" w:cs="游ゴシック" w:eastAsia="游ゴシック" w:hAnsi="游ゴシック"/>
          <w:sz w:val="21"/>
          <w:szCs w:val="21"/>
        </w:rPr>
        <w:t xml:space="preserve">■ 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spacing w:after="120" w:line="300" w:lineRule="exact"/>
      </w:pPr>
      <w:r>
        <w:rPr>
          <w:rFonts w:ascii="游ゴシック" w:cs="游ゴシック" w:eastAsia="游ゴシック" w:hAnsi="游ゴシック"/>
          <w:sz w:val="21"/>
          <w:szCs w:val="21"/>
        </w:rPr>
        <w:t xml:space="preserve">■ 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游ゴシック" w:cs="游ゴシック" w:eastAsia="游ゴシック" w:hAnsi="游ゴシック"/>
          <w:sz w:val="21"/>
          <w:szCs w:val="21"/>
        </w:rPr>
        <w:t xml:space="preserve">■ 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spacing w:after="120" w:line="300" w:lineRule="exact"/>
      </w:pPr>
      <w:r>
        <w:rPr>
          <w:rFonts w:ascii="游ゴシック" w:cs="游ゴシック" w:eastAsia="游ゴシック" w:hAnsi="游ゴシック"/>
          <w:sz w:val="21"/>
          <w:szCs w:val="21"/>
        </w:rPr>
        <w:t xml:space="preserve">■ 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spacing w:after="120" w:line="300" w:lineRule="exact"/>
      </w:pPr>
      <w:r>
        <w:rPr>
          <w:rFonts w:ascii="游ゴシック" w:cs="游ゴシック" w:eastAsia="游ゴシック" w:hAnsi="游ゴシック"/>
          <w:sz w:val="21"/>
          <w:szCs w:val="21"/>
        </w:rPr>
        <w:t xml:space="preserve">■ 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keepNext/>
        <w:keepLines/>
        <w:spacing w:after="100" w:line="300" w:lineRule="exact"/>
      </w:pPr>
      <w:r>
        <w:rPr>
          <w:rFonts w:ascii="游ゴシック" w:cs="游ゴシック" w:eastAsia="游ゴシック" w:hAnsi="游ゴシック"/>
          <w:b/>
          <w:bCs/>
          <w:color w:val="2E75B6"/>
          <w:sz w:val="22"/>
          <w:szCs w:val="22"/>
        </w:rPr>
        <w:t xml:space="preserve">介護保険財政の状況</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游ゴシック" w:cs="游ゴシック" w:eastAsia="游ゴシック" w:hAnsi="游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アンケート結果による村民の意識</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計画の体系及びＳＤＧｓ</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keepNext/>
        <w:keepLines/>
        <w:spacing w:after="100" w:line="300" w:lineRule="exact"/>
      </w:pPr>
      <w:r>
        <w:rPr>
          <w:rFonts w:ascii="游ゴシック" w:cs="游ゴシック" w:eastAsia="游ゴシック" w:hAnsi="游ゴシック"/>
          <w:b/>
          <w:bCs/>
          <w:color w:val="2E75B6"/>
          <w:sz w:val="22"/>
          <w:szCs w:val="22"/>
        </w:rPr>
        <w:t xml:space="preserve">施策の体系</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游ゴシック" w:cs="游ゴシック" w:eastAsia="游ゴシック" w:hAnsi="游ゴシック"/>
          <w:b/>
          <w:bCs/>
          <w:color w:val="2E75B6"/>
          <w:sz w:val="22"/>
          <w:szCs w:val="22"/>
        </w:rPr>
        <w:t xml:space="preserve">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基本目標1　健康づくりと介護予防施策の充実・推進</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高齢者の健康づくりの推進と介護予防</w:t>
      </w:r>
    </w:p>
    <w:p>
      <w:pPr>
        <w:keepNext/>
        <w:keepLines/>
        <w:spacing w:after="100" w:line="300" w:lineRule="exact"/>
      </w:pPr>
      <w:r>
        <w:rPr>
          <w:rFonts w:ascii="游ゴシック" w:cs="游ゴシック" w:eastAsia="游ゴシック" w:hAnsi="游ゴシック"/>
          <w:b/>
          <w:bCs/>
          <w:color w:val="2E75B6"/>
          <w:sz w:val="22"/>
          <w:szCs w:val="22"/>
        </w:rPr>
        <w:t xml:space="preserve">通いの場の開催頻度の向上と地区差の是正</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一般介護予防事業の拡充</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地域リハビリテーション活動支援事業の推進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高齢者の保健・医療・福祉サービスの充実</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介護予防・日常生活支援総合事業の充実</w:t>
      </w:r>
    </w:p>
    <w:p>
      <w:pPr>
        <w:keepNext/>
        <w:keepLines/>
        <w:spacing w:after="100" w:line="300" w:lineRule="exact"/>
      </w:pPr>
      <w:r>
        <w:rPr>
          <w:rFonts w:ascii="游ゴシック" w:cs="游ゴシック" w:eastAsia="游ゴシック" w:hAnsi="游ゴシック"/>
          <w:b/>
          <w:bCs/>
          <w:color w:val="2E75B6"/>
          <w:sz w:val="22"/>
          <w:szCs w:val="22"/>
        </w:rPr>
        <w:t xml:space="preserve">総合事業における多様なサービスの実施</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介護予防におけるデータ活用</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高齢者の生きがいのある暮らしの推進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住まいの安定的な確保</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日常生活の安全確保</w:t>
      </w:r>
    </w:p>
    <w:p>
      <w:pPr>
        <w:keepNext/>
        <w:keepLines/>
        <w:spacing w:after="100" w:line="300" w:lineRule="exact"/>
      </w:pPr>
      <w:r>
        <w:rPr>
          <w:rFonts w:ascii="游ゴシック" w:cs="游ゴシック" w:eastAsia="游ゴシック" w:hAnsi="游ゴシック"/>
          <w:b/>
          <w:bCs/>
          <w:color w:val="2E75B6"/>
          <w:sz w:val="22"/>
          <w:szCs w:val="22"/>
        </w:rPr>
        <w:t xml:space="preserve">日常生活の安全確保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高齢者の移動に関する支援</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冬期の生活支援（除雪）</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地域支え合い等の住民参加活動の促進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居宅サービスの提供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居宅サービスの確保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短期入所サービスの確保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地域密着型サービスの提供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施設サービスの提供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地域包括ケアシステムの深化・推進</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地域包括支援センターの機能強化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地域ケア会議の充実</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在宅医療・介護連携の推進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生活支援体制の整備</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認知症施策の推進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任意事業の充実</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成年後見制度の利用促進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介護人材の確保と生産性向上</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基本理念（3-2）および基本目標4に反映</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介護保険料の設定</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第1号被保険者の保険料</w:t>
      </w:r>
    </w:p>
    <w:p>
      <w:pPr>
        <w:spacing w:after="120" w:line="300" w:lineRule="exact"/>
      </w:pPr>
      <w:r>
        <w:rPr>
          <w:rFonts w:ascii="游ゴシック" w:cs="游ゴシック" w:eastAsia="游ゴシック" w:hAnsi="游ゴシック"/>
          <w:sz w:val="21"/>
          <w:szCs w:val="21"/>
        </w:rPr>
        <w:t xml:space="preserve">■ 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游ゴシック" w:cs="游ゴシック" w:eastAsia="游ゴシック" w:hAnsi="游ゴシック"/>
          <w:sz w:val="21"/>
          <w:szCs w:val="21"/>
        </w:rPr>
        <w:t xml:space="preserve">■ 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spacing w:after="120" w:line="300" w:lineRule="exact"/>
      </w:pPr>
      <w:r>
        <w:rPr>
          <w:rFonts w:ascii="游ゴシック" w:cs="游ゴシック" w:eastAsia="游ゴシック" w:hAnsi="游ゴシック"/>
          <w:sz w:val="21"/>
          <w:szCs w:val="21"/>
        </w:rPr>
        <w:t xml:space="preserve">■ 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spacing w:after="120" w:line="300" w:lineRule="exact"/>
      </w:pPr>
      <w:r>
        <w:rPr>
          <w:rFonts w:ascii="游ゴシック" w:cs="游ゴシック" w:eastAsia="游ゴシック" w:hAnsi="游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spacing w:after="120" w:line="300" w:lineRule="exact"/>
      </w:pPr>
      <w:r>
        <w:rPr>
          <w:rFonts w:ascii="游ゴシック" w:cs="游ゴシック" w:eastAsia="游ゴシック" w:hAnsi="游ゴシック"/>
          <w:sz w:val="21"/>
          <w:szCs w:val="21"/>
        </w:rPr>
        <w:t xml:space="preserve">■ 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spacing w:after="120" w:line="300" w:lineRule="exact"/>
      </w:pPr>
      <w:r>
        <w:rPr>
          <w:rFonts w:ascii="游ゴシック" w:cs="游ゴシック" w:eastAsia="游ゴシック" w:hAnsi="游ゴシック"/>
          <w:sz w:val="21"/>
          <w:szCs w:val="21"/>
        </w:rPr>
        <w:t xml:space="preserve">■ 参考　当方の検算（国の推計ワークシートの受領前の算定）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游ゴシック" w:cs="游ゴシック" w:eastAsia="游ゴシック" w:hAnsi="游ゴシック"/>
          <w:sz w:val="21"/>
          <w:szCs w:val="21"/>
        </w:rPr>
        <w:t xml:space="preserve">■ 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游ゴシック" w:cs="游ゴシック" w:eastAsia="游ゴシック" w:hAnsi="游ゴシック"/>
          <w:sz w:val="21"/>
          <w:szCs w:val="21"/>
        </w:rPr>
        <w:t xml:space="preserve">■ 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spacing w:after="120" w:line="300" w:lineRule="exact"/>
      </w:pPr>
      <w:r>
        <w:rPr>
          <w:rFonts w:ascii="游ゴシック" w:cs="游ゴシック" w:eastAsia="游ゴシック" w:hAnsi="游ゴシック"/>
          <w:sz w:val="21"/>
          <w:szCs w:val="21"/>
        </w:rPr>
        <w:t xml:space="preserve">■ 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spacing w:after="120" w:line="300" w:lineRule="exact"/>
      </w:pPr>
      <w:r>
        <w:rPr>
          <w:rFonts w:ascii="游ゴシック" w:cs="游ゴシック" w:eastAsia="游ゴシック" w:hAnsi="游ゴシック"/>
          <w:sz w:val="21"/>
          <w:szCs w:val="21"/>
        </w:rPr>
        <w:t xml:space="preserve">■ 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spacing w:after="120" w:line="300" w:lineRule="exact"/>
      </w:pPr>
      <w:r>
        <w:rPr>
          <w:rFonts w:ascii="游ゴシック" w:cs="游ゴシック" w:eastAsia="游ゴシック" w:hAnsi="游ゴシック"/>
          <w:sz w:val="21"/>
          <w:szCs w:val="21"/>
        </w:rPr>
        <w:t xml:space="preserve">■ 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参考　当方の検算による保険料月額の12パターンと条例上の基準額</w:t>
      </w:r>
    </w:p>
    <w:p>
      <w:pPr>
        <w:spacing w:after="200"/>
        <w:jc w:val="center"/>
      </w:pPr>
      <w:r>
        <w:rPr>
          <w:rFonts w:ascii="游ゴシック" w:cs="游ゴシック" w:eastAsia="游ゴシック" w:hAnsi="游ゴシック"/>
          <w:color w:val="595959"/>
          <w:sz w:val="16"/>
          <w:szCs w:val="16"/>
        </w:rPr>
        <w:t xml:space="preserve">出典：当方の検算（令和5年度決算を基礎とした算定）による</w:t>
      </w:r>
    </w:p>
    <w:p>
      <w:pPr>
        <w:spacing w:after="120" w:line="300" w:lineRule="exact"/>
      </w:pPr>
      <w:r>
        <w:rPr>
          <w:rFonts w:ascii="游ゴシック" w:cs="游ゴシック" w:eastAsia="游ゴシック" w:hAnsi="游ゴシック"/>
          <w:sz w:val="21"/>
          <w:szCs w:val="21"/>
        </w:rPr>
        <w:t xml:space="preserve">■ 算定上の月額と条例上の基準額</w:t>
      </w:r>
    </w:p>
    <w:p>
      <w:pPr>
        <w:spacing w:after="120" w:line="300" w:lineRule="exact"/>
      </w:pPr>
      <w:r>
        <w:rPr>
          <w:rFonts w:ascii="游ゴシック" w:cs="游ゴシック" w:eastAsia="游ゴシック" w:hAnsi="游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游ゴシック" w:cs="游ゴシック" w:eastAsia="游ゴシック" w:hAnsi="游ゴシック"/>
          <w:sz w:val="21"/>
          <w:szCs w:val="21"/>
        </w:rPr>
        <w:t xml:space="preserve">■ 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keepNext/>
        <w:keepLines/>
        <w:spacing w:after="100" w:line="300" w:lineRule="exact"/>
      </w:pPr>
      <w:r>
        <w:rPr>
          <w:rFonts w:ascii="游ゴシック" w:cs="游ゴシック" w:eastAsia="游ゴシック" w:hAnsi="游ゴシック"/>
          <w:b/>
          <w:bCs/>
          <w:color w:val="2E75B6"/>
          <w:sz w:val="22"/>
          <w:szCs w:val="22"/>
        </w:rPr>
        <w:t xml:space="preserve">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游ゴシック" w:cs="游ゴシック" w:eastAsia="游ゴシック" w:hAnsi="游ゴシック"/>
          <w:sz w:val="21"/>
          <w:szCs w:val="21"/>
        </w:rPr>
        <w:t xml:space="preserve">■ 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游ゴシック" w:cs="游ゴシック" w:eastAsia="游ゴシック" w:hAnsi="游ゴシック"/>
          <w:sz w:val="21"/>
          <w:szCs w:val="21"/>
        </w:rPr>
        <w:t xml:space="preserve">■ 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游ゴシック" w:cs="游ゴシック" w:eastAsia="游ゴシック" w:hAnsi="游ゴシック"/>
          <w:sz w:val="21"/>
          <w:szCs w:val="21"/>
        </w:rPr>
        <w:t xml:space="preserve">■ 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游ゴシック" w:cs="游ゴシック" w:eastAsia="游ゴシック" w:hAnsi="游ゴシック"/>
          <w:sz w:val="21"/>
          <w:szCs w:val="21"/>
        </w:rPr>
        <w:t xml:space="preserve">■ 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給付費等の今後の見込み</w:t>
      </w:r>
    </w:p>
    <w:p>
      <w:pPr>
        <w:keepNext/>
        <w:keepLines/>
        <w:spacing w:after="100" w:line="300" w:lineRule="exact"/>
      </w:pPr>
      <w:r>
        <w:rPr>
          <w:rFonts w:ascii="游ゴシック" w:cs="游ゴシック" w:eastAsia="游ゴシック" w:hAnsi="游ゴシック"/>
          <w:b/>
          <w:bCs/>
          <w:color w:val="2E75B6"/>
          <w:sz w:val="22"/>
          <w:szCs w:val="22"/>
        </w:rPr>
        <w:t xml:space="preserve">標準給付費の見込み</w:t>
      </w:r>
    </w:p>
    <w:p>
      <w:pPr>
        <w:spacing w:after="120" w:line="300" w:lineRule="exact"/>
      </w:pPr>
      <w:r>
        <w:rPr>
          <w:rFonts w:ascii="游ゴシック" w:cs="游ゴシック" w:eastAsia="游ゴシック" w:hAnsi="游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游ゴシック" w:cs="游ゴシック" w:eastAsia="游ゴシック" w:hAnsi="游ゴシック"/>
          <w:sz w:val="21"/>
          <w:szCs w:val="21"/>
        </w:rPr>
        <w:t xml:space="preserve">■ 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游ゴシック" w:cs="游ゴシック" w:eastAsia="游ゴシック" w:hAnsi="游ゴシック"/>
          <w:sz w:val="21"/>
          <w:szCs w:val="21"/>
        </w:rPr>
        <w:t xml:space="preserve">■ 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游ゴシック" w:cs="游ゴシック" w:eastAsia="游ゴシック" w:hAnsi="游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游ゴシック" w:cs="游ゴシック" w:eastAsia="游ゴシック" w:hAnsi="游ゴシック"/>
          <w:sz w:val="21"/>
          <w:szCs w:val="21"/>
        </w:rPr>
        <w:t xml:space="preserve">■ 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spacing w:after="120" w:line="300" w:lineRule="exact"/>
      </w:pPr>
      <w:r>
        <w:rPr>
          <w:rFonts w:ascii="游ゴシック" w:cs="游ゴシック" w:eastAsia="游ゴシック" w:hAnsi="游ゴシック"/>
          <w:sz w:val="21"/>
          <w:szCs w:val="21"/>
        </w:rPr>
        <w:t xml:space="preserve">■ 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spacing w:after="120" w:line="300" w:lineRule="exact"/>
      </w:pPr>
      <w:r>
        <w:rPr>
          <w:rFonts w:ascii="游ゴシック" w:cs="游ゴシック" w:eastAsia="游ゴシック" w:hAnsi="游ゴシック"/>
          <w:sz w:val="21"/>
          <w:szCs w:val="21"/>
        </w:rPr>
        <w:t xml:space="preserve">■ 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spacing w:after="120" w:line="300" w:lineRule="exact"/>
      </w:pPr>
      <w:r>
        <w:rPr>
          <w:rFonts w:ascii="游ゴシック" w:cs="游ゴシック" w:eastAsia="游ゴシック" w:hAnsi="游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spacing w:after="120" w:line="300" w:lineRule="exact"/>
      </w:pPr>
      <w:r>
        <w:rPr>
          <w:rFonts w:ascii="游ゴシック" w:cs="游ゴシック" w:eastAsia="游ゴシック" w:hAnsi="游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spacing w:after="120" w:line="300" w:lineRule="exact"/>
      </w:pPr>
      <w:r>
        <w:rPr>
          <w:rFonts w:ascii="游ゴシック" w:cs="游ゴシック" w:eastAsia="游ゴシック" w:hAnsi="游ゴシック"/>
          <w:sz w:val="21"/>
          <w:szCs w:val="21"/>
        </w:rPr>
        <w:t xml:space="preserve">■ (4)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spacing w:after="120" w:line="300" w:lineRule="exact"/>
      </w:pPr>
      <w:r>
        <w:rPr>
          <w:rFonts w:ascii="游ゴシック" w:cs="游ゴシック" w:eastAsia="游ゴシック" w:hAnsi="游ゴシック"/>
          <w:sz w:val="21"/>
          <w:szCs w:val="21"/>
        </w:rPr>
        <w:t xml:space="preserve">■ (5)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spacing w:after="120" w:line="300" w:lineRule="exact"/>
      </w:pPr>
      <w:r>
        <w:rPr>
          <w:rFonts w:ascii="游ゴシック" w:cs="游ゴシック" w:eastAsia="游ゴシック" w:hAnsi="游ゴシック"/>
          <w:sz w:val="21"/>
          <w:szCs w:val="21"/>
        </w:rPr>
        <w:t xml:space="preserve">■ (6)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spacing w:after="120" w:line="300" w:lineRule="exact"/>
      </w:pPr>
      <w:r>
        <w:rPr>
          <w:rFonts w:ascii="游ゴシック" w:cs="游ゴシック" w:eastAsia="游ゴシック" w:hAnsi="游ゴシック"/>
          <w:sz w:val="21"/>
          <w:szCs w:val="21"/>
        </w:rPr>
        <w:t xml:space="preserve">■ (7)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spacing w:after="120" w:line="300" w:lineRule="exact"/>
      </w:pPr>
      <w:r>
        <w:rPr>
          <w:rFonts w:ascii="游ゴシック" w:cs="游ゴシック" w:eastAsia="游ゴシック" w:hAnsi="游ゴシック"/>
          <w:sz w:val="21"/>
          <w:szCs w:val="21"/>
        </w:rPr>
        <w:t xml:space="preserve">■ (8)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実入居者数とそのうち本村の被保険者の数、村外の事業所を利用している本村の被保険者の数を村に確認します。</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spacing w:after="120" w:line="300" w:lineRule="exact"/>
      </w:pPr>
      <w:r>
        <w:rPr>
          <w:rFonts w:ascii="游ゴシック" w:cs="游ゴシック" w:eastAsia="游ゴシック" w:hAnsi="游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spacing w:after="120" w:line="300" w:lineRule="exact"/>
      </w:pPr>
      <w:r>
        <w:rPr>
          <w:rFonts w:ascii="游ゴシック" w:cs="游ゴシック" w:eastAsia="游ゴシック" w:hAnsi="游ゴシック"/>
          <w:sz w:val="21"/>
          <w:szCs w:val="21"/>
        </w:rPr>
        <w:t xml:space="preserve">■ (10)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游ゴシック" w:cs="游ゴシック" w:eastAsia="游ゴシック" w:hAnsi="游ゴシック"/>
          <w:sz w:val="21"/>
          <w:szCs w:val="21"/>
        </w:rPr>
        <w:t xml:space="preserve">■ 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spacing w:after="120" w:line="300" w:lineRule="exact"/>
      </w:pPr>
      <w:r>
        <w:rPr>
          <w:rFonts w:ascii="游ゴシック" w:cs="游ゴシック" w:eastAsia="游ゴシック" w:hAnsi="游ゴシック"/>
          <w:sz w:val="21"/>
          <w:szCs w:val="21"/>
        </w:rPr>
        <w:t xml:space="preserve">■ 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spacing w:after="120" w:line="300" w:lineRule="exact"/>
      </w:pPr>
      <w:r>
        <w:rPr>
          <w:rFonts w:ascii="游ゴシック" w:cs="游ゴシック" w:eastAsia="游ゴシック" w:hAnsi="游ゴシック"/>
          <w:sz w:val="21"/>
          <w:szCs w:val="21"/>
        </w:rPr>
        <w:t xml:space="preserve">■ 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spacing w:after="120" w:line="300" w:lineRule="exact"/>
      </w:pPr>
      <w:r>
        <w:rPr>
          <w:rFonts w:ascii="游ゴシック" w:cs="游ゴシック" w:eastAsia="游ゴシック" w:hAnsi="游ゴシック"/>
          <w:sz w:val="21"/>
          <w:szCs w:val="21"/>
        </w:rPr>
        <w:t xml:space="preserve">■ 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游ゴシック" w:cs="游ゴシック" w:eastAsia="游ゴシック" w:hAnsi="游ゴシック"/>
          <w:sz w:val="21"/>
          <w:szCs w:val="21"/>
        </w:rPr>
        <w:t xml:space="preserve">■ (11)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4029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3.38人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spacing w:after="120" w:line="300" w:lineRule="exact"/>
      </w:pPr>
      <w:r>
        <w:rPr>
          <w:rFonts w:ascii="游ゴシック" w:cs="游ゴシック" w:eastAsia="游ゴシック" w:hAnsi="游ゴシック"/>
          <w:sz w:val="21"/>
          <w:szCs w:val="21"/>
        </w:rPr>
        <w:t xml:space="preserve">■ (14)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keepNext/>
        <w:keepLines/>
        <w:spacing w:after="100" w:line="300" w:lineRule="exact"/>
      </w:pPr>
      <w:r>
        <w:rPr>
          <w:rFonts w:ascii="游ゴシック" w:cs="游ゴシック" w:eastAsia="游ゴシック" w:hAnsi="游ゴシック"/>
          <w:b/>
          <w:bCs/>
          <w:color w:val="2E75B6"/>
          <w:sz w:val="22"/>
          <w:szCs w:val="22"/>
        </w:rPr>
        <w:t xml:space="preserve">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介護給付適正化計画</w:t>
      </w:r>
    </w:p>
    <w:p>
      <w:pPr>
        <w:keepNext/>
        <w:keepLines/>
        <w:spacing w:after="100" w:line="300" w:lineRule="exact"/>
      </w:pPr>
      <w:r>
        <w:rPr>
          <w:rFonts w:ascii="游ゴシック" w:cs="游ゴシック" w:eastAsia="游ゴシック" w:hAnsi="游ゴシック"/>
          <w:b/>
          <w:bCs/>
          <w:color w:val="2E75B6"/>
          <w:sz w:val="22"/>
          <w:szCs w:val="22"/>
        </w:rPr>
        <w:t xml:space="preserve">介護給付適正化計画</w:t>
      </w:r>
    </w:p>
    <w:p>
      <w:pPr>
        <w:spacing w:after="120" w:line="300" w:lineRule="exact"/>
      </w:pPr>
      <w:r>
        <w:rPr>
          <w:rFonts w:ascii="游ゴシック" w:cs="游ゴシック" w:eastAsia="游ゴシック" w:hAnsi="游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游ゴシック" w:cs="游ゴシック" w:eastAsia="游ゴシック" w:hAnsi="游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游ゴシック" w:cs="游ゴシック" w:eastAsia="游ゴシック" w:hAnsi="游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游ゴシック" w:cs="游ゴシック" w:eastAsia="游ゴシック" w:hAnsi="游ゴシック"/>
          <w:sz w:val="21"/>
          <w:szCs w:val="21"/>
        </w:rPr>
        <w:t xml:space="preserve">■ (3)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照会の結果により5-1の感応度を用いて幅を示す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spacing w:after="120" w:line="300" w:lineRule="exact"/>
      </w:pPr>
      <w:r>
        <w:rPr>
          <w:rFonts w:ascii="游ゴシック" w:cs="游ゴシック" w:eastAsia="游ゴシック" w:hAnsi="游ゴシック"/>
          <w:sz w:val="21"/>
          <w:szCs w:val="21"/>
        </w:rPr>
        <w:t xml:space="preserve">■ (5)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keepNext/>
        <w:keepLines/>
        <w:spacing w:after="100" w:line="300" w:lineRule="exact"/>
      </w:pPr>
      <w:r>
        <w:rPr>
          <w:rFonts w:ascii="游ゴシック" w:cs="游ゴシック" w:eastAsia="游ゴシック" w:hAnsi="游ゴシック"/>
          <w:b/>
          <w:bCs/>
          <w:color w:val="2E75B6"/>
          <w:sz w:val="22"/>
          <w:szCs w:val="22"/>
        </w:rPr>
        <w:t xml:space="preserve">介護給付の適正化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中長期的な推計と取り組むべき施策</w:t>
      </w:r>
    </w:p>
    <w:p>
      <w:pPr>
        <w:keepNext/>
        <w:keepLines/>
        <w:spacing w:after="100" w:line="300" w:lineRule="exact"/>
      </w:pPr>
      <w:r>
        <w:rPr>
          <w:rFonts w:ascii="游ゴシック" w:cs="游ゴシック" w:eastAsia="游ゴシック" w:hAnsi="游ゴシック"/>
          <w:b/>
          <w:bCs/>
          <w:color w:val="2E75B6"/>
          <w:sz w:val="22"/>
          <w:szCs w:val="22"/>
        </w:rPr>
        <w:t xml:space="preserve">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游ゴシック" w:cs="游ゴシック" w:eastAsia="游ゴシック" w:hAnsi="游ゴシック"/>
          <w:sz w:val="21"/>
          <w:szCs w:val="21"/>
        </w:rPr>
        <w:t xml:space="preserve">■ 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spacing w:after="120" w:line="300" w:lineRule="exact"/>
      </w:pPr>
      <w:r>
        <w:rPr>
          <w:rFonts w:ascii="游ゴシック" w:cs="游ゴシック" w:eastAsia="游ゴシック" w:hAnsi="游ゴシック"/>
          <w:sz w:val="21"/>
          <w:szCs w:val="21"/>
        </w:rPr>
        <w:t xml:space="preserve">■ 中長期の被保険者数と認定者数（国の推計ワークシートによる）</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＋5.9pt</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出典：国の推計ワークシート（推計値サマリ）</w:t>
      </w:r>
    </w:p>
    <w:p>
      <w:pPr>
        <w:spacing w:after="120" w:line="300" w:lineRule="exact"/>
      </w:pPr>
      <w:r>
        <w:rPr>
          <w:rFonts w:ascii="游ゴシック" w:cs="游ゴシック" w:eastAsia="游ゴシック" w:hAnsi="游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游ゴシック" w:cs="游ゴシック" w:eastAsia="游ゴシック" w:hAnsi="游ゴシック"/>
          <w:sz w:val="21"/>
          <w:szCs w:val="21"/>
        </w:rPr>
        <w:t xml:space="preserve">■ 参考　当方の算定による感度分析（認定者数が減る系列）</w:t>
      </w:r>
    </w:p>
    <w:p>
      <w:pPr>
        <w:spacing w:after="120" w:line="300" w:lineRule="exact"/>
      </w:pPr>
      <w:r>
        <w:rPr>
          <w:rFonts w:ascii="游ゴシック" w:cs="游ゴシック" w:eastAsia="游ゴシック" w:hAnsi="游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游ゴシック" w:cs="游ゴシック" w:eastAsia="游ゴシック" w:hAnsi="游ゴシック"/>
          <w:sz w:val="21"/>
          <w:szCs w:val="21"/>
        </w:rPr>
        <w:t xml:space="preserve">■ 保険料基準額の見通し（αの2案）</w:t>
      </w:r>
    </w:p>
    <w:p>
      <w:pPr>
        <w:spacing w:after="120" w:line="300" w:lineRule="exact"/>
      </w:pPr>
      <w:r>
        <w:rPr>
          <w:rFonts w:ascii="游ゴシック" w:cs="游ゴシック" w:eastAsia="游ゴシック" w:hAnsi="游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spacing w:after="120" w:line="300" w:lineRule="exact"/>
      </w:pPr>
      <w:r>
        <w:rPr>
          <w:rFonts w:ascii="游ゴシック" w:cs="游ゴシック" w:eastAsia="游ゴシック" w:hAnsi="游ゴシック"/>
          <w:sz w:val="21"/>
          <w:szCs w:val="21"/>
        </w:rPr>
        <w:t xml:space="preserve">■ 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基本目標1・5-3・5-3</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游ゴシック" w:cs="游ゴシック" w:eastAsia="游ゴシック" w:hAnsi="游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游ゴシック" w:cs="游ゴシック" w:eastAsia="游ゴシック" w:hAnsi="游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ＰＤＣＡサイクルの推進</w:t>
      </w:r>
    </w:p>
    <w:p>
      <w:pPr>
        <w:keepNext/>
        <w:keepLines/>
        <w:spacing w:after="100" w:line="300" w:lineRule="exact"/>
      </w:pPr>
      <w:r>
        <w:rPr>
          <w:rFonts w:ascii="游ゴシック" w:cs="游ゴシック" w:eastAsia="游ゴシック" w:hAnsi="游ゴシック"/>
          <w:b/>
          <w:bCs/>
          <w:color w:val="2E75B6"/>
          <w:sz w:val="22"/>
          <w:szCs w:val="22"/>
        </w:rPr>
        <w:t xml:space="preserve">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spacing w:after="120" w:line="300" w:lineRule="exact"/>
      </w:pPr>
      <w:r>
        <w:rPr>
          <w:rFonts w:ascii="游ゴシック" w:cs="游ゴシック" w:eastAsia="游ゴシック" w:hAnsi="游ゴシック"/>
          <w:sz w:val="21"/>
          <w:szCs w:val="21"/>
        </w:rPr>
        <w:t xml:space="preserve">■ 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游ゴシック" w:cs="游ゴシック" w:eastAsia="游ゴシック" w:hAnsi="游ゴシック"/>
          <w:sz w:val="21"/>
          <w:szCs w:val="21"/>
        </w:rPr>
        <w:t xml:space="preserve">■ 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keepNext/>
        <w:keepLines/>
        <w:spacing w:after="100" w:line="300" w:lineRule="exact"/>
      </w:pPr>
      <w:r>
        <w:rPr>
          <w:rFonts w:ascii="游ゴシック" w:cs="游ゴシック" w:eastAsia="游ゴシック" w:hAnsi="游ゴシック"/>
          <w:b/>
          <w:bCs/>
          <w:color w:val="2E75B6"/>
          <w:sz w:val="22"/>
          <w:szCs w:val="22"/>
        </w:rPr>
        <w:t xml:space="preserve">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游ゴシック" w:cs="游ゴシック" w:eastAsia="游ゴシック" w:hAnsi="游ゴシック"/>
          <w:sz w:val="21"/>
          <w:szCs w:val="21"/>
        </w:rPr>
        <w:t xml:space="preserve">■ 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計画の見直し</w:t>
      </w:r>
    </w:p>
    <w:p>
      <w:pPr>
        <w:spacing w:after="120" w:line="300" w:lineRule="exact"/>
      </w:pPr>
      <w:r>
        <w:rPr>
          <w:rFonts w:ascii="游ゴシック" w:cs="游ゴシック" w:eastAsia="游ゴシック" w:hAnsi="游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5-2〜5-1を差し替え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計画の推進体制</w:t>
      </w:r>
    </w:p>
    <w:p>
      <w:pPr>
        <w:keepNext/>
        <w:keepLines/>
        <w:spacing w:after="100" w:line="300" w:lineRule="exact"/>
      </w:pPr>
      <w:r>
        <w:rPr>
          <w:rFonts w:ascii="游ゴシック" w:cs="游ゴシック" w:eastAsia="游ゴシック" w:hAnsi="游ゴシック"/>
          <w:b/>
          <w:bCs/>
          <w:color w:val="2E75B6"/>
          <w:sz w:val="22"/>
          <w:szCs w:val="22"/>
        </w:rPr>
        <w:t xml:space="preserve">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第９期介護保険事業計画の基本指針のポイント</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介護に関する用語集</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案（公表用）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008e8fcbefbd3705afac82fe743f2ca91f139deb.png"/><Relationship Id="rId12" Type="http://schemas.openxmlformats.org/officeDocument/2006/relationships/image" Target="media/90b9c337d42e77d8e401fa1d702404fa2f381652.png"/><Relationship Id="rId13" Type="http://schemas.openxmlformats.org/officeDocument/2006/relationships/image" Target="media/9a94b01e6f554a1d66432be79f3a64a9e9bc1f9c.png"/><Relationship Id="rId14" Type="http://schemas.openxmlformats.org/officeDocument/2006/relationships/image" Target="media/c13b382556b6f74f9ef7930895dbca37263895b0.png"/><Relationship Id="rId15" Type="http://schemas.openxmlformats.org/officeDocument/2006/relationships/image" Target="media/262f56d567c7f6e23bdb661e2745c9b3a913147d.png"/><Relationship Id="rId16" Type="http://schemas.openxmlformats.org/officeDocument/2006/relationships/image" Target="media/f76351dfb29c7e5a634222187633582978c20017.png"/><Relationship Id="rId17" Type="http://schemas.openxmlformats.org/officeDocument/2006/relationships/image" Target="media/92f1b47124cf4e73ec60af37d4ed8f9fb1092eb0.png"/><Relationship Id="rId18" Type="http://schemas.openxmlformats.org/officeDocument/2006/relationships/image" Target="media/89c4b901ca057b5ec2c4ad9e0f433cd0471499d9.png"/><Relationship Id="rId19" Type="http://schemas.openxmlformats.org/officeDocument/2006/relationships/image" Target="media/4f2466eeb158b9ba7988356f43e2f29de519e841.png"/><Relationship Id="rId20" Type="http://schemas.openxmlformats.org/officeDocument/2006/relationships/image" Target="media/87448cd60bbda0fc9502757054b25801574e34fd.png"/><Relationship Id="rId21" Type="http://schemas.openxmlformats.org/officeDocument/2006/relationships/image" Target="media/cbb78c187eca48185f18fe45fce903e149e0b421.png"/><Relationship Id="rId22" Type="http://schemas.openxmlformats.org/officeDocument/2006/relationships/image" Target="media/cb6957291fc7637d3ffb43033e56c16964753fff.png"/><Relationship Id="rId23" Type="http://schemas.openxmlformats.org/officeDocument/2006/relationships/image" Target="media/c4aae76f3520550a8d58af86865bd4098163f5c2.png"/><Relationship Id="rId24" Type="http://schemas.openxmlformats.org/officeDocument/2006/relationships/image" Target="media/723447c6cbd7689a1ec64e806ebfe12b499dc876.png"/><Relationship Id="rId25" Type="http://schemas.openxmlformats.org/officeDocument/2006/relationships/image" Target="media/df7397870364abfc987013d01820c8cb4529a44a.png"/><Relationship Id="rId26" Type="http://schemas.openxmlformats.org/officeDocument/2006/relationships/image" Target="media/2785cacca571e03bc5aeb55c44e0c3464310859c.png"/><Relationship Id="rId27" Type="http://schemas.openxmlformats.org/officeDocument/2006/relationships/image" Target="media/006169ede3d99dcbe08323d0b0f64868ea020617.png"/><Relationship Id="rId28" Type="http://schemas.openxmlformats.org/officeDocument/2006/relationships/image" Target="media/68f940da84dc8dc4c4d11f4bc2812526e5b77ab6.png"/><Relationship Id="rId29" Type="http://schemas.openxmlformats.org/officeDocument/2006/relationships/image" Target="media/a31bf2657abca3ddedcefc51e6537cce74d87169.png"/><Relationship Id="rId30" Type="http://schemas.openxmlformats.org/officeDocument/2006/relationships/image" Target="media/aaca7e4d3e6729a9885fc43163d7c2240dfb80be.png"/><Relationship Id="rId31" Type="http://schemas.openxmlformats.org/officeDocument/2006/relationships/image" Target="media/3d06d96bb60823e61760997b4189c5da52e8b50c.png"/><Relationship Id="rId32" Type="http://schemas.openxmlformats.org/officeDocument/2006/relationships/image" Target="media/c8510ec9f06b232838c36bc777cfe665fdb4160a.png"/><Relationship Id="rId33" Type="http://schemas.openxmlformats.org/officeDocument/2006/relationships/image" Target="media/27c7b37b6c8e4982d3fa4fa1996479aea76f65ac.png"/><Relationship Id="rId34" Type="http://schemas.openxmlformats.org/officeDocument/2006/relationships/image" Target="media/cbdb7c1cc66d1fa9d322a098c06a3f50febebd1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2026-10-23T01:43:01.491Z</dcterms:created>
  <dcterms:modified xsi:type="dcterms:W3CDTF">2026-10-23T01:43:01.491Z</dcterms:modified>
</cp:coreProperties>
</file>

<file path=docProps/custom.xml><?xml version="1.0" encoding="utf-8"?>
<Properties xmlns="http://schemas.openxmlformats.org/officeDocument/2006/custom-properties" xmlns:vt="http://schemas.openxmlformats.org/officeDocument/2006/docPropsVTypes"/>
</file>