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120"/>
        <w:jc w:val="center"/>
      </w:pPr>
      <w:r>
        <w:rPr>
          <w:rFonts w:ascii="游ゴシック" w:hAnsi="游ゴシック" w:eastAsia="游ゴシック"/>
          <w:b/>
          <w:i w:val="0"/>
          <w:color w:val="2E74B5"/>
          <w:sz w:val="44"/>
        </w:rPr>
        <w:t>小野町高齢者保健福祉計画・第10期介護保険事業計画</w:t>
      </w:r>
    </w:p>
    <w:p>
      <w:pPr>
        <w:spacing w:after="120"/>
        <w:jc w:val="center"/>
      </w:pPr>
      <w:r>
        <w:rPr>
          <w:rFonts w:ascii="游ゴシック" w:hAnsi="游ゴシック" w:eastAsia="游ゴシック"/>
          <w:b w:val="0"/>
          <w:i w:val="0"/>
          <w:sz w:val="26"/>
        </w:rPr>
        <w:t>福島県保健医療計画（第八次）の受領と反映</w:t>
      </w:r>
    </w:p>
    <w:p>
      <w:pPr>
        <w:spacing w:after="120"/>
        <w:jc w:val="center"/>
      </w:pPr>
      <w:r>
        <w:rPr>
          <w:rFonts w:ascii="游ゴシック" w:hAnsi="游ゴシック" w:eastAsia="游ゴシック"/>
          <w:b w:val="0"/>
          <w:i w:val="0"/>
          <w:sz w:val="26"/>
        </w:rPr>
        <w:t>令和8年10月15日</w:t>
      </w:r>
    </w:p>
    <w:p>
      <w:pPr>
        <w:spacing w:after="120"/>
        <w:jc w:val="center"/>
      </w:pPr>
      <w:r>
        <w:rPr>
          <w:rFonts w:ascii="游ゴシック" w:hAnsi="游ゴシック" w:eastAsia="游ゴシック"/>
          <w:b w:val="0"/>
          <w:i w:val="0"/>
          <w:sz w:val="26"/>
        </w:rPr>
        <w:t>ビズアップ公共コンサルティング株式会社</w:t>
      </w:r>
    </w:p>
    <w:p>
      <w:r>
        <w:br w:type="page"/>
      </w:r>
    </w:p>
    <w:p>
      <w:pPr>
        <w:spacing w:after="280"/>
        <w:jc w:val="center"/>
      </w:pPr>
      <w:r>
        <w:rPr>
          <w:rFonts w:ascii="游ゴシック" w:hAnsi="游ゴシック" w:eastAsia="游ゴシック"/>
          <w:b/>
          <w:i w:val="0"/>
          <w:color w:val="2E74B5"/>
          <w:sz w:val="30"/>
        </w:rPr>
        <w:t>目　次</w:t>
      </w:r>
    </w:p>
    <w:p>
      <w:pPr>
        <w:spacing w:after="200"/>
        <w:jc w:val="center"/>
      </w:pPr>
      <w:r>
        <w:rPr>
          <w:rFonts w:ascii="游ゴシック" w:hAnsi="游ゴシック" w:eastAsia="游ゴシック"/>
          <w:b w:val="0"/>
          <w:i w:val="0"/>
          <w:sz w:val="18"/>
        </w:rPr>
        <w:t>各行をクリックすると本文へ移動します。ページ番号はWordで開いた時点で更新されます</w:t>
      </w:r>
    </w:p>
    <w:p>
      <w:pPr>
        <w:tabs>
          <w:tab w:pos="9751" w:val="right" w:leader="dot"/>
        </w:tabs>
        <w:spacing w:before="20" w:after="20" w:line="252" w:lineRule="auto"/>
        <w:ind w:left="0"/>
      </w:pPr>
      <w:hyperlink w:anchor="_Toc_001">
        <w:r>
          <w:rPr>
            <w:rFonts w:ascii="游ゴシック" w:hAnsi="游ゴシック" w:eastAsia="游ゴシック"/>
            <w:b/>
            <w:sz w:val="22"/>
          </w:rPr>
          <w:t xml:space="preserve">1　受領したもの</w:t>
        </w:r>
        <w:r>
          <w:rPr>
            <w:rFonts w:ascii="游ゴシック" w:hAnsi="游ゴシック" w:eastAsia="游ゴシック"/>
            <w:sz w:val="20"/>
          </w:rPr>
          <w:tab/>
        </w:r>
        <w:r>
          <w:rPr>
            <w:rFonts w:ascii="游ゴシック" w:hAnsi="游ゴシック" w:eastAsia="游ゴシック"/>
            <w:sz w:val="20"/>
          </w:rPr>
          <w:fldChar w:fldCharType="begin"/>
        </w:r>
        <w:r>
          <w:rPr>
            <w:rFonts w:ascii="游ゴシック" w:hAnsi="游ゴシック" w:eastAsia="游ゴシック"/>
            <w:sz w:val="20"/>
          </w:rPr>
          <w:instrText xml:space="preserve"> PAGEREF _Toc_001 \h </w:instrText>
        </w:r>
        <w:r>
          <w:rPr>
            <w:rFonts w:ascii="游ゴシック" w:hAnsi="游ゴシック" w:eastAsia="游ゴシック"/>
            <w:sz w:val="20"/>
          </w:rPr>
          <w:fldChar w:fldCharType="separate"/>
        </w:r>
        <w:r>
          <w:rPr>
            <w:rFonts w:ascii="游ゴシック" w:hAnsi="游ゴシック" w:eastAsia="游ゴシック"/>
            <w:b/>
            <w:sz w:val="20"/>
          </w:rPr>
          <w:t xml:space="preserve">－</w:t>
        </w:r>
        <w:r>
          <w:rPr>
            <w:rFonts w:ascii="游ゴシック" w:hAnsi="游ゴシック" w:eastAsia="游ゴシック"/>
            <w:sz w:val="20"/>
          </w:rPr>
          <w:fldChar w:fldCharType="end"/>
        </w:r>
      </w:hyperlink>
    </w:p>
    <w:p>
      <w:pPr>
        <w:tabs>
          <w:tab w:pos="9751" w:val="right" w:leader="dot"/>
        </w:tabs>
        <w:spacing w:before="20" w:after="20" w:line="252" w:lineRule="auto"/>
        <w:ind w:left="0"/>
      </w:pPr>
      <w:hyperlink w:anchor="_Toc_002">
        <w:r>
          <w:rPr>
            <w:rFonts w:ascii="游ゴシック" w:hAnsi="游ゴシック" w:eastAsia="游ゴシック"/>
            <w:b/>
            <w:sz w:val="22"/>
          </w:rPr>
          <w:t xml:space="preserve">2　本町は県中医療圏に属する</w:t>
        </w:r>
        <w:r>
          <w:rPr>
            <w:rFonts w:ascii="游ゴシック" w:hAnsi="游ゴシック" w:eastAsia="游ゴシック"/>
            <w:sz w:val="20"/>
          </w:rPr>
          <w:tab/>
        </w:r>
        <w:r>
          <w:rPr>
            <w:rFonts w:ascii="游ゴシック" w:hAnsi="游ゴシック" w:eastAsia="游ゴシック"/>
            <w:sz w:val="20"/>
          </w:rPr>
          <w:fldChar w:fldCharType="begin"/>
        </w:r>
        <w:r>
          <w:rPr>
            <w:rFonts w:ascii="游ゴシック" w:hAnsi="游ゴシック" w:eastAsia="游ゴシック"/>
            <w:sz w:val="20"/>
          </w:rPr>
          <w:instrText xml:space="preserve"> PAGEREF _Toc_002 \h </w:instrText>
        </w:r>
        <w:r>
          <w:rPr>
            <w:rFonts w:ascii="游ゴシック" w:hAnsi="游ゴシック" w:eastAsia="游ゴシック"/>
            <w:sz w:val="20"/>
          </w:rPr>
          <w:fldChar w:fldCharType="separate"/>
        </w:r>
        <w:r>
          <w:rPr>
            <w:rFonts w:ascii="游ゴシック" w:hAnsi="游ゴシック" w:eastAsia="游ゴシック"/>
            <w:b/>
            <w:sz w:val="20"/>
          </w:rPr>
          <w:t xml:space="preserve">－</w:t>
        </w:r>
        <w:r>
          <w:rPr>
            <w:rFonts w:ascii="游ゴシック" w:hAnsi="游ゴシック" w:eastAsia="游ゴシック"/>
            <w:sz w:val="20"/>
          </w:rPr>
          <w:fldChar w:fldCharType="end"/>
        </w:r>
      </w:hyperlink>
    </w:p>
    <w:p>
      <w:pPr>
        <w:tabs>
          <w:tab w:pos="9751" w:val="right" w:leader="dot"/>
        </w:tabs>
        <w:spacing w:before="20" w:after="20" w:line="252" w:lineRule="auto"/>
        <w:ind w:left="0"/>
      </w:pPr>
      <w:hyperlink w:anchor="_Toc_003">
        <w:r>
          <w:rPr>
            <w:rFonts w:ascii="游ゴシック" w:hAnsi="游ゴシック" w:eastAsia="游ゴシック"/>
            <w:b/>
            <w:sz w:val="22"/>
          </w:rPr>
          <w:t xml:space="preserve">3　素案の訂正</w:t>
        </w:r>
        <w:r>
          <w:rPr>
            <w:rFonts w:ascii="游ゴシック" w:hAnsi="游ゴシック" w:eastAsia="游ゴシック"/>
            <w:sz w:val="20"/>
          </w:rPr>
          <w:tab/>
        </w:r>
        <w:r>
          <w:rPr>
            <w:rFonts w:ascii="游ゴシック" w:hAnsi="游ゴシック" w:eastAsia="游ゴシック"/>
            <w:sz w:val="20"/>
          </w:rPr>
          <w:fldChar w:fldCharType="begin"/>
        </w:r>
        <w:r>
          <w:rPr>
            <w:rFonts w:ascii="游ゴシック" w:hAnsi="游ゴシック" w:eastAsia="游ゴシック"/>
            <w:sz w:val="20"/>
          </w:rPr>
          <w:instrText xml:space="preserve"> PAGEREF _Toc_003 \h </w:instrText>
        </w:r>
        <w:r>
          <w:rPr>
            <w:rFonts w:ascii="游ゴシック" w:hAnsi="游ゴシック" w:eastAsia="游ゴシック"/>
            <w:sz w:val="20"/>
          </w:rPr>
          <w:fldChar w:fldCharType="separate"/>
        </w:r>
        <w:r>
          <w:rPr>
            <w:rFonts w:ascii="游ゴシック" w:hAnsi="游ゴシック" w:eastAsia="游ゴシック"/>
            <w:b/>
            <w:sz w:val="20"/>
          </w:rPr>
          <w:t xml:space="preserve">－</w:t>
        </w:r>
        <w:r>
          <w:rPr>
            <w:rFonts w:ascii="游ゴシック" w:hAnsi="游ゴシック" w:eastAsia="游ゴシック"/>
            <w:sz w:val="20"/>
          </w:rPr>
          <w:fldChar w:fldCharType="end"/>
        </w:r>
      </w:hyperlink>
    </w:p>
    <w:p>
      <w:pPr>
        <w:tabs>
          <w:tab w:pos="9751" w:val="right" w:leader="dot"/>
        </w:tabs>
        <w:spacing w:before="20" w:after="20" w:line="252" w:lineRule="auto"/>
        <w:ind w:left="0"/>
      </w:pPr>
      <w:hyperlink w:anchor="_Toc_004">
        <w:r>
          <w:rPr>
            <w:rFonts w:ascii="游ゴシック" w:hAnsi="游ゴシック" w:eastAsia="游ゴシック"/>
            <w:b/>
            <w:sz w:val="22"/>
          </w:rPr>
          <w:t xml:space="preserve">4　整合性の確保 ― 国の通知が求める3つの資源</w:t>
        </w:r>
        <w:r>
          <w:rPr>
            <w:rFonts w:ascii="游ゴシック" w:hAnsi="游ゴシック" w:eastAsia="游ゴシック"/>
            <w:sz w:val="20"/>
          </w:rPr>
          <w:tab/>
        </w:r>
        <w:r>
          <w:rPr>
            <w:rFonts w:ascii="游ゴシック" w:hAnsi="游ゴシック" w:eastAsia="游ゴシック"/>
            <w:sz w:val="20"/>
          </w:rPr>
          <w:fldChar w:fldCharType="begin"/>
        </w:r>
        <w:r>
          <w:rPr>
            <w:rFonts w:ascii="游ゴシック" w:hAnsi="游ゴシック" w:eastAsia="游ゴシック"/>
            <w:sz w:val="20"/>
          </w:rPr>
          <w:instrText xml:space="preserve"> PAGEREF _Toc_004 \h </w:instrText>
        </w:r>
        <w:r>
          <w:rPr>
            <w:rFonts w:ascii="游ゴシック" w:hAnsi="游ゴシック" w:eastAsia="游ゴシック"/>
            <w:sz w:val="20"/>
          </w:rPr>
          <w:fldChar w:fldCharType="separate"/>
        </w:r>
        <w:r>
          <w:rPr>
            <w:rFonts w:ascii="游ゴシック" w:hAnsi="游ゴシック" w:eastAsia="游ゴシック"/>
            <w:b/>
            <w:sz w:val="20"/>
          </w:rPr>
          <w:t xml:space="preserve">－</w:t>
        </w:r>
        <w:r>
          <w:rPr>
            <w:rFonts w:ascii="游ゴシック" w:hAnsi="游ゴシック" w:eastAsia="游ゴシック"/>
            <w:sz w:val="20"/>
          </w:rPr>
          <w:fldChar w:fldCharType="end"/>
        </w:r>
      </w:hyperlink>
    </w:p>
    <w:p>
      <w:pPr>
        <w:tabs>
          <w:tab w:pos="9751" w:val="right" w:leader="dot"/>
        </w:tabs>
        <w:spacing w:before="20" w:after="20" w:line="252" w:lineRule="auto"/>
        <w:ind w:left="0"/>
      </w:pPr>
      <w:hyperlink w:anchor="_Toc_005">
        <w:r>
          <w:rPr>
            <w:rFonts w:ascii="游ゴシック" w:hAnsi="游ゴシック" w:eastAsia="游ゴシック"/>
            <w:b/>
            <w:sz w:val="22"/>
          </w:rPr>
          <w:t xml:space="preserve">5　在宅医療の4つの機能と、本町の4つの場面</w:t>
        </w:r>
        <w:r>
          <w:rPr>
            <w:rFonts w:ascii="游ゴシック" w:hAnsi="游ゴシック" w:eastAsia="游ゴシック"/>
            <w:sz w:val="20"/>
          </w:rPr>
          <w:tab/>
        </w:r>
        <w:r>
          <w:rPr>
            <w:rFonts w:ascii="游ゴシック" w:hAnsi="游ゴシック" w:eastAsia="游ゴシック"/>
            <w:sz w:val="20"/>
          </w:rPr>
          <w:fldChar w:fldCharType="begin"/>
        </w:r>
        <w:r>
          <w:rPr>
            <w:rFonts w:ascii="游ゴシック" w:hAnsi="游ゴシック" w:eastAsia="游ゴシック"/>
            <w:sz w:val="20"/>
          </w:rPr>
          <w:instrText xml:space="preserve"> PAGEREF _Toc_005 \h </w:instrText>
        </w:r>
        <w:r>
          <w:rPr>
            <w:rFonts w:ascii="游ゴシック" w:hAnsi="游ゴシック" w:eastAsia="游ゴシック"/>
            <w:sz w:val="20"/>
          </w:rPr>
          <w:fldChar w:fldCharType="separate"/>
        </w:r>
        <w:r>
          <w:rPr>
            <w:rFonts w:ascii="游ゴシック" w:hAnsi="游ゴシック" w:eastAsia="游ゴシック"/>
            <w:b/>
            <w:sz w:val="20"/>
          </w:rPr>
          <w:t xml:space="preserve">－</w:t>
        </w:r>
        <w:r>
          <w:rPr>
            <w:rFonts w:ascii="游ゴシック" w:hAnsi="游ゴシック" w:eastAsia="游ゴシック"/>
            <w:sz w:val="20"/>
          </w:rPr>
          <w:fldChar w:fldCharType="end"/>
        </w:r>
      </w:hyperlink>
    </w:p>
    <w:p>
      <w:pPr>
        <w:tabs>
          <w:tab w:pos="9751" w:val="right" w:leader="dot"/>
        </w:tabs>
        <w:spacing w:before="0" w:after="0" w:line="252" w:lineRule="auto"/>
        <w:ind w:left="510"/>
      </w:pPr>
      <w:hyperlink w:anchor="_Toc_006">
        <w:r>
          <w:rPr>
            <w:rFonts w:ascii="游ゴシック" w:hAnsi="游ゴシック" w:eastAsia="游ゴシック"/>
            <w:sz w:val="20"/>
          </w:rPr>
          <w:t xml:space="preserve">5-1　県の指標</w:t>
        </w:r>
        <w:r>
          <w:rPr>
            <w:rFonts w:ascii="游ゴシック" w:hAnsi="游ゴシック" w:eastAsia="游ゴシック"/>
            <w:sz w:val="20"/>
          </w:rPr>
          <w:tab/>
        </w:r>
        <w:r>
          <w:rPr>
            <w:rFonts w:ascii="游ゴシック" w:hAnsi="游ゴシック" w:eastAsia="游ゴシック"/>
            <w:sz w:val="20"/>
          </w:rPr>
          <w:fldChar w:fldCharType="begin"/>
        </w:r>
        <w:r>
          <w:rPr>
            <w:rFonts w:ascii="游ゴシック" w:hAnsi="游ゴシック" w:eastAsia="游ゴシック"/>
            <w:sz w:val="20"/>
          </w:rPr>
          <w:instrText xml:space="preserve"> PAGEREF _Toc_006 \h </w:instrText>
        </w:r>
        <w:r>
          <w:rPr>
            <w:rFonts w:ascii="游ゴシック" w:hAnsi="游ゴシック" w:eastAsia="游ゴシック"/>
            <w:sz w:val="20"/>
          </w:rPr>
          <w:fldChar w:fldCharType="separate"/>
        </w:r>
        <w:r>
          <w:rPr>
            <w:rFonts w:ascii="游ゴシック" w:hAnsi="游ゴシック" w:eastAsia="游ゴシック"/>
            <w:sz w:val="20"/>
          </w:rPr>
          <w:t xml:space="preserve">－</w:t>
        </w:r>
        <w:r>
          <w:rPr>
            <w:rFonts w:ascii="游ゴシック" w:hAnsi="游ゴシック" w:eastAsia="游ゴシック"/>
            <w:sz w:val="20"/>
          </w:rPr>
          <w:fldChar w:fldCharType="end"/>
        </w:r>
      </w:hyperlink>
    </w:p>
    <w:p>
      <w:pPr>
        <w:tabs>
          <w:tab w:pos="9751" w:val="right" w:leader="dot"/>
        </w:tabs>
        <w:spacing w:before="20" w:after="20" w:line="252" w:lineRule="auto"/>
        <w:ind w:left="0"/>
      </w:pPr>
      <w:hyperlink w:anchor="_Toc_007">
        <w:r>
          <w:rPr>
            <w:rFonts w:ascii="游ゴシック" w:hAnsi="游ゴシック" w:eastAsia="游ゴシック"/>
            <w:b/>
            <w:sz w:val="22"/>
          </w:rPr>
          <w:t xml:space="preserve">6　そのまま引けないこと</w:t>
        </w:r>
        <w:r>
          <w:rPr>
            <w:rFonts w:ascii="游ゴシック" w:hAnsi="游ゴシック" w:eastAsia="游ゴシック"/>
            <w:sz w:val="20"/>
          </w:rPr>
          <w:tab/>
        </w:r>
        <w:r>
          <w:rPr>
            <w:rFonts w:ascii="游ゴシック" w:hAnsi="游ゴシック" w:eastAsia="游ゴシック"/>
            <w:sz w:val="20"/>
          </w:rPr>
          <w:fldChar w:fldCharType="begin"/>
        </w:r>
        <w:r>
          <w:rPr>
            <w:rFonts w:ascii="游ゴシック" w:hAnsi="游ゴシック" w:eastAsia="游ゴシック"/>
            <w:sz w:val="20"/>
          </w:rPr>
          <w:instrText xml:space="preserve"> PAGEREF _Toc_007 \h </w:instrText>
        </w:r>
        <w:r>
          <w:rPr>
            <w:rFonts w:ascii="游ゴシック" w:hAnsi="游ゴシック" w:eastAsia="游ゴシック"/>
            <w:sz w:val="20"/>
          </w:rPr>
          <w:fldChar w:fldCharType="separate"/>
        </w:r>
        <w:r>
          <w:rPr>
            <w:rFonts w:ascii="游ゴシック" w:hAnsi="游ゴシック" w:eastAsia="游ゴシック"/>
            <w:b/>
            <w:sz w:val="20"/>
          </w:rPr>
          <w:t xml:space="preserve">－</w:t>
        </w:r>
        <w:r>
          <w:rPr>
            <w:rFonts w:ascii="游ゴシック" w:hAnsi="游ゴシック" w:eastAsia="游ゴシック"/>
            <w:sz w:val="20"/>
          </w:rPr>
          <w:fldChar w:fldCharType="end"/>
        </w:r>
      </w:hyperlink>
    </w:p>
    <w:p>
      <w:pPr>
        <w:tabs>
          <w:tab w:pos="9751" w:val="right" w:leader="dot"/>
        </w:tabs>
        <w:spacing w:before="20" w:after="20" w:line="252" w:lineRule="auto"/>
        <w:ind w:left="0"/>
      </w:pPr>
      <w:hyperlink w:anchor="_Toc_008">
        <w:r>
          <w:rPr>
            <w:rFonts w:ascii="游ゴシック" w:hAnsi="游ゴシック" w:eastAsia="游ゴシック"/>
            <w:b/>
            <w:sz w:val="22"/>
          </w:rPr>
          <w:t xml:space="preserve">7　照会</w:t>
        </w:r>
        <w:r>
          <w:rPr>
            <w:rFonts w:ascii="游ゴシック" w:hAnsi="游ゴシック" w:eastAsia="游ゴシック"/>
            <w:sz w:val="20"/>
          </w:rPr>
          <w:tab/>
        </w:r>
        <w:r>
          <w:rPr>
            <w:rFonts w:ascii="游ゴシック" w:hAnsi="游ゴシック" w:eastAsia="游ゴシック"/>
            <w:sz w:val="20"/>
          </w:rPr>
          <w:fldChar w:fldCharType="begin"/>
        </w:r>
        <w:r>
          <w:rPr>
            <w:rFonts w:ascii="游ゴシック" w:hAnsi="游ゴシック" w:eastAsia="游ゴシック"/>
            <w:sz w:val="20"/>
          </w:rPr>
          <w:instrText xml:space="preserve"> PAGEREF _Toc_008 \h </w:instrText>
        </w:r>
        <w:r>
          <w:rPr>
            <w:rFonts w:ascii="游ゴシック" w:hAnsi="游ゴシック" w:eastAsia="游ゴシック"/>
            <w:sz w:val="20"/>
          </w:rPr>
          <w:fldChar w:fldCharType="separate"/>
        </w:r>
        <w:r>
          <w:rPr>
            <w:rFonts w:ascii="游ゴシック" w:hAnsi="游ゴシック" w:eastAsia="游ゴシック"/>
            <w:b/>
            <w:sz w:val="20"/>
          </w:rPr>
          <w:t xml:space="preserve">－</w:t>
        </w:r>
        <w:r>
          <w:rPr>
            <w:rFonts w:ascii="游ゴシック" w:hAnsi="游ゴシック" w:eastAsia="游ゴシック"/>
            <w:sz w:val="20"/>
          </w:rPr>
          <w:fldChar w:fldCharType="end"/>
        </w:r>
      </w:hyperlink>
    </w:p>
    <w:p>
      <w:pPr>
        <w:sectPr>
          <w:headerReference w:type="default" r:id="rId9"/>
          <w:footerReference w:type="default" r:id="rId10"/>
          <w:pgSz w:w="11906" w:h="16838"/>
          <w:pgMar w:top="1134" w:right="1077" w:bottom="1134" w:left="1077" w:header="709" w:footer="709" w:gutter="0"/>
          <w:cols w:space="720"/>
          <w:docGrid w:linePitch="360"/>
        </w:sectPr>
      </w:pPr>
    </w:p>
    <w:p>
      <w:pPr>
        <w:pStyle w:val="Heading1"/>
        <w:keepNext/>
        <w:spacing w:before="240" w:after="100"/>
      </w:pPr>
      <w:bookmarkStart w:id="101" w:name="_Toc_001"/>
      <w:r>
        <w:rPr>
          <w:rFonts w:ascii="游ゴシック" w:hAnsi="游ゴシック" w:eastAsia="游ゴシック"/>
          <w:b/>
          <w:i w:val="0"/>
          <w:color w:val="2E74B5"/>
          <w:sz w:val="30"/>
        </w:rPr>
        <w:t>1　受領したもの</w:t>
      </w:r>
      <w:bookmarkEnd w:id="101"/>
    </w:p>
    <w:p>
      <w:pPr>
        <w:spacing w:before="60" w:after="60"/>
      </w:pPr>
      <w:r>
        <w:rPr>
          <w:rFonts w:ascii="游ゴシック" w:hAnsi="游ゴシック" w:eastAsia="游ゴシック"/>
          <w:b/>
          <w:i w:val="0"/>
          <w:sz w:val="21"/>
        </w:rPr>
        <w:t>前日の点検で照会Ｄ-7（最優先）としていたものです。</w:t>
      </w:r>
      <w:r>
        <w:rPr>
          <w:rFonts w:ascii="游ゴシック" w:hAnsi="游ゴシック" w:eastAsia="游ゴシック"/>
          <w:b w:val="0"/>
          <w:i w:val="0"/>
          <w:sz w:val="21"/>
        </w:rPr>
        <w:t xml:space="preserve"> 介護保険法が</w:t>
      </w:r>
      <w:r>
        <w:rPr>
          <w:rFonts w:ascii="游ゴシック" w:hAnsi="游ゴシック" w:eastAsia="游ゴシック"/>
          <w:b/>
          <w:i w:val="0"/>
          <w:sz w:val="21"/>
        </w:rPr>
        <w:t>整合性の確保</w:t>
      </w:r>
      <w:r>
        <w:rPr>
          <w:rFonts w:ascii="游ゴシック" w:hAnsi="游ゴシック" w:eastAsia="游ゴシック"/>
          <w:b w:val="0"/>
          <w:i w:val="0"/>
          <w:sz w:val="21"/>
        </w:rPr>
        <w:t>を求める相手方であり、調和ではなく整合です。</w:t>
      </w:r>
    </w:p>
    <w:p>
      <w:pPr>
        <w:keepNext/>
        <w:spacing w:before="200" w:after="40"/>
      </w:pPr>
      <w:r>
        <w:rPr>
          <w:rFonts w:ascii="游ゴシック" w:hAnsi="游ゴシック" w:eastAsia="游ゴシック"/>
          <w:b/>
          <w:i w:val="0"/>
          <w:color w:val="1F4D78"/>
          <w:sz w:val="22"/>
        </w:rPr>
        <w:t>【表1】受領した章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2E75B6"/>
          <w:left w:val="single" w:sz="4" w:space="0" w:color="BFBFBF"/>
          <w:bottom w:val="single" w:sz="6" w:space="0" w:color="2E75B6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</w:tblPr>
      <w:tblGrid>
        <w:gridCol w:w="1247"/>
        <w:gridCol w:w="6236"/>
        <w:gridCol w:w="2268"/>
      </w:tblGrid>
      <w:tr>
        <w:tc>
          <w:tcPr>
            <w:tcW w:type="dxa" w:w="1247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章</w:t>
            </w:r>
          </w:p>
        </w:tc>
        <w:tc>
          <w:tcPr>
            <w:tcW w:type="dxa" w:w="6236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内容</w:t>
            </w:r>
          </w:p>
        </w:tc>
        <w:tc>
          <w:tcPr>
            <w:tcW w:type="dxa" w:w="2268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分量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第1章</w:t>
            </w:r>
          </w:p>
        </w:tc>
        <w:tc>
          <w:tcPr>
            <w:tcW w:type="dxa" w:w="6236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計画策定にあたっての基本方針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17頁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第2章</w:t>
            </w:r>
          </w:p>
        </w:tc>
        <w:tc>
          <w:tcPr>
            <w:tcW w:type="dxa" w:w="6236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医療提供体制等の現状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10頁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第4章</w:t>
            </w:r>
          </w:p>
        </w:tc>
        <w:tc>
          <w:tcPr>
            <w:tcW w:type="dxa" w:w="6236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地域医療構想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2頁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第5章</w:t>
            </w:r>
          </w:p>
        </w:tc>
        <w:tc>
          <w:tcPr>
            <w:tcW w:type="dxa" w:w="6236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外来医療の体制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2頁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第6章</w:t>
            </w:r>
          </w:p>
        </w:tc>
        <w:tc>
          <w:tcPr>
            <w:tcW w:type="dxa" w:w="6236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東日本大震災・原子力災害からの復興・再生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10頁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第7章</w:t>
            </w:r>
          </w:p>
        </w:tc>
        <w:tc>
          <w:tcPr>
            <w:tcW w:type="dxa" w:w="6236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医療を支える人材の確保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26頁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第8章</w:t>
            </w:r>
          </w:p>
        </w:tc>
        <w:tc>
          <w:tcPr>
            <w:tcW w:type="dxa" w:w="6236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5疾病・6事業及び在宅医療の体制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180頁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第9章</w:t>
            </w:r>
          </w:p>
        </w:tc>
        <w:tc>
          <w:tcPr>
            <w:tcW w:type="dxa" w:w="6236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その他主要な分野の医療体制（認知症対策を含む）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55頁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第11章</w:t>
            </w:r>
          </w:p>
        </w:tc>
        <w:tc>
          <w:tcPr>
            <w:tcW w:type="dxa" w:w="6236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医療の安全の確保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15頁</w:t>
            </w:r>
          </w:p>
        </w:tc>
      </w:tr>
      <w:tr>
        <w:tc>
          <w:tcPr>
            <w:tcW w:type="dxa" w:w="1247"/>
            <w:vAlign w:val="center"/>
          </w:tcPr>
          <w:p>
            <w:pPr>
              <w:keepNext/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第12章</w:t>
            </w:r>
          </w:p>
        </w:tc>
        <w:tc>
          <w:tcPr>
            <w:tcW w:type="dxa" w:w="6236"/>
            <w:vAlign w:val="center"/>
          </w:tcPr>
          <w:p>
            <w:pPr>
              <w:keepNext/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圏域別の取組（第2節 県中医療圏）</w:t>
            </w:r>
          </w:p>
        </w:tc>
        <w:tc>
          <w:tcPr>
            <w:tcW w:type="dxa" w:w="2268"/>
            <w:vAlign w:val="center"/>
          </w:tcPr>
          <w:p>
            <w:pPr>
              <w:keepNext/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40頁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資料編</w:t>
            </w:r>
          </w:p>
        </w:tc>
        <w:tc>
          <w:tcPr>
            <w:tcW w:type="dxa" w:w="6236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医療に関する相談窓口、用語索引、策定経過、委員等名簿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20頁</w:t>
            </w:r>
          </w:p>
        </w:tc>
      </w:tr>
    </w:tbl>
    <w:p>
      <w:pPr>
        <w:spacing w:after="40"/>
      </w:pPr>
    </w:p>
    <w:p>
      <w:pPr>
        <w:spacing w:before="40" w:after="160"/>
        <w:ind w:left="113"/>
      </w:pPr>
      <w:r>
        <w:rPr>
          <w:rFonts w:ascii="游ゴシック" w:hAnsi="游ゴシック" w:eastAsia="游ゴシック"/>
          <w:b w:val="0"/>
          <w:i w:val="0"/>
          <w:sz w:val="17"/>
        </w:rPr>
        <w:t>資料：福島県保健医療計画（第八次・令和6年度〜令和11年度）。令和8年10月15日受領。</w:t>
      </w:r>
    </w:p>
    <w:p>
      <w:pPr>
        <w:spacing w:before="60" w:after="60"/>
      </w:pPr>
      <w:r>
        <w:rPr>
          <w:rFonts w:ascii="游ゴシック" w:hAnsi="游ゴシック" w:eastAsia="游ゴシック"/>
          <w:b/>
          <w:i w:val="0"/>
          <w:sz w:val="21"/>
        </w:rPr>
        <w:t>計画期間は令和6年度から令和11年度までで、本計画期間（令和9〜11年度）を包含します。</w:t>
      </w:r>
      <w:r>
        <w:rPr>
          <w:rFonts w:ascii="游ゴシック" w:hAnsi="游ゴシック" w:eastAsia="游ゴシック"/>
          <w:b w:val="0"/>
          <w:i w:val="0"/>
          <w:sz w:val="21"/>
        </w:rPr>
        <w:t>県高齢者居住安定確保計画と違い、</w:t>
      </w:r>
      <w:r>
        <w:rPr>
          <w:rFonts w:ascii="游ゴシック" w:hAnsi="游ゴシック" w:eastAsia="游ゴシック"/>
          <w:b/>
          <w:i w:val="0"/>
          <w:sz w:val="21"/>
        </w:rPr>
        <w:t>こちらはそのまま使えます。</w:t>
      </w:r>
    </w:p>
    <w:p>
      <w:pPr>
        <w:pStyle w:val="Heading1"/>
        <w:keepNext/>
        <w:spacing w:before="240" w:after="100"/>
      </w:pPr>
      <w:bookmarkStart w:id="102" w:name="_Toc_002"/>
      <w:r>
        <w:rPr>
          <w:rFonts w:ascii="游ゴシック" w:hAnsi="游ゴシック" w:eastAsia="游ゴシック"/>
          <w:b/>
          <w:i w:val="0"/>
          <w:color w:val="2E74B5"/>
          <w:sz w:val="30"/>
        </w:rPr>
        <w:t>2　本町は県中医療圏に属する</w:t>
      </w:r>
      <w:bookmarkEnd w:id="102"/>
    </w:p>
    <w:p>
      <w:pPr>
        <w:keepNext/>
        <w:spacing w:before="200" w:after="40"/>
      </w:pPr>
      <w:r>
        <w:rPr>
          <w:rFonts w:ascii="游ゴシック" w:hAnsi="游ゴシック" w:eastAsia="游ゴシック"/>
          <w:b/>
          <w:i w:val="0"/>
          <w:color w:val="1F4D78"/>
          <w:sz w:val="22"/>
        </w:rPr>
        <w:t>【表2】県中医療圏の概況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2E75B6"/>
          <w:left w:val="single" w:sz="4" w:space="0" w:color="BFBFBF"/>
          <w:bottom w:val="single" w:sz="6" w:space="0" w:color="2E75B6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</w:tblPr>
      <w:tblGrid>
        <w:gridCol w:w="2494"/>
        <w:gridCol w:w="7257"/>
      </w:tblGrid>
      <w:tr>
        <w:tc>
          <w:tcPr>
            <w:tcW w:type="dxa" w:w="2494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項目</w:t>
            </w:r>
          </w:p>
        </w:tc>
        <w:tc>
          <w:tcPr>
            <w:tcW w:type="dxa" w:w="7257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内容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構成市町村</w:t>
            </w:r>
          </w:p>
        </w:tc>
        <w:tc>
          <w:tcPr>
            <w:tcW w:type="dxa" w:w="7257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郡山市、須賀川市、田村市、鏡石町、天栄村、石川町、玉川村、平田村、浅川町、古殿町、三春町、</w:t>
            </w: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小野町</w:t>
            </w: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（3市9町村）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管轄保健所</w:t>
            </w:r>
          </w:p>
        </w:tc>
        <w:tc>
          <w:tcPr>
            <w:tcW w:type="dxa" w:w="7257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福島県県中保健所、郡山市保健所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面積</w:t>
            </w:r>
          </w:p>
        </w:tc>
        <w:tc>
          <w:tcPr>
            <w:tcW w:type="dxa" w:w="7257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2,406.25k㎡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人口（圏域計）</w:t>
            </w:r>
          </w:p>
        </w:tc>
        <w:tc>
          <w:tcPr>
            <w:tcW w:type="dxa" w:w="7257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505,512人。65歳以上152,798人（30.8％）。うち75歳以上76,915人（15.5％）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人口密度</w:t>
            </w:r>
          </w:p>
        </w:tc>
        <w:tc>
          <w:tcPr>
            <w:tcW w:type="dxa" w:w="7257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210.1人／k㎡（県平均128.2人／k㎡）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病院</w:t>
            </w:r>
          </w:p>
        </w:tc>
        <w:tc>
          <w:tcPr>
            <w:tcW w:type="dxa" w:w="7257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32施設。</w:t>
            </w: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本町には公立小野町地方綜合病院がある</w:t>
            </w:r>
          </w:p>
        </w:tc>
      </w:tr>
      <w:tr>
        <w:tc>
          <w:tcPr>
            <w:tcW w:type="dxa" w:w="2494"/>
            <w:vAlign w:val="center"/>
          </w:tcPr>
          <w:p>
            <w:pPr>
              <w:keepNext/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療養病床</w:t>
            </w:r>
          </w:p>
        </w:tc>
        <w:tc>
          <w:tcPr>
            <w:tcW w:type="dxa" w:w="7257"/>
            <w:vAlign w:val="center"/>
          </w:tcPr>
          <w:p>
            <w:pPr>
              <w:keepNext/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765床（人口10万対149.8。県平均168.7）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在宅療養支援病院・診療所</w:t>
            </w:r>
          </w:p>
        </w:tc>
        <w:tc>
          <w:tcPr>
            <w:tcW w:type="dxa" w:w="7257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圏域59か所。</w:t>
            </w: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本町は2か所</w:t>
            </w: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（令和3年3月31日現在）</w:t>
            </w:r>
          </w:p>
        </w:tc>
      </w:tr>
    </w:tbl>
    <w:p>
      <w:pPr>
        <w:spacing w:after="40"/>
      </w:pPr>
    </w:p>
    <w:p>
      <w:pPr>
        <w:spacing w:before="40" w:after="160"/>
        <w:ind w:left="113"/>
      </w:pPr>
      <w:r>
        <w:rPr>
          <w:rFonts w:ascii="游ゴシック" w:hAnsi="游ゴシック" w:eastAsia="游ゴシック"/>
          <w:b w:val="0"/>
          <w:i w:val="0"/>
          <w:sz w:val="17"/>
        </w:rPr>
        <w:t>資料：県計画 第12章第2節 県中医療圏「圏域の基礎データ」ほか。在宅療養支援病院・診療所は図表12−2−8（令和3年3月31日現在）、病院一覧は同節（令和5年9月30日現在）による。</w:t>
      </w:r>
    </w:p>
    <w:p>
      <w:pPr>
        <w:pStyle w:val="Heading1"/>
        <w:keepNext/>
        <w:spacing w:before="240" w:after="100"/>
      </w:pPr>
      <w:bookmarkStart w:id="103" w:name="_Toc_003"/>
      <w:r>
        <w:rPr>
          <w:rFonts w:ascii="游ゴシック" w:hAnsi="游ゴシック" w:eastAsia="游ゴシック"/>
          <w:b/>
          <w:i w:val="0"/>
          <w:color w:val="2E74B5"/>
          <w:sz w:val="30"/>
        </w:rPr>
        <w:t>3　素案の訂正</w:t>
      </w:r>
      <w:bookmarkEnd w:id="103"/>
    </w:p>
    <w:p>
      <w:pPr>
        <w:spacing w:before="60" w:after="60"/>
      </w:pPr>
      <w:r>
        <w:rPr>
          <w:rFonts w:ascii="游ゴシック" w:hAnsi="游ゴシック" w:eastAsia="游ゴシック"/>
          <w:b/>
          <w:i w:val="0"/>
          <w:sz w:val="21"/>
        </w:rPr>
        <w:t>県計画により、素案の記述に誤りが1件見つかりました。</w:t>
      </w:r>
    </w:p>
    <w:p>
      <w:pPr>
        <w:pStyle w:val="Heading3"/>
        <w:keepNext/>
        <w:spacing w:before="180" w:after="80"/>
      </w:pPr>
      <w:r>
        <w:rPr>
          <w:rFonts w:ascii="游ゴシック" w:hAnsi="游ゴシック" w:eastAsia="游ゴシック"/>
          <w:b/>
          <w:i w:val="0"/>
          <w:color w:val="1F4D78"/>
          <w:sz w:val="22"/>
        </w:rPr>
        <w:t>素案 第6章2　勘案事項の表（医療と介護の連携の状況）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2E75B6"/>
          <w:left w:val="single" w:sz="4" w:space="0" w:color="BFBFBF"/>
          <w:bottom w:val="single" w:sz="6" w:space="0" w:color="2E75B6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</w:tblPr>
      <w:tblGrid>
        <w:gridCol w:w="1701"/>
        <w:gridCol w:w="8050"/>
      </w:tblGrid>
      <w:tr>
        <w:tc>
          <w:tcPr>
            <w:tcW w:type="dxa" w:w="1701"/>
            <w:shd w:val="clear" w:fill="1F3864"/>
            <w:vAlign w:val="center"/>
          </w:tcPr>
          <w:p>
            <w:pPr>
              <w:spacing w:before="20" w:after="20"/>
              <w:jc w:val="center"/>
            </w:pPr>
          </w:p>
        </w:tc>
        <w:tc>
          <w:tcPr>
            <w:tcW w:type="dxa" w:w="8050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内容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素案の記述</w:t>
            </w:r>
          </w:p>
        </w:tc>
        <w:tc>
          <w:tcPr>
            <w:tcW w:type="dxa" w:w="805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「</w:t>
            </w: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町内に病院はなく、</w:t>
            </w: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診療所と訪問看護1か所により在宅療養を支えています」</w:t>
            </w:r>
          </w:p>
        </w:tc>
      </w:tr>
      <w:tr>
        <w:tc>
          <w:tcPr>
            <w:tcW w:type="dxa" w:w="1701"/>
            <w:vAlign w:val="center"/>
          </w:tcPr>
          <w:p>
            <w:pPr>
              <w:keepNext/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判定</w:t>
            </w:r>
          </w:p>
        </w:tc>
        <w:tc>
          <w:tcPr>
            <w:tcW w:type="dxa" w:w="8050"/>
            <w:vAlign w:val="center"/>
          </w:tcPr>
          <w:p>
            <w:pPr>
              <w:keepNext/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誤り。</w:t>
            </w: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 xml:space="preserve"> 県の保健医療計画は、第12章第2節の圏域内の病院一覧に</w:t>
            </w: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公立小野町地方綜合病院</w:t>
            </w: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を掲げている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経緯</w:t>
            </w:r>
          </w:p>
        </w:tc>
        <w:tc>
          <w:tcPr>
            <w:tcW w:type="dxa" w:w="805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素案自身が他の4か所で同院に触れており、内部で食い違っていた。</w:t>
            </w: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第1章5（日常生活圏域）では「役場、公立小野町地方綜合病院、保健センター、地域包括支援センターはいずれも中心部にある」と書いている。</w:t>
            </w: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第6章2を直した</w:t>
            </w:r>
          </w:p>
        </w:tc>
      </w:tr>
    </w:tbl>
    <w:p>
      <w:pPr>
        <w:spacing w:after="40"/>
      </w:pPr>
    </w:p>
    <w:p>
      <w:pPr>
        <w:spacing w:before="60" w:after="60"/>
      </w:pPr>
      <w:r>
        <w:rPr>
          <w:rFonts w:ascii="游ゴシック" w:hAnsi="游ゴシック" w:eastAsia="游ゴシック"/>
          <w:b/>
          <w:i w:val="0"/>
          <w:sz w:val="21"/>
        </w:rPr>
        <w:t>本町には病院があります。</w:t>
      </w:r>
      <w:r>
        <w:rPr>
          <w:rFonts w:ascii="游ゴシック" w:hAnsi="游ゴシック" w:eastAsia="游ゴシック"/>
          <w:b w:val="0"/>
          <w:i w:val="0"/>
          <w:sz w:val="21"/>
        </w:rPr>
        <w:t xml:space="preserve"> 第6章2は「町内に病院はなく」を改め、</w:t>
      </w:r>
      <w:r>
        <w:rPr>
          <w:rFonts w:ascii="游ゴシック" w:hAnsi="游ゴシック" w:eastAsia="游ゴシック"/>
          <w:b/>
          <w:i w:val="0"/>
          <w:sz w:val="21"/>
        </w:rPr>
        <w:t>公立小野町地方綜合病院があること、在宅療養支援病院・診療所が町内に2か所あること</w:t>
      </w:r>
      <w:r>
        <w:rPr>
          <w:rFonts w:ascii="游ゴシック" w:hAnsi="游ゴシック" w:eastAsia="游ゴシック"/>
          <w:b w:val="0"/>
          <w:i w:val="0"/>
          <w:sz w:val="21"/>
        </w:rPr>
        <w:t>を書きました。</w:t>
      </w:r>
    </w:p>
    <w:p>
      <w:pPr>
        <w:pStyle w:val="Heading1"/>
        <w:keepNext/>
        <w:spacing w:before="240" w:after="100"/>
      </w:pPr>
      <w:bookmarkStart w:id="104" w:name="_Toc_004"/>
      <w:r>
        <w:rPr>
          <w:rFonts w:ascii="游ゴシック" w:hAnsi="游ゴシック" w:eastAsia="游ゴシック"/>
          <w:b/>
          <w:i w:val="0"/>
          <w:color w:val="2E74B5"/>
          <w:sz w:val="30"/>
        </w:rPr>
        <w:t>4　整合性の確保 ― 国の通知が求める3つの資源</w:t>
      </w:r>
      <w:bookmarkEnd w:id="104"/>
    </w:p>
    <w:p>
      <w:pPr>
        <w:spacing w:before="60" w:after="60"/>
      </w:pPr>
      <w:r>
        <w:rPr>
          <w:rFonts w:ascii="游ゴシック" w:hAnsi="游ゴシック" w:eastAsia="游ゴシック"/>
          <w:b/>
          <w:i w:val="0"/>
          <w:sz w:val="21"/>
        </w:rPr>
        <w:t>「医療計画及び介護保険事業（支援）計画における整備目標及びサービスの量の見込みに係る整合性の確保について」（令和8年7月14日付け3課長連名通知）</w:t>
      </w:r>
      <w:r>
        <w:rPr>
          <w:rFonts w:ascii="游ゴシック" w:hAnsi="游ゴシック" w:eastAsia="游ゴシック"/>
          <w:b w:val="0"/>
          <w:i w:val="0"/>
          <w:sz w:val="21"/>
        </w:rPr>
        <w:t>は、慢性期の医療需要について</w:t>
      </w:r>
      <w:r>
        <w:rPr>
          <w:rFonts w:ascii="游ゴシック" w:hAnsi="游ゴシック" w:eastAsia="游ゴシック"/>
          <w:b/>
          <w:i w:val="0"/>
          <w:sz w:val="21"/>
        </w:rPr>
        <w:t>療養病床数・介護保険施設定員数・在宅医療を提供している医療機関数等</w:t>
      </w:r>
      <w:r>
        <w:rPr>
          <w:rFonts w:ascii="游ゴシック" w:hAnsi="游ゴシック" w:eastAsia="游ゴシック"/>
          <w:b w:val="0"/>
          <w:i w:val="0"/>
          <w:sz w:val="21"/>
        </w:rPr>
        <w:t>を踏まえて地域の資源を確認することを求めています。</w:t>
      </w:r>
    </w:p>
    <w:p>
      <w:pPr>
        <w:spacing w:before="60" w:after="60"/>
      </w:pPr>
      <w:r>
        <w:rPr>
          <w:rFonts w:ascii="游ゴシック" w:hAnsi="游ゴシック" w:eastAsia="游ゴシック"/>
          <w:b/>
          <w:i w:val="0"/>
          <w:sz w:val="21"/>
        </w:rPr>
        <w:t>3つとも県計画で取れました。</w:t>
      </w:r>
    </w:p>
    <w:p>
      <w:pPr>
        <w:keepNext/>
        <w:spacing w:before="200" w:after="40"/>
      </w:pPr>
      <w:r>
        <w:rPr>
          <w:rFonts w:ascii="游ゴシック" w:hAnsi="游ゴシック" w:eastAsia="游ゴシック"/>
          <w:b/>
          <w:i w:val="0"/>
          <w:color w:val="1F4D78"/>
          <w:sz w:val="22"/>
        </w:rPr>
        <w:t>【表3】国の通知が求める3つの資源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2E75B6"/>
          <w:left w:val="single" w:sz="4" w:space="0" w:color="BFBFBF"/>
          <w:bottom w:val="single" w:sz="6" w:space="0" w:color="2E75B6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</w:tblPr>
      <w:tblGrid>
        <w:gridCol w:w="1928"/>
        <w:gridCol w:w="2835"/>
        <w:gridCol w:w="2494"/>
        <w:gridCol w:w="2494"/>
      </w:tblGrid>
      <w:tr>
        <w:tc>
          <w:tcPr>
            <w:tcW w:type="dxa" w:w="1928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通知が求める資源</w:t>
            </w:r>
          </w:p>
        </w:tc>
        <w:tc>
          <w:tcPr>
            <w:tcW w:type="dxa" w:w="2835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県計画の値</w:t>
            </w:r>
          </w:p>
        </w:tc>
        <w:tc>
          <w:tcPr>
            <w:tcW w:type="dxa" w:w="2494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出所</w:t>
            </w:r>
          </w:p>
        </w:tc>
        <w:tc>
          <w:tcPr>
            <w:tcW w:type="dxa" w:w="2494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見方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療養病床数</w:t>
            </w:r>
          </w:p>
        </w:tc>
        <w:tc>
          <w:tcPr>
            <w:tcW w:type="dxa" w:w="2835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県中医療圏 765床</w:t>
            </w: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（人口10万対149.8。県平均168.7）</w:t>
            </w:r>
          </w:p>
        </w:tc>
        <w:tc>
          <w:tcPr>
            <w:tcW w:type="dxa" w:w="249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県計画 第12章第2節 圏域の基礎データ</w:t>
            </w:r>
          </w:p>
        </w:tc>
        <w:tc>
          <w:tcPr>
            <w:tcW w:type="dxa" w:w="249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県平均より少ない。</w:t>
            </w: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 xml:space="preserve"> 慢性期の受け皿が相対的に薄い</w:t>
            </w:r>
          </w:p>
        </w:tc>
      </w:tr>
      <w:tr>
        <w:tc>
          <w:tcPr>
            <w:tcW w:type="dxa" w:w="1928"/>
            <w:vAlign w:val="center"/>
          </w:tcPr>
          <w:p>
            <w:pPr>
              <w:keepNext/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介護保険施設定員数</w:t>
            </w:r>
          </w:p>
        </w:tc>
        <w:tc>
          <w:tcPr>
            <w:tcW w:type="dxa" w:w="2835"/>
            <w:vAlign w:val="center"/>
          </w:tcPr>
          <w:p>
            <w:pPr>
              <w:keepNext/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本町：介護老人福祉施設54人、認知症対応型共同生活介護53人ほか</w:t>
            </w:r>
          </w:p>
        </w:tc>
        <w:tc>
          <w:tcPr>
            <w:tcW w:type="dxa" w:w="2494"/>
            <w:vAlign w:val="center"/>
          </w:tcPr>
          <w:p>
            <w:pPr>
              <w:keepNext/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県計画 第12章第2節 図表12−2−9（令和4年時点・見える化システム）</w:t>
            </w:r>
          </w:p>
        </w:tc>
        <w:tc>
          <w:tcPr>
            <w:tcW w:type="dxa" w:w="2494"/>
            <w:vAlign w:val="center"/>
          </w:tcPr>
          <w:p>
            <w:pPr>
              <w:keepNext/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素案 第2章5の数値と分類・年次が異なる。</w:t>
            </w: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断定せず、分類の取り方を確かめる（照会Ｅ-2）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在宅医療を提供している医療機関数</w:t>
            </w:r>
          </w:p>
        </w:tc>
        <w:tc>
          <w:tcPr>
            <w:tcW w:type="dxa" w:w="2835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本町：在宅療養支援病院・診療所2か所</w:t>
            </w: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（圏域59か所）</w:t>
            </w:r>
          </w:p>
        </w:tc>
        <w:tc>
          <w:tcPr>
            <w:tcW w:type="dxa" w:w="249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県計画 第12章第2節 図表12−2−8（令和3年3月31日現在）</w:t>
            </w:r>
          </w:p>
        </w:tc>
        <w:tc>
          <w:tcPr>
            <w:tcW w:type="dxa" w:w="249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素案に記載がなかった。</w:t>
            </w: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 xml:space="preserve"> 第2章5・第6章2に加えられる</w:t>
            </w:r>
          </w:p>
        </w:tc>
      </w:tr>
    </w:tbl>
    <w:p>
      <w:pPr>
        <w:spacing w:after="40"/>
      </w:pPr>
    </w:p>
    <w:p>
      <w:pPr>
        <w:spacing w:before="60" w:after="60"/>
      </w:pPr>
      <w:r>
        <w:rPr>
          <w:rFonts w:ascii="游ゴシック" w:hAnsi="游ゴシック" w:eastAsia="游ゴシック"/>
          <w:b/>
          <w:i w:val="0"/>
          <w:sz w:val="21"/>
        </w:rPr>
        <w:t>療養病床は人口10万対149.8で、県平均168.7を下回ります。</w:t>
      </w:r>
      <w:r>
        <w:rPr>
          <w:rFonts w:ascii="游ゴシック" w:hAnsi="游ゴシック" w:eastAsia="游ゴシック"/>
          <w:b w:val="0"/>
          <w:i w:val="0"/>
          <w:sz w:val="21"/>
        </w:rPr>
        <w:t>慢性期の受け皿が相対的に薄い圏域です。</w:t>
      </w:r>
      <w:r>
        <w:rPr>
          <w:rFonts w:ascii="游ゴシック" w:hAnsi="游ゴシック" w:eastAsia="游ゴシック"/>
          <w:b/>
          <w:i w:val="0"/>
          <w:sz w:val="21"/>
        </w:rPr>
        <w:t>本計画の見込量が在宅サービスの利用を増やさない置き方であることとは、方向が逆になります。</w:t>
      </w:r>
      <w:r>
        <w:rPr>
          <w:rFonts w:ascii="游ゴシック" w:hAnsi="游ゴシック" w:eastAsia="游ゴシック"/>
          <w:b w:val="0"/>
          <w:i w:val="0"/>
          <w:sz w:val="21"/>
        </w:rPr>
        <w:t xml:space="preserve"> 第6章2でこの点に触れます。</w:t>
      </w:r>
    </w:p>
    <w:p>
      <w:pPr>
        <w:pStyle w:val="Heading1"/>
        <w:keepNext/>
        <w:spacing w:before="240" w:after="100"/>
      </w:pPr>
      <w:bookmarkStart w:id="105" w:name="_Toc_005"/>
      <w:r>
        <w:rPr>
          <w:rFonts w:ascii="游ゴシック" w:hAnsi="游ゴシック" w:eastAsia="游ゴシック"/>
          <w:b/>
          <w:i w:val="0"/>
          <w:color w:val="2E74B5"/>
          <w:sz w:val="30"/>
        </w:rPr>
        <w:t>5　在宅医療の4つの機能と、本町の4つの場面</w:t>
      </w:r>
      <w:bookmarkEnd w:id="105"/>
    </w:p>
    <w:p>
      <w:pPr>
        <w:spacing w:before="60" w:after="60"/>
      </w:pPr>
      <w:r>
        <w:rPr>
          <w:rFonts w:ascii="游ゴシック" w:hAnsi="游ゴシック" w:eastAsia="游ゴシック"/>
          <w:b/>
          <w:i w:val="0"/>
          <w:sz w:val="21"/>
        </w:rPr>
        <w:t>県計画の在宅医療の節は、本町の第5章 基本目標2⑦の4つの場面と対応しています。</w:t>
      </w:r>
      <w:r>
        <w:rPr>
          <w:rFonts w:ascii="游ゴシック" w:hAnsi="游ゴシック" w:eastAsia="游ゴシック"/>
          <w:b w:val="0"/>
          <w:i w:val="0"/>
          <w:sz w:val="21"/>
        </w:rPr>
        <w:t xml:space="preserve"> 照会Ｂ-5（4つの場面の目指すべき姿）を書く手がかりになります。</w:t>
      </w:r>
    </w:p>
    <w:p>
      <w:pPr>
        <w:keepNext/>
        <w:spacing w:before="200" w:after="40"/>
      </w:pPr>
      <w:r>
        <w:rPr>
          <w:rFonts w:ascii="游ゴシック" w:hAnsi="游ゴシック" w:eastAsia="游ゴシック"/>
          <w:b/>
          <w:i w:val="0"/>
          <w:color w:val="1F4D78"/>
          <w:sz w:val="22"/>
        </w:rPr>
        <w:t>【表4】在宅医療の4つの機能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2E75B6"/>
          <w:left w:val="single" w:sz="4" w:space="0" w:color="BFBFBF"/>
          <w:bottom w:val="single" w:sz="6" w:space="0" w:color="2E75B6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</w:tblPr>
      <w:tblGrid>
        <w:gridCol w:w="1361"/>
        <w:gridCol w:w="4762"/>
        <w:gridCol w:w="3628"/>
      </w:tblGrid>
      <w:tr>
        <w:tc>
          <w:tcPr>
            <w:tcW w:type="dxa" w:w="1361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場面</w:t>
            </w:r>
          </w:p>
        </w:tc>
        <w:tc>
          <w:tcPr>
            <w:tcW w:type="dxa" w:w="4762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県計画が挙げる取組</w:t>
            </w:r>
          </w:p>
        </w:tc>
        <w:tc>
          <w:tcPr>
            <w:tcW w:type="dxa" w:w="3628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本町での当たり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退院支援</w:t>
            </w:r>
          </w:p>
        </w:tc>
        <w:tc>
          <w:tcPr>
            <w:tcW w:type="dxa" w:w="4762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入退院時の医療機関と介護関係者の連携</w:t>
            </w:r>
          </w:p>
        </w:tc>
        <w:tc>
          <w:tcPr>
            <w:tcW w:type="dxa" w:w="362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第5章 基本目標2⑦</w:t>
            </w: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。交付金評価指標 目標Ⅲ−（ⅰ）−1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日常の療養支援</w:t>
            </w:r>
          </w:p>
        </w:tc>
        <w:tc>
          <w:tcPr>
            <w:tcW w:type="dxa" w:w="4762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多職種協働による患者・家族の生活を支える観点からの医療の提供。</w:t>
            </w: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障害福祉サービス、家族の心身の負担軽減につながるサービスに関する情報を適切に紹介できる体制の整備</w:t>
            </w:r>
          </w:p>
        </w:tc>
        <w:tc>
          <w:tcPr>
            <w:tcW w:type="dxa" w:w="362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同上。</w:t>
            </w: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障がい福祉との接点が県計画にも書かれている</w:t>
            </w:r>
          </w:p>
        </w:tc>
      </w:tr>
      <w:tr>
        <w:tc>
          <w:tcPr>
            <w:tcW w:type="dxa" w:w="1361"/>
            <w:vAlign w:val="center"/>
          </w:tcPr>
          <w:p>
            <w:pPr>
              <w:keepNext/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急変時の対応</w:t>
            </w:r>
          </w:p>
        </w:tc>
        <w:tc>
          <w:tcPr>
            <w:tcW w:type="dxa" w:w="4762"/>
            <w:vAlign w:val="center"/>
          </w:tcPr>
          <w:p>
            <w:pPr>
              <w:keepNext/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患者の急変時に受入を担う入院医療機関と、在宅医療を担う医療機関、訪問看護事業所等、介護関係者、消防との連携体制の構築</w:t>
            </w:r>
          </w:p>
        </w:tc>
        <w:tc>
          <w:tcPr>
            <w:tcW w:type="dxa" w:w="3628"/>
            <w:vAlign w:val="center"/>
          </w:tcPr>
          <w:p>
            <w:pPr>
              <w:keepNext/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同上。</w:t>
            </w: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消防が入っている点は素案にない視点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看取り</w:t>
            </w:r>
          </w:p>
        </w:tc>
        <w:tc>
          <w:tcPr>
            <w:tcW w:type="dxa" w:w="4762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アドバンス・ケア・プランニング（ＡＣＰ）の普及啓発</w:t>
            </w: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（エンディングノートの作成や人生会議の実施）。患者が望む場所での看取りを行う体制の構築</w:t>
            </w:r>
          </w:p>
        </w:tc>
        <w:tc>
          <w:tcPr>
            <w:tcW w:type="dxa" w:w="362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同上。</w:t>
            </w: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ＡＣＰは素案の第5章に書けるもの</w:t>
            </w:r>
          </w:p>
        </w:tc>
      </w:tr>
    </w:tbl>
    <w:p>
      <w:pPr>
        <w:spacing w:after="40"/>
      </w:pPr>
    </w:p>
    <w:p>
      <w:pPr>
        <w:spacing w:before="40" w:after="160"/>
        <w:ind w:left="113"/>
      </w:pPr>
      <w:r>
        <w:rPr>
          <w:rFonts w:ascii="游ゴシック" w:hAnsi="游ゴシック" w:eastAsia="游ゴシック"/>
          <w:b w:val="0"/>
          <w:i w:val="0"/>
          <w:sz w:val="17"/>
        </w:rPr>
        <w:t>資料：県計画 第8章第12節 在宅医療。</w:t>
      </w:r>
    </w:p>
    <w:p>
      <w:pPr>
        <w:spacing w:before="60" w:after="60"/>
      </w:pPr>
      <w:r>
        <w:rPr>
          <w:rFonts w:ascii="游ゴシック" w:hAnsi="游ゴシック" w:eastAsia="游ゴシック"/>
          <w:b/>
          <w:i w:val="0"/>
          <w:sz w:val="21"/>
        </w:rPr>
        <w:t>素案にない視点が2つあります。</w:t>
      </w:r>
      <w:r>
        <w:rPr>
          <w:rFonts w:ascii="游ゴシック" w:hAnsi="游ゴシック" w:eastAsia="游ゴシック"/>
          <w:b w:val="0"/>
          <w:i w:val="0"/>
          <w:sz w:val="21"/>
        </w:rPr>
        <w:t xml:space="preserve"> 急変時の対応に</w:t>
      </w:r>
      <w:r>
        <w:rPr>
          <w:rFonts w:ascii="游ゴシック" w:hAnsi="游ゴシック" w:eastAsia="游ゴシック"/>
          <w:b/>
          <w:i w:val="0"/>
          <w:sz w:val="21"/>
        </w:rPr>
        <w:t>消防</w:t>
      </w:r>
      <w:r>
        <w:rPr>
          <w:rFonts w:ascii="游ゴシック" w:hAnsi="游ゴシック" w:eastAsia="游ゴシック"/>
          <w:b w:val="0"/>
          <w:i w:val="0"/>
          <w:sz w:val="21"/>
        </w:rPr>
        <w:t>が入っていること、看取りに</w:t>
      </w:r>
      <w:r>
        <w:rPr>
          <w:rFonts w:ascii="游ゴシック" w:hAnsi="游ゴシック" w:eastAsia="游ゴシック"/>
          <w:b/>
          <w:i w:val="0"/>
          <w:sz w:val="21"/>
        </w:rPr>
        <w:t>アドバンス・ケア・プランニング（ＡＣＰ）の普及啓発</w:t>
      </w:r>
      <w:r>
        <w:rPr>
          <w:rFonts w:ascii="游ゴシック" w:hAnsi="游ゴシック" w:eastAsia="游ゴシック"/>
          <w:b w:val="0"/>
          <w:i w:val="0"/>
          <w:sz w:val="21"/>
        </w:rPr>
        <w:t>（エンディングノート、人生会議）が挙がっていることです。</w:t>
      </w:r>
    </w:p>
    <w:p>
      <w:pPr>
        <w:pStyle w:val="Heading2"/>
        <w:keepNext/>
        <w:spacing w:before="180" w:after="100"/>
      </w:pPr>
      <w:bookmarkStart w:id="106" w:name="_Toc_006"/>
      <w:r>
        <w:rPr>
          <w:rFonts w:ascii="游ゴシック" w:hAnsi="游ゴシック" w:eastAsia="游ゴシック"/>
          <w:b/>
          <w:i w:val="0"/>
          <w:color w:val="2E74B5"/>
          <w:sz w:val="25"/>
        </w:rPr>
        <w:t>5-1　県の指標</w:t>
      </w:r>
      <w:bookmarkEnd w:id="106"/>
    </w:p>
    <w:p>
      <w:pPr>
        <w:keepNext/>
        <w:spacing w:before="200" w:after="40"/>
      </w:pPr>
      <w:r>
        <w:rPr>
          <w:rFonts w:ascii="游ゴシック" w:hAnsi="游ゴシック" w:eastAsia="游ゴシック"/>
          <w:b/>
          <w:i w:val="0"/>
          <w:color w:val="1F4D78"/>
          <w:sz w:val="22"/>
        </w:rPr>
        <w:t>【表5】県の指標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2E75B6"/>
          <w:left w:val="single" w:sz="4" w:space="0" w:color="BFBFBF"/>
          <w:bottom w:val="single" w:sz="6" w:space="0" w:color="2E75B6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</w:tblPr>
      <w:tblGrid>
        <w:gridCol w:w="907"/>
        <w:gridCol w:w="3061"/>
        <w:gridCol w:w="1701"/>
        <w:gridCol w:w="1701"/>
        <w:gridCol w:w="2381"/>
      </w:tblGrid>
      <w:tr>
        <w:tc>
          <w:tcPr>
            <w:tcW w:type="dxa" w:w="907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番号</w:t>
            </w:r>
          </w:p>
        </w:tc>
        <w:tc>
          <w:tcPr>
            <w:tcW w:type="dxa" w:w="3061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指標</w:t>
            </w:r>
          </w:p>
        </w:tc>
        <w:tc>
          <w:tcPr>
            <w:tcW w:type="dxa" w:w="1701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現状</w:t>
            </w:r>
          </w:p>
        </w:tc>
        <w:tc>
          <w:tcPr>
            <w:tcW w:type="dxa" w:w="1701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目標</w:t>
            </w:r>
          </w:p>
        </w:tc>
        <w:tc>
          <w:tcPr>
            <w:tcW w:type="dxa" w:w="2381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本町への当たり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Ｃ102</w:t>
            </w:r>
          </w:p>
        </w:tc>
        <w:tc>
          <w:tcPr>
            <w:tcW w:type="dxa" w:w="306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在宅医療・介護連携推進事業を実施する市町村数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54市町村（令和4年）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59市町村（令和8年）</w:t>
            </w:r>
          </w:p>
        </w:tc>
        <w:tc>
          <w:tcPr>
            <w:tcW w:type="dxa" w:w="238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全市町村での実施が目標。本町も当然に含まれる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40" w:after="100"/>
      </w:pPr>
      <w:bookmarkStart w:id="107" w:name="_Toc_007"/>
      <w:r>
        <w:rPr>
          <w:rFonts w:ascii="游ゴシック" w:hAnsi="游ゴシック" w:eastAsia="游ゴシック"/>
          <w:b/>
          <w:i w:val="0"/>
          <w:color w:val="2E74B5"/>
          <w:sz w:val="30"/>
        </w:rPr>
        <w:t>6　そのまま引けないこと</w:t>
      </w:r>
      <w:bookmarkEnd w:id="107"/>
    </w:p>
    <w:p>
      <w:pPr>
        <w:pStyle w:val="Heading3"/>
        <w:keepNext/>
        <w:spacing w:before="180" w:after="80"/>
      </w:pPr>
      <w:r>
        <w:rPr>
          <w:rFonts w:ascii="游ゴシック" w:hAnsi="游ゴシック" w:eastAsia="游ゴシック"/>
          <w:b/>
          <w:i w:val="0"/>
          <w:color w:val="1F4D78"/>
          <w:sz w:val="22"/>
        </w:rPr>
        <w:t>福島県地域医療構想は目標年が令和7年である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2E75B6"/>
          <w:left w:val="single" w:sz="4" w:space="0" w:color="BFBFBF"/>
          <w:bottom w:val="single" w:sz="6" w:space="0" w:color="2E75B6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</w:tblPr>
      <w:tblGrid>
        <w:gridCol w:w="1928"/>
        <w:gridCol w:w="7824"/>
      </w:tblGrid>
      <w:tr>
        <w:tc>
          <w:tcPr>
            <w:tcW w:type="dxa" w:w="1928"/>
            <w:shd w:val="clear" w:fill="1F3864"/>
            <w:vAlign w:val="center"/>
          </w:tcPr>
          <w:p>
            <w:pPr>
              <w:spacing w:before="20" w:after="20"/>
              <w:jc w:val="center"/>
            </w:pPr>
          </w:p>
        </w:tc>
        <w:tc>
          <w:tcPr>
            <w:tcW w:type="dxa" w:w="7824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内容</w:t>
            </w:r>
          </w:p>
        </w:tc>
      </w:tr>
      <w:tr>
        <w:tc>
          <w:tcPr>
            <w:tcW w:type="dxa" w:w="1928"/>
            <w:vAlign w:val="center"/>
          </w:tcPr>
          <w:p>
            <w:pPr>
              <w:keepNext/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確かめたこと</w:t>
            </w:r>
          </w:p>
        </w:tc>
        <w:tc>
          <w:tcPr>
            <w:tcW w:type="dxa" w:w="7824"/>
            <w:vAlign w:val="center"/>
          </w:tcPr>
          <w:p>
            <w:pPr>
              <w:keepNext/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平成28年12月策定。</w:t>
            </w: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令和7(2025)年を目標年</w:t>
            </w: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としており、「令和8(2026)年からの取組については、国における検討を踏まえ、令和7(2025)年度に新たな地域医療構想を策定することが想定されます」と県計画自身が書いている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どうするか</w:t>
            </w:r>
          </w:p>
        </w:tc>
        <w:tc>
          <w:tcPr>
            <w:tcW w:type="dxa" w:w="782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県高齢者居住安定確保計画と同じ構図。</w:t>
            </w: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整合の相手方が本計画期間の前に更新される。</w:t>
            </w: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新たな地域医療構想の策定状況を県に確かめる</w:t>
            </w:r>
          </w:p>
        </w:tc>
      </w:tr>
    </w:tbl>
    <w:p>
      <w:pPr>
        <w:spacing w:after="40"/>
      </w:pPr>
    </w:p>
    <w:p>
      <w:pPr>
        <w:pStyle w:val="Heading3"/>
        <w:keepNext/>
        <w:spacing w:before="180" w:after="80"/>
      </w:pPr>
      <w:r>
        <w:rPr>
          <w:rFonts w:ascii="游ゴシック" w:hAnsi="游ゴシック" w:eastAsia="游ゴシック"/>
          <w:b/>
          <w:i w:val="0"/>
          <w:color w:val="1F4D78"/>
          <w:sz w:val="22"/>
        </w:rPr>
        <w:t>保健医療計画そのものは本計画期間と重なる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2E75B6"/>
          <w:left w:val="single" w:sz="4" w:space="0" w:color="BFBFBF"/>
          <w:bottom w:val="single" w:sz="6" w:space="0" w:color="2E75B6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</w:tblPr>
      <w:tblGrid>
        <w:gridCol w:w="1928"/>
        <w:gridCol w:w="7824"/>
      </w:tblGrid>
      <w:tr>
        <w:tc>
          <w:tcPr>
            <w:tcW w:type="dxa" w:w="1928"/>
            <w:shd w:val="clear" w:fill="1F3864"/>
            <w:vAlign w:val="center"/>
          </w:tcPr>
          <w:p>
            <w:pPr>
              <w:spacing w:before="20" w:after="20"/>
              <w:jc w:val="center"/>
            </w:pPr>
          </w:p>
        </w:tc>
        <w:tc>
          <w:tcPr>
            <w:tcW w:type="dxa" w:w="7824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内容</w:t>
            </w:r>
          </w:p>
        </w:tc>
      </w:tr>
      <w:tr>
        <w:tc>
          <w:tcPr>
            <w:tcW w:type="dxa" w:w="1928"/>
            <w:vAlign w:val="center"/>
          </w:tcPr>
          <w:p>
            <w:pPr>
              <w:keepNext/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確かめたこと</w:t>
            </w:r>
          </w:p>
        </w:tc>
        <w:tc>
          <w:tcPr>
            <w:tcW w:type="dxa" w:w="7824"/>
            <w:vAlign w:val="center"/>
          </w:tcPr>
          <w:p>
            <w:pPr>
              <w:keepNext/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第八次・</w:t>
            </w: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令和6年度〜令和11年度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どうするか</w:t>
            </w:r>
          </w:p>
        </w:tc>
        <w:tc>
          <w:tcPr>
            <w:tcW w:type="dxa" w:w="782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本計画期間（令和9〜11年度）を包含する。</w:t>
            </w: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居住安定確保計画と違い、こちらはそのまま使える</w:t>
            </w:r>
          </w:p>
        </w:tc>
      </w:tr>
    </w:tbl>
    <w:p>
      <w:pPr>
        <w:spacing w:after="40"/>
      </w:pPr>
    </w:p>
    <w:p>
      <w:pPr>
        <w:pStyle w:val="Heading3"/>
        <w:keepNext/>
        <w:spacing w:before="180" w:after="80"/>
      </w:pPr>
      <w:r>
        <w:rPr>
          <w:rFonts w:ascii="游ゴシック" w:hAnsi="游ゴシック" w:eastAsia="游ゴシック"/>
          <w:b/>
          <w:i w:val="0"/>
          <w:color w:val="1F4D78"/>
          <w:sz w:val="22"/>
        </w:rPr>
        <w:t>県計画の介護施設定員と素案の数値が食い違う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2E75B6"/>
          <w:left w:val="single" w:sz="4" w:space="0" w:color="BFBFBF"/>
          <w:bottom w:val="single" w:sz="6" w:space="0" w:color="2E75B6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</w:tblPr>
      <w:tblGrid>
        <w:gridCol w:w="1928"/>
        <w:gridCol w:w="7824"/>
      </w:tblGrid>
      <w:tr>
        <w:tc>
          <w:tcPr>
            <w:tcW w:type="dxa" w:w="1928"/>
            <w:shd w:val="clear" w:fill="1F3864"/>
            <w:vAlign w:val="center"/>
          </w:tcPr>
          <w:p>
            <w:pPr>
              <w:spacing w:before="20" w:after="20"/>
              <w:jc w:val="center"/>
            </w:pPr>
          </w:p>
        </w:tc>
        <w:tc>
          <w:tcPr>
            <w:tcW w:type="dxa" w:w="7824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内容</w:t>
            </w:r>
          </w:p>
        </w:tc>
      </w:tr>
      <w:tr>
        <w:tc>
          <w:tcPr>
            <w:tcW w:type="dxa" w:w="1928"/>
            <w:vAlign w:val="center"/>
          </w:tcPr>
          <w:p>
            <w:pPr>
              <w:keepNext/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確かめたこと</w:t>
            </w:r>
          </w:p>
        </w:tc>
        <w:tc>
          <w:tcPr>
            <w:tcW w:type="dxa" w:w="7824"/>
            <w:vAlign w:val="center"/>
          </w:tcPr>
          <w:p>
            <w:pPr>
              <w:keepNext/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県計画 図表12−2−9（令和4年時点・見える化）と素案 第2章5（見える化Ｄ25〜Ｄ27）で、分類と年次が異なる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どうするか</w:t>
            </w:r>
          </w:p>
        </w:tc>
        <w:tc>
          <w:tcPr>
            <w:tcW w:type="dxa" w:w="782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どちらが誤りとは断定しない。</w:t>
            </w: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県の表は圏域12市町村を1枚に並べたもので分類が粗い。</w:t>
            </w: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素案は町の実態に基づく。</w:t>
            </w: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 xml:space="preserve"> 分類の取り方を確かめる（照会Ｅ-2）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40" w:after="100"/>
      </w:pPr>
      <w:bookmarkStart w:id="108" w:name="_Toc_008"/>
      <w:r>
        <w:rPr>
          <w:rFonts w:ascii="游ゴシック" w:hAnsi="游ゴシック" w:eastAsia="游ゴシック"/>
          <w:b/>
          <w:i w:val="0"/>
          <w:color w:val="2E74B5"/>
          <w:sz w:val="30"/>
        </w:rPr>
        <w:t>7　照会</w:t>
      </w:r>
      <w:bookmarkEnd w:id="108"/>
    </w:p>
    <w:p>
      <w:pPr>
        <w:keepNext/>
        <w:spacing w:before="200" w:after="40"/>
      </w:pPr>
      <w:r>
        <w:rPr>
          <w:rFonts w:ascii="游ゴシック" w:hAnsi="游ゴシック" w:eastAsia="游ゴシック"/>
          <w:b/>
          <w:i w:val="0"/>
          <w:color w:val="1F4D78"/>
          <w:sz w:val="22"/>
        </w:rPr>
        <w:t>【表6】照会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2E75B6"/>
          <w:left w:val="single" w:sz="4" w:space="0" w:color="BFBFBF"/>
          <w:bottom w:val="single" w:sz="6" w:space="0" w:color="2E75B6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</w:tblPr>
      <w:tblGrid>
        <w:gridCol w:w="680"/>
        <w:gridCol w:w="1020"/>
        <w:gridCol w:w="3515"/>
        <w:gridCol w:w="3402"/>
        <w:gridCol w:w="1134"/>
      </w:tblGrid>
      <w:tr>
        <w:tc>
          <w:tcPr>
            <w:tcW w:type="dxa" w:w="680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番号</w:t>
            </w:r>
          </w:p>
        </w:tc>
        <w:tc>
          <w:tcPr>
            <w:tcW w:type="dxa" w:w="1020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宛先</w:t>
            </w:r>
          </w:p>
        </w:tc>
        <w:tc>
          <w:tcPr>
            <w:tcW w:type="dxa" w:w="3515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確かめること</w:t>
            </w:r>
          </w:p>
        </w:tc>
        <w:tc>
          <w:tcPr>
            <w:tcW w:type="dxa" w:w="3402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何に効くか</w:t>
            </w:r>
          </w:p>
        </w:tc>
        <w:tc>
          <w:tcPr>
            <w:tcW w:type="dxa" w:w="1134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優先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E-1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県</w:t>
            </w:r>
          </w:p>
        </w:tc>
        <w:tc>
          <w:tcPr>
            <w:tcW w:type="dxa" w:w="3515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新たな福島県地域医療構想の策定状況</w:t>
            </w: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と、県中医療圏の病床の機能分化・連携の見通し</w:t>
            </w:r>
          </w:p>
        </w:tc>
        <w:tc>
          <w:tcPr>
            <w:tcW w:type="dxa" w:w="3402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整合性の確保。</w:t>
            </w: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 xml:space="preserve"> 慢性期病床の動きは介護サービス需要に直接効く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最優先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E-2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町</w:t>
            </w:r>
          </w:p>
        </w:tc>
        <w:tc>
          <w:tcPr>
            <w:tcW w:type="dxa" w:w="3515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県計画 図表12−2−9 の介護施設定員の分類</w:t>
            </w: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（本町の介護医療院58人の記載）と、素案 第2章5 の地域密着型介護老人福祉施設58人との関係</w:t>
            </w:r>
          </w:p>
        </w:tc>
        <w:tc>
          <w:tcPr>
            <w:tcW w:type="dxa" w:w="3402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第2章5の数値。</w:t>
            </w: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同じ58人が別の分類で載っている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高</w:t>
            </w:r>
          </w:p>
        </w:tc>
      </w:tr>
      <w:tr>
        <w:tc>
          <w:tcPr>
            <w:tcW w:type="dxa" w:w="680"/>
            <w:vAlign w:val="center"/>
          </w:tcPr>
          <w:p>
            <w:pPr>
              <w:keepNext/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E-3</w:t>
            </w:r>
          </w:p>
        </w:tc>
        <w:tc>
          <w:tcPr>
            <w:tcW w:type="dxa" w:w="1020"/>
            <w:vAlign w:val="center"/>
          </w:tcPr>
          <w:p>
            <w:pPr>
              <w:keepNext/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町</w:t>
            </w:r>
          </w:p>
        </w:tc>
        <w:tc>
          <w:tcPr>
            <w:tcW w:type="dxa" w:w="3515"/>
            <w:vAlign w:val="center"/>
          </w:tcPr>
          <w:p>
            <w:pPr>
              <w:keepNext/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町内の在宅療養支援病院・診療所2か所の内訳</w:t>
            </w: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（公立小野町地方綜合病院を含むか、医科か歯科か）</w:t>
            </w:r>
          </w:p>
        </w:tc>
        <w:tc>
          <w:tcPr>
            <w:tcW w:type="dxa" w:w="3402"/>
            <w:vAlign w:val="center"/>
          </w:tcPr>
          <w:p>
            <w:pPr>
              <w:keepNext/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第2章5・第6章2。</w:t>
            </w: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県計画は令和3年3月末現在であり、現況を確かめる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高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E-4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町・関係機関</w:t>
            </w:r>
          </w:p>
        </w:tc>
        <w:tc>
          <w:tcPr>
            <w:tcW w:type="dxa" w:w="3515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4つの場面の目指すべき姿</w:t>
            </w: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（退院支援・日常の療養支援・急変時の対応・看取り）。</w:t>
            </w: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急変時の消防との連携、看取りのＡＣＰの普及</w:t>
            </w: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を含めるか</w:t>
            </w:r>
          </w:p>
        </w:tc>
        <w:tc>
          <w:tcPr>
            <w:tcW w:type="dxa" w:w="3402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第5章 基本目標2⑦・交付金評価指標 目標Ⅲ−（ⅰ）−1。照会Ｂ-5と同じもの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最優先</w:t>
            </w:r>
          </w:p>
        </w:tc>
      </w:tr>
    </w:tbl>
    <w:p>
      <w:pPr>
        <w:spacing w:after="40"/>
      </w:pPr>
    </w:p>
    <w:p>
      <w:pPr>
        <w:spacing w:before="60" w:after="60"/>
      </w:pPr>
      <w:r>
        <w:rPr>
          <w:rFonts w:ascii="游ゴシック" w:hAnsi="游ゴシック" w:eastAsia="游ゴシック"/>
          <w:b/>
          <w:i w:val="0"/>
          <w:sz w:val="21"/>
        </w:rPr>
        <w:t>Ｅ-1とＥ-4が最優先です。</w:t>
      </w:r>
      <w:r>
        <w:rPr>
          <w:rFonts w:ascii="游ゴシック" w:hAnsi="游ゴシック" w:eastAsia="游ゴシック"/>
          <w:b w:val="0"/>
          <w:i w:val="0"/>
          <w:sz w:val="21"/>
        </w:rPr>
        <w:t xml:space="preserve"> Ｅ-1は、地域医療構想が目標年を過ぎており、</w:t>
      </w:r>
      <w:r>
        <w:rPr>
          <w:rFonts w:ascii="游ゴシック" w:hAnsi="游ゴシック" w:eastAsia="游ゴシック"/>
          <w:b/>
          <w:i w:val="0"/>
          <w:sz w:val="21"/>
        </w:rPr>
        <w:t>慢性期病床の動きが介護サービス需要に直接効く</w:t>
      </w:r>
      <w:r>
        <w:rPr>
          <w:rFonts w:ascii="游ゴシック" w:hAnsi="游ゴシック" w:eastAsia="游ゴシック"/>
          <w:b w:val="0"/>
          <w:i w:val="0"/>
          <w:sz w:val="21"/>
        </w:rPr>
        <w:t>ためです。Ｅ-4は、</w:t>
      </w:r>
      <w:r>
        <w:rPr>
          <w:rFonts w:ascii="游ゴシック" w:hAnsi="游ゴシック" w:eastAsia="游ゴシック"/>
          <w:b/>
          <w:i w:val="0"/>
          <w:sz w:val="21"/>
        </w:rPr>
        <w:t>交付金の評価指標が4つの場面ごとの目指すべき姿の設定を求めている</w:t>
      </w:r>
      <w:r>
        <w:rPr>
          <w:rFonts w:ascii="游ゴシック" w:hAnsi="游ゴシック" w:eastAsia="游ゴシック"/>
          <w:b w:val="0"/>
          <w:i w:val="0"/>
          <w:sz w:val="21"/>
        </w:rPr>
        <w:t>ためで、県計画の記述がそのまま手がかりになります。</w:t>
      </w:r>
    </w:p>
    <w:p>
      <w:pPr>
        <w:spacing w:before="40" w:after="160"/>
        <w:ind w:left="113"/>
      </w:pPr>
      <w:r>
        <w:rPr>
          <w:rFonts w:ascii="游ゴシック" w:hAnsi="游ゴシック" w:eastAsia="游ゴシック"/>
          <w:b w:val="0"/>
          <w:i w:val="0"/>
          <w:sz w:val="17"/>
        </w:rPr>
        <w:t>※ 本書は福島県保健医療計画（第八次）によるものです。</w:t>
      </w:r>
      <w:r>
        <w:rPr>
          <w:rFonts w:ascii="游ゴシック" w:hAnsi="游ゴシック" w:eastAsia="游ゴシック"/>
          <w:b/>
          <w:i w:val="0"/>
          <w:sz w:val="17"/>
        </w:rPr>
        <w:t>県計画の記述は公開資料であり、引用にあたっては出所を明記します。</w:t>
      </w:r>
      <w:r>
        <w:rPr>
          <w:rFonts w:ascii="游ゴシック" w:hAnsi="游ゴシック" w:eastAsia="游ゴシック"/>
          <w:b w:val="0"/>
          <w:i w:val="0"/>
          <w:sz w:val="17"/>
        </w:rPr>
        <w:t>原本は `13_関連計画/原本_県計画/` に置いています。</w:t>
      </w:r>
    </w:p>
    <w:sectPr w:rsidR="00FC693F" w:rsidRPr="0006063C" w:rsidSect="00034616">
      <w:headerReference w:type="default" r:id="rId11"/>
      <w:footerReference w:type="default" r:id="rId12"/>
      <w:pgSz w:w="11906" w:h="16838"/>
      <w:pgMar w:top="1134" w:right="1077" w:bottom="1134" w:left="1077" w:header="709" w:footer="709" w:gutter="0"/>
      <w:pgNumType w:start="1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游ゴシック" w:hAnsi="游ゴシック" w:eastAsia="游ゴシック"/>
        <w:b w:val="0"/>
        <w:i w:val="0"/>
        <w:sz w:val="20"/>
      </w:rPr>
    </w:r>
    <w:r>
      <w:rPr>
        <w:rFonts w:ascii="游ゴシック" w:hAnsi="游ゴシック" w:eastAsia="游ゴシック"/>
        <w:b w:val="0"/>
        <w:i w:val="0"/>
        <w:sz w:val="20"/>
      </w:rPr>
    </w:r>
    <w:r>
      <w:rPr>
        <w:rFonts w:ascii="游ゴシック" w:hAnsi="游ゴシック" w:eastAsia="游ゴシック"/>
        <w:b w:val="0"/>
        <w:i w:val="0"/>
        <w:sz w:val="20"/>
      </w:rPr>
    </w:r>
    <w:r>
      <w:rPr>
        <w:rFonts w:ascii="游ゴシック" w:hAnsi="游ゴシック" w:eastAsia="游ゴシック"/>
        <w:b w:val="0"/>
        <w:i w:val="0"/>
        <w:sz w:val="20"/>
      </w:rPr>
    </w:r>
    <w:r>
      <w:rPr>
        <w:rFonts w:ascii="游ゴシック" w:hAnsi="游ゴシック" w:eastAsia="游ゴシック"/>
        <w:b w:val="0"/>
        <w:i w:val="0"/>
        <w:sz w:val="20"/>
      </w:rPr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游ゴシック" w:hAnsi="游ゴシック" w:eastAsia="游ゴシック"/>
        <w:b w:val="0"/>
        <w:i w:val="0"/>
        <w:sz w:val="20"/>
      </w:rPr>
      <w:t xml:space="preserve">- </w:t>
    </w:r>
    <w:r>
      <w:rPr>
        <w:rFonts w:ascii="游ゴシック" w:hAnsi="游ゴシック" w:eastAsia="游ゴシック"/>
        <w:b w:val="0"/>
        <w:i w:val="0"/>
        <w:sz w:val="20"/>
      </w:rPr>
      <w:fldChar w:fldCharType="begin"/>
    </w:r>
    <w:r>
      <w:rPr>
        <w:rFonts w:ascii="游ゴシック" w:hAnsi="游ゴシック" w:eastAsia="游ゴシック"/>
        <w:b w:val="0"/>
        <w:i w:val="0"/>
        <w:sz w:val="20"/>
      </w:rPr>
      <w:instrText xml:space="preserve"> PAGE </w:instrText>
    </w:r>
    <w:r>
      <w:rPr>
        <w:rFonts w:ascii="游ゴシック" w:hAnsi="游ゴシック" w:eastAsia="游ゴシック"/>
        <w:b w:val="0"/>
        <w:i w:val="0"/>
        <w:sz w:val="20"/>
      </w:rPr>
      <w:fldChar w:fldCharType="end"/>
    </w:r>
    <w:r>
      <w:rPr>
        <w:rFonts w:ascii="游ゴシック" w:hAnsi="游ゴシック" w:eastAsia="游ゴシック"/>
        <w:b w:val="0"/>
        <w:i w:val="0"/>
        <w:sz w:val="20"/>
      </w:rPr>
      <w:t xml:space="preserve"> -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游ゴシック" w:hAnsi="游ゴシック" w:eastAsia="游ゴシック"/>
        <w:b w:val="0"/>
        <w:i w:val="0"/>
        <w:sz w:val="18"/>
      </w:rPr>
    </w:r>
    <w:r>
      <w:rPr>
        <w:rFonts w:ascii="游ゴシック" w:hAnsi="游ゴシック" w:eastAsia="游ゴシック"/>
        <w:b w:val="0"/>
        <w:i w:val="0"/>
        <w:sz w:val="18"/>
      </w:rPr>
      <w:t>小野町　福島県保健医療計画の反映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游ゴシック" w:hAnsi="游ゴシック" w:eastAsia="游ゴシック"/>
        <w:b w:val="0"/>
        <w:i w:val="0"/>
        <w:sz w:val="18"/>
      </w:rPr>
      <w:t>小野町　福島県保健医療計画の反映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updateFields w:val="true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60" w:after="60"/>
    </w:pPr>
    <w:rPr>
      <w:rFonts w:ascii="游ゴシック" w:hAnsi="游ゴシック" w:eastAsia="游ゴシック"/>
      <w:sz w:val="21"/>
      <w:lang w:val="en-US" w:eastAsia="ja-JP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ind w:left="0" w:firstLine="0"/>
      <w:outlineLvl w:val="0"/>
    </w:pPr>
    <w:rPr>
      <w:rFonts w:asciiTheme="majorHAnsi" w:eastAsiaTheme="majorEastAsia" w:hAnsiTheme="majorHAnsi" w:cstheme="majorBidi" w:ascii="游ゴシック" w:hAnsi="游ゴシック" w:eastAsia="游ゴシック"/>
      <w:b/>
      <w:bCs/>
      <w:i w:val="0"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ind w:left="0" w:firstLine="0"/>
      <w:outlineLvl w:val="1"/>
    </w:pPr>
    <w:rPr>
      <w:rFonts w:asciiTheme="majorHAnsi" w:eastAsiaTheme="majorEastAsia" w:hAnsiTheme="majorHAnsi" w:cstheme="majorBidi" w:ascii="游ゴシック" w:hAnsi="游ゴシック" w:eastAsia="游ゴシック"/>
      <w:b/>
      <w:bCs/>
      <w:i w:val="0"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ind w:left="0" w:firstLine="0"/>
      <w:outlineLvl w:val="2"/>
    </w:pPr>
    <w:rPr>
      <w:rFonts w:asciiTheme="majorHAnsi" w:eastAsiaTheme="majorEastAsia" w:hAnsiTheme="majorHAnsi" w:cstheme="majorBidi" w:ascii="游ゴシック" w:hAnsi="游ゴシック" w:eastAsia="游ゴシック"/>
      <w:b/>
      <w:bCs/>
      <w:i w:val="0"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小野町　福島県保健医療計画の反映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ja-JP</dc:language>
</cp:coreProperties>
</file>