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65件になりました。一度にお送りするとご負担が大きく、お急ぎでないものに引きずられて急ぐものの回答が遅れます。このため、回答がいつ必要かによって５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５通の構成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9件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9件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20件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17件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5件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委員会に出す資料に直に要るもの（9件）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サービスの見込量を確定するために要るもの（9件）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２項第２号にもございますが、本計画が見込むのは障害者総合支援法による事業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高齢者福祉の施策との接続（20件）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第5章7（4）の村単独事業の記述を数値で裏づける。通院の負担は移動支援の論点（M-45・M-46）にもつながる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対象に含まれることが分かったため、次は実績である。M-55と同じ便で尋ねる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既にある施策の実績（17件）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会津北部４町村及び県との広域整合（5件）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