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当方の基準（集計仕様書のR01〜R10・R99）で算出している。見える化の算出方法と違う場合、リスク該当率の値が動く。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区分の取り方が変わると表の形が変わる。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10月中旬（集計の実行前）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標準設問のみで完結する前提で設計している。村独自設問を含める場合は分析の枠を広げる。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10月下旬（報告書の執筆前）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2026-10-10T06:08:53.663Z</dcterms:created>
  <dcterms:modified xsi:type="dcterms:W3CDTF">2026-10-10T06:08:53.663Z</dcterms:modified>
</cp:coreProperties>
</file>

<file path=docProps/custom.xml><?xml version="1.0" encoding="utf-8"?>
<Properties xmlns="http://schemas.openxmlformats.org/officeDocument/2006/custom-properties" xmlns:vt="http://schemas.openxmlformats.org/officeDocument/2006/docPropsVTypes"/>
</file>