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320"/>
      </w:pPr>
      <w:r>
        <w:rPr>
          <w:rFonts w:ascii="游ゴシック" w:cs="游ゴシック" w:eastAsia="游ゴシック" w:hAnsi="游ゴシック"/>
          <w:b w:val="1"/>
          <w:bCs w:val="1"/>
          <w:i w:val="false"/>
          <w:iCs w:val="false"/>
          <w:sz w:val="28"/>
          <w:szCs w:val="28"/>
        </w:rPr>
        <w:t xml:space="preserve">川崎町高齢者保健福祉計画
第10期介護保険事業計画
概要版</w:t>
      </w:r>
    </w:p>
    <w:p>
      <w:pPr>
        <w:spacing w:after="80" w:before="50" w:line="320"/>
        <w:ind w:firstLine="200"/>
        <w:jc w:val="left"/>
      </w:pPr>
      <w:r>
        <w:rPr>
          <w:rFonts w:ascii="游ゴシック" w:cs="游ゴシック" w:eastAsia="游ゴシック" w:hAnsi="游ゴシック"/>
          <w:i w:val="false"/>
          <w:iCs w:val="false"/>
          <w:sz w:val="20"/>
          <w:szCs w:val="20"/>
        </w:rPr>
        <w:t xml:space="preserve">令和9年度から令和11年度までの3年間の、高齢者福祉と介護保険の進め方を定めた計画です。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この計画は、65歳以上の方の介護保険料と、町が行う高齢者福祉の3年間を定めるものです。計画の全文は町のホームページでご覧いただけます。</w:t>
      </w:r>
    </w:p>
    <w:p>
      <w:pPr>
        <w:spacing w:after="80" w:before="180" w:line="300"/>
      </w:pPr>
      <w:r>
        <w:rPr>
          <w:rFonts w:ascii="游ゴシック" w:cs="游ゴシック" w:eastAsia="游ゴシック" w:hAnsi="游ゴシック"/>
          <w:b w:val="1"/>
          <w:bCs w:val="1"/>
          <w:i w:val="false"/>
          <w:iCs w:val="false"/>
          <w:sz w:val="21"/>
          <w:szCs w:val="21"/>
        </w:rPr>
        <w:t xml:space="preserve">１　川崎町の高齢者のいま</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川崎町の高齢化率は令和8年6月末で42.0％です（総人口7,648人のうち65歳以上が3,209人）。全国平均29.1％・宮城県平均28.5％を大きく上回り、県内35市町村のなかで5番目に高い町です。</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018047"/>
            <wp:docPr id="1" name="Picture 1"/>
            <wp:cNvGraphicFramePr>
              <a:graphicFrameLocks noChangeAspect="1"/>
            </wp:cNvGraphicFramePr>
            <a:graphic>
              <a:graphicData uri="http://schemas.openxmlformats.org/drawingml/2006/picture">
                <pic:pic>
                  <pic:nvPicPr>
                    <pic:cNvPr id="0" name="g1_nenrei.png"/>
                    <pic:cNvPicPr/>
                  </pic:nvPicPr>
                  <pic:blipFill>
                    <a:blip r:embed="rId20"/>
                    <a:stretch>
                      <a:fillRect/>
                    </a:stretch>
                  </pic:blipFill>
                  <pic:spPr>
                    <a:xfrm>
                      <a:off x="0" y="0"/>
                      <a:ext cx="5120640" cy="3018047"/>
                    </a:xfrm>
                    <a:prstGeom prst="rect"/>
                  </pic:spPr>
                </pic:pic>
              </a:graphicData>
            </a:graphic>
          </wp:inline>
        </w:drawing>
      </w:r>
    </w:p>
    <w:p>
      <w:pPr>
        <w:spacing w:after="80" w:before="50" w:line="320"/>
        <w:ind w:firstLine="200"/>
        <w:jc w:val="left"/>
      </w:pPr>
      <w:r>
        <w:rPr>
          <w:rFonts w:ascii="游ゴシック" w:cs="游ゴシック" w:eastAsia="游ゴシック" w:hAnsi="游ゴシック"/>
          <w:i w:val="false"/>
          <w:iCs w:val="false"/>
          <w:sz w:val="20"/>
          <w:szCs w:val="20"/>
        </w:rPr>
        <w:t xml:space="preserve">65歳以上の方の数はほぼ横ばいですが、75歳以上の方が4年で15.4％増えています。介護が必要になる方が増えるのは、この年代からです。</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2272072"/>
            <wp:docPr id="2" name="Picture 2"/>
            <wp:cNvGraphicFramePr>
              <a:graphicFrameLocks noChangeAspect="1"/>
            </wp:cNvGraphicFramePr>
            <a:graphic>
              <a:graphicData uri="http://schemas.openxmlformats.org/drawingml/2006/picture">
                <pic:pic>
                  <pic:nvPicPr>
                    <pic:cNvPr id="0" name="g2_koreika.png"/>
                    <pic:cNvPicPr/>
                  </pic:nvPicPr>
                  <pic:blipFill>
                    <a:blip r:embed="rId21"/>
                    <a:stretch>
                      <a:fillRect/>
                    </a:stretch>
                  </pic:blipFill>
                  <pic:spPr>
                    <a:xfrm>
                      <a:off x="0" y="0"/>
                      <a:ext cx="5120640" cy="2272072"/>
                    </a:xfrm>
                    <a:prstGeom prst="rect"/>
                  </pic:spPr>
                </pic:pic>
              </a:graphicData>
            </a:graphic>
          </wp:inline>
        </w:drawing>
      </w:r>
    </w:p>
    <w:p>
      <w:pPr>
        <w:spacing w:after="80" w:before="180" w:line="300"/>
      </w:pPr>
      <w:r>
        <w:rPr>
          <w:rFonts w:ascii="游ゴシック" w:cs="游ゴシック" w:eastAsia="游ゴシック" w:hAnsi="游ゴシック"/>
          <w:b w:val="1"/>
          <w:bCs w:val="1"/>
          <w:i w:val="false"/>
          <w:iCs w:val="false"/>
          <w:sz w:val="21"/>
          <w:szCs w:val="21"/>
        </w:rPr>
        <w:t xml:space="preserve">２　介護サービスの利用とお金</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278067"/>
            <wp:docPr id="3" name="Picture 3"/>
            <wp:cNvGraphicFramePr>
              <a:graphicFrameLocks noChangeAspect="1"/>
            </wp:cNvGraphicFramePr>
            <a:graphic>
              <a:graphicData uri="http://schemas.openxmlformats.org/drawingml/2006/picture">
                <pic:pic>
                  <pic:nvPicPr>
                    <pic:cNvPr id="0" name="g3_jukyusha.png"/>
                    <pic:cNvPicPr/>
                  </pic:nvPicPr>
                  <pic:blipFill>
                    <a:blip r:embed="rId22"/>
                    <a:stretch>
                      <a:fillRect/>
                    </a:stretch>
                  </pic:blipFill>
                  <pic:spPr>
                    <a:xfrm>
                      <a:off x="0" y="0"/>
                      <a:ext cx="5120640" cy="3278067"/>
                    </a:xfrm>
                    <a:prstGeom prst="rect"/>
                  </pic:spPr>
                </pic:pic>
              </a:graphicData>
            </a:graphic>
          </wp:inline>
        </w:drawing>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令和7年度は、ひと月あたり延べ450.0人の方が介護サービスを利用しました。</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29481"/>
            <wp:docPr id="4" name="Picture 4"/>
            <wp:cNvGraphicFramePr>
              <a:graphicFrameLocks noChangeAspect="1"/>
            </wp:cNvGraphicFramePr>
            <a:graphic>
              <a:graphicData uri="http://schemas.openxmlformats.org/drawingml/2006/picture">
                <pic:pic>
                  <pic:nvPicPr>
                    <pic:cNvPr id="0" name="g4_kyufuhi.png"/>
                    <pic:cNvPicPr/>
                  </pic:nvPicPr>
                  <pic:blipFill>
                    <a:blip r:embed="rId23"/>
                    <a:stretch>
                      <a:fillRect/>
                    </a:stretch>
                  </pic:blipFill>
                  <pic:spPr>
                    <a:xfrm>
                      <a:off x="0" y="0"/>
                      <a:ext cx="5120640" cy="3529481"/>
                    </a:xfrm>
                    <a:prstGeom prst="rect"/>
                  </pic:spPr>
                </pic:pic>
              </a:graphicData>
            </a:graphic>
          </wp:inline>
        </w:drawing>
      </w:r>
    </w:p>
    <w:p>
      <w:pPr>
        <w:spacing w:after="80" w:before="50" w:line="320"/>
        <w:ind w:firstLine="200"/>
        <w:jc w:val="left"/>
      </w:pPr>
      <w:r>
        <w:rPr>
          <w:rFonts w:ascii="游ゴシック" w:cs="游ゴシック" w:eastAsia="游ゴシック" w:hAnsi="游ゴシック"/>
          <w:i w:val="false"/>
          <w:iCs w:val="false"/>
          <w:sz w:val="20"/>
          <w:szCs w:val="20"/>
        </w:rPr>
        <w:t xml:space="preserve">介護にかかったお金は年間9.98億円です。そのうち約半分（49.4％）は特別養護老人ホームなどの施設サービスです。町外の施設を利用している方も多く、令和8年3月末で24人の方が住所地特例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３　第9期（令和6〜8年度）をふりかえって</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2882206"/>
            <wp:docPr id="5" name="Picture 5"/>
            <wp:cNvGraphicFramePr>
              <a:graphicFrameLocks noChangeAspect="1"/>
            </wp:cNvGraphicFramePr>
            <a:graphic>
              <a:graphicData uri="http://schemas.openxmlformats.org/drawingml/2006/picture">
                <pic:pic>
                  <pic:nvPicPr>
                    <pic:cNvPr id="0" name="g5_taihi.png"/>
                    <pic:cNvPicPr/>
                  </pic:nvPicPr>
                  <pic:blipFill>
                    <a:blip r:embed="rId24"/>
                    <a:stretch>
                      <a:fillRect/>
                    </a:stretch>
                  </pic:blipFill>
                  <pic:spPr>
                    <a:xfrm>
                      <a:off x="0" y="0"/>
                      <a:ext cx="5120640" cy="2882206"/>
                    </a:xfrm>
                    <a:prstGeom prst="rect"/>
                  </pic:spPr>
                </pic:pic>
              </a:graphicData>
            </a:graphic>
          </wp:inline>
        </w:drawing>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は、計画の10億1,102万円に対し、実際には9億9,822万円でした（98.7％）。全体ではほぼ計画どおりですが、自宅で受けるサービスが計画を8.8％下回る一方、施設のサービスは3.3％上回りました。自宅から施設へという流れが進んで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第10期の5つの課題　①サービスを提供する体制をどう保つか②自宅で暮らし続けるための支え　③認知症とともに生きるまちづくり④介護する家族の負担　⑤取組の成果をどう確かめるか</w:t>
      </w:r>
    </w:p>
    <w:p>
      <w:pPr>
        <w:spacing w:after="80" w:before="180" w:line="300"/>
      </w:pPr>
      <w:r>
        <w:rPr>
          <w:rFonts w:ascii="游ゴシック" w:cs="游ゴシック" w:eastAsia="游ゴシック" w:hAnsi="游ゴシック"/>
          <w:b w:val="1"/>
          <w:bCs w:val="1"/>
          <w:i w:val="false"/>
          <w:iCs w:val="false"/>
          <w:sz w:val="21"/>
          <w:szCs w:val="21"/>
        </w:rPr>
        <w:t xml:space="preserve">４　第10期で大切にすること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基本理念は第9期から引き継ぎます。そのうえで、7つの柱に沿って施策を進め、4つのことを重点として取り組みます。</w:t>
      </w:r>
    </w:p>
    <w:p>
      <w:pPr>
        <w:spacing w:after="80" w:before="50" w:line="320"/>
        <w:ind w:firstLine="200"/>
        <w:jc w:val="left"/>
      </w:pPr>
      <w:r>
        <w:rPr>
          <w:rFonts w:ascii="游ゴシック" w:cs="游ゴシック" w:eastAsia="游ゴシック" w:hAnsi="游ゴシック"/>
          <w:i w:val="false"/>
          <w:iCs w:val="false"/>
          <w:sz w:val="20"/>
          <w:szCs w:val="20"/>
        </w:rPr>
        <w:t xml:space="preserve">重点① サービスを提供する体制の維持　重点② 認知症施策の推進（認知症基本法への対応）　重点③ 介護する家族への支援　重点④ 取組と成果を結びつける仕組み</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2944037"/>
            <wp:docPr id="6" name="Picture 6"/>
            <wp:cNvGraphicFramePr>
              <a:graphicFrameLocks noChangeAspect="1"/>
            </wp:cNvGraphicFramePr>
            <a:graphic>
              <a:graphicData uri="http://schemas.openxmlformats.org/drawingml/2006/picture">
                <pic:pic>
                  <pic:nvPicPr>
                    <pic:cNvPr id="0" name="g8_hashira.png"/>
                    <pic:cNvPicPr/>
                  </pic:nvPicPr>
                  <pic:blipFill>
                    <a:blip r:embed="rId25"/>
                    <a:stretch>
                      <a:fillRect/>
                    </a:stretch>
                  </pic:blipFill>
                  <pic:spPr>
                    <a:xfrm>
                      <a:off x="0" y="0"/>
                      <a:ext cx="5120640" cy="2944037"/>
                    </a:xfrm>
                    <a:prstGeom prst="rect"/>
                  </pic:spPr>
                </pic:pic>
              </a:graphicData>
            </a:graphic>
          </wp:inline>
        </w:drawing>
      </w:r>
    </w:p>
    <w:p>
      <w:pPr>
        <w:spacing w:after="80" w:before="50" w:line="320"/>
        <w:ind w:firstLine="200"/>
        <w:jc w:val="left"/>
      </w:pPr>
      <w:r>
        <w:rPr>
          <w:rFonts w:ascii="游ゴシック" w:cs="游ゴシック" w:eastAsia="游ゴシック" w:hAnsi="游ゴシック"/>
          <w:i w:val="false"/>
          <w:iCs w:val="false"/>
          <w:sz w:val="20"/>
          <w:szCs w:val="20"/>
        </w:rPr>
        <w:t xml:space="preserve">柱1は健康づくりと介護予防、柱2は住まい・防災・防犯、柱3は移動の手段・見守り・社会参加と介護する家族への支援、柱4は介護予防・日常生活支援総合事業と地域包括支援センター、柱5は認知症の取組、柱6は介護サービス、柱7は計画の進め方と介護人材の確保です。</w:t>
      </w:r>
    </w:p>
    <w:p>
      <w:pPr>
        <w:spacing w:after="80" w:before="50" w:line="320"/>
        <w:ind w:firstLine="200"/>
        <w:jc w:val="left"/>
      </w:pPr>
      <w:r>
        <w:rPr>
          <w:rFonts w:ascii="游ゴシック" w:cs="游ゴシック" w:eastAsia="游ゴシック" w:hAnsi="游ゴシック"/>
          <w:i w:val="false"/>
          <w:iCs w:val="false"/>
          <w:sz w:val="20"/>
          <w:szCs w:val="20"/>
        </w:rPr>
        <w:t xml:space="preserve">とくに、町内の介護事業所が小さくなっていることへの備えを新しい重点に加えました。ホームヘルパーの数が減っており、いま受けられているサービスを3年後も受けられるようにすることが、この計画のいちばんの課題です。</w:t>
      </w:r>
    </w:p>
    <w:p>
      <w:pPr>
        <w:spacing w:after="80" w:before="180" w:line="300"/>
      </w:pPr>
      <w:r>
        <w:rPr>
          <w:rFonts w:ascii="游ゴシック" w:cs="游ゴシック" w:eastAsia="游ゴシック" w:hAnsi="游ゴシック"/>
          <w:b w:val="1"/>
          <w:bCs w:val="1"/>
          <w:i w:val="false"/>
          <w:iCs w:val="false"/>
          <w:sz w:val="21"/>
          <w:szCs w:val="21"/>
        </w:rPr>
        <w:t xml:space="preserve">５　認知症とともに生きるまちへ</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に認知症基本法が施行されました。この法律は、認知症になってからも希望をもって自分らしく暮らすことができる社会をめざしています。川崎町は第10期から、認知症の取組をこの計画の中に位置づけます。</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2739930"/>
            <wp:docPr id="7" name="Picture 7"/>
            <wp:cNvGraphicFramePr>
              <a:graphicFrameLocks noChangeAspect="1"/>
            </wp:cNvGraphicFramePr>
            <a:graphic>
              <a:graphicData uri="http://schemas.openxmlformats.org/drawingml/2006/picture">
                <pic:pic>
                  <pic:nvPicPr>
                    <pic:cNvPr id="0" name="g6_kpi.png"/>
                    <pic:cNvPicPr/>
                  </pic:nvPicPr>
                  <pic:blipFill>
                    <a:blip r:embed="rId26"/>
                    <a:stretch>
                      <a:fillRect/>
                    </a:stretch>
                  </pic:blipFill>
                  <pic:spPr>
                    <a:xfrm>
                      <a:off x="0" y="0"/>
                      <a:ext cx="5120640" cy="2739930"/>
                    </a:xfrm>
                    <a:prstGeom prst="rect"/>
                  </pic:spPr>
                </pic:pic>
              </a:graphicData>
            </a:graphic>
          </wp:inline>
        </w:drawing>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本人とご家族からお話をうかがったうえで計画をつくります（令和8年10月から11月に実施します）。認知症カフェ「喫茶みかん」（年47回）、認知症サポーターの養成、チームオレンジの活動、認知症初期集中支援チームによる訪問を続けます。第10期からは、認知症の本人が集まって語り合う「本人ミーティング」を新しく始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もの忘れが気になったら　川崎町地域包括支援センター（保健福祉課内）にご相談ください。もの忘れ相談を毎月開いています。</w:t>
      </w:r>
    </w:p>
    <w:p>
      <w:pPr>
        <w:spacing w:after="80" w:before="180" w:line="300"/>
      </w:pPr>
      <w:r>
        <w:rPr>
          <w:rFonts w:ascii="游ゴシック" w:cs="游ゴシック" w:eastAsia="游ゴシック" w:hAnsi="游ゴシック"/>
          <w:b w:val="1"/>
          <w:bCs w:val="1"/>
          <w:i w:val="false"/>
          <w:iCs w:val="false"/>
          <w:sz w:val="21"/>
          <w:szCs w:val="21"/>
        </w:rPr>
        <w:t xml:space="preserve">６　介護保険料</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料は、3年間に必要な介護サービスのお金から、国・県・町が出す分と、40歳から64歳の方が出す分を差し引いて、65歳以上の方で分け合って決めます。これまでにためてきた基金（準備基金）を取りくずすと、保険料を抑えることができます。</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064274"/>
            <wp:docPr id="8" name="Picture 8"/>
            <wp:cNvGraphicFramePr>
              <a:graphicFrameLocks noChangeAspect="1"/>
            </wp:cNvGraphicFramePr>
            <a:graphic>
              <a:graphicData uri="http://schemas.openxmlformats.org/drawingml/2006/picture">
                <pic:pic>
                  <pic:nvPicPr>
                    <pic:cNvPr id="0" name="g7_hokenryo.png"/>
                    <pic:cNvPicPr/>
                  </pic:nvPicPr>
                  <pic:blipFill>
                    <a:blip r:embed="rId27"/>
                    <a:stretch>
                      <a:fillRect/>
                    </a:stretch>
                  </pic:blipFill>
                  <pic:spPr>
                    <a:xfrm>
                      <a:off x="0" y="0"/>
                      <a:ext cx="5120640" cy="3064274"/>
                    </a:xfrm>
                    <a:prstGeom prst="rect"/>
                  </pic:spPr>
                </pic:pic>
              </a:graphicData>
            </a:graphic>
          </wp:inline>
        </w:drawing>
      </w:r>
    </w:p>
    <w:p>
      <w:pPr>
        <w:spacing w:after="80" w:before="50" w:line="320"/>
        <w:ind w:firstLine="200"/>
        <w:jc w:val="left"/>
      </w:pPr>
      <w:r>
        <w:rPr>
          <w:rFonts w:ascii="游ゴシック" w:cs="游ゴシック" w:eastAsia="游ゴシック" w:hAnsi="游ゴシック"/>
          <w:i w:val="false"/>
          <w:iCs w:val="false"/>
          <w:sz w:val="20"/>
          <w:szCs w:val="20"/>
        </w:rPr>
        <w:t xml:space="preserve">第9期の月額6,500円に対して、3つの案があります。基金を取りくずさないと6,822円、半分を取りくずすと6,143円、全額を取りくずすと5,464円です。基金を使えばいまの保険料は下がりますが、次の第11期に使える分がなくな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 保険料の額は令和9年1月の策定委員会で決めます。上の金額は令和8年9月時点の試算であり、まだ確定していません。保険料は、所得に応じて13の段階に分かれます。</w:t>
      </w:r>
    </w:p>
    <w:p>
      <w:pPr>
        <w:spacing w:after="80" w:before="180" w:line="300"/>
      </w:pPr>
      <w:r>
        <w:rPr>
          <w:rFonts w:ascii="游ゴシック" w:cs="游ゴシック" w:eastAsia="游ゴシック" w:hAnsi="游ゴシック"/>
          <w:b w:val="1"/>
          <w:bCs w:val="1"/>
          <w:i w:val="false"/>
          <w:iCs w:val="false"/>
          <w:sz w:val="21"/>
          <w:szCs w:val="21"/>
        </w:rPr>
        <w:t xml:space="preserve">７　計画の進め方とご相談先</w:t>
      </w:r>
    </w:p>
    <w:p>
      <w:pPr>
        <w:spacing w:after="80" w:before="50" w:line="320"/>
        <w:ind w:firstLine="200"/>
        <w:jc w:val="left"/>
      </w:pPr>
      <w:r>
        <w:rPr>
          <w:rFonts w:ascii="游ゴシック" w:cs="游ゴシック" w:eastAsia="游ゴシック" w:hAnsi="游ゴシック"/>
          <w:i w:val="false"/>
          <w:iCs w:val="false"/>
          <w:sz w:val="20"/>
          <w:szCs w:val="20"/>
        </w:rPr>
        <w:t xml:space="preserve">計画は、毎年度その進み具合をたしかめ、結果を町のホームページで公表します。計画に定めた目安（KPI）がどこまで達成できたかを、策定委員会にご報告します。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ご相談は　川崎町保健福祉課／川崎町地域包括支援センター　までお願いします。介護予防の教室や通いの場のご案内もしています。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この計画の案については、意見を募る手続（パブリックコメント）を行います。実施の時期は町の広報紙とホームページでお知らせします。みなさまのご意見をお寄せください。</w:t>
      </w:r>
    </w:p>
    <w:p>
      <w:pPr>
        <w:spacing w:after="80" w:before="180" w:line="300"/>
      </w:pPr>
      <w:r>
        <w:rPr>
          <w:rFonts w:ascii="游ゴシック" w:cs="游ゴシック" w:eastAsia="游ゴシック" w:hAnsi="游ゴシック"/>
          <w:b w:val="1"/>
          <w:bCs w:val="1"/>
          <w:i w:val="false"/>
          <w:iCs w:val="false"/>
          <w:sz w:val="21"/>
          <w:szCs w:val="21"/>
        </w:rPr>
        <w:t xml:space="preserve">８　この冊子に出てくることば</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要介護認定　介護が必要な状態かどうか、どの程度かを定める手続です。全国共通の基準により、要支援1・2と要介護1〜5の7つに分かれます。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　高齢者の相談窓口です。保健師・社会福祉士などが、介護・福祉・権利を守ることについて相談に応じます。</w:t>
      </w:r>
    </w:p>
    <w:p>
      <w:pPr>
        <w:spacing w:after="80" w:before="50" w:line="320"/>
        <w:ind w:firstLine="200"/>
        <w:jc w:val="left"/>
      </w:pPr>
      <w:r>
        <w:rPr>
          <w:rFonts w:ascii="游ゴシック" w:cs="游ゴシック" w:eastAsia="游ゴシック" w:hAnsi="游ゴシック"/>
          <w:i w:val="false"/>
          <w:iCs w:val="false"/>
          <w:sz w:val="20"/>
          <w:szCs w:val="20"/>
        </w:rPr>
        <w:t xml:space="preserve">日常生活圏域　サービスを考えるうえでの区域です。川崎町は町全体を1つの区域とし、7つの地区ごとに状況を把握します。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住所地特例　施設に入るために他の市町村へ住所を移した方について、移る前の市町村が引き続き保険者となる仕組みです。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　保険料の余りをためておき、次の3年間の保険料の上がり方をやわらげるために使うお金です。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　認知症について正しく理解し、認知症の人とご家族を見守る応援者です。養成講座を受けた方で、川崎町では累計642名を養成しています。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チームオレンジ　認知症サポーターが、認知症の人やご家族の身近な支援につながるよう結成するチームです。川崎町は令和6年度に整備しました。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通いの場　住民が主体となって運営する、体操や交流などの集まりです。</w:t>
      </w:r>
    </w:p>
    <w:p>
      <w:pPr>
        <w:spacing w:after="80" w:before="50" w:line="320"/>
        <w:ind w:firstLine="200"/>
        <w:jc w:val="left"/>
      </w:pPr>
      <w:r>
        <w:rPr>
          <w:rFonts w:ascii="游ゴシック" w:cs="游ゴシック" w:eastAsia="游ゴシック" w:hAnsi="游ゴシック"/>
          <w:i w:val="false"/>
          <w:iCs w:val="false"/>
          <w:sz w:val="20"/>
          <w:szCs w:val="20"/>
        </w:rPr>
        <w:t xml:space="preserve">［発行］川崎町保健福祉課</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5" Type="http://schemas.openxmlformats.org/officeDocument/2006/relationships/fontTable" Target="fontTable.xm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