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pPr>
      <w:r>
        <w:rPr>
          <w:rFonts w:ascii="游ゴシック" w:cs="游ゴシック" w:eastAsia="游ゴシック" w:hAnsi="游ゴシック"/>
          <w:b w:val="1"/>
          <w:bCs w:val="1"/>
          <w:i w:val="false"/>
          <w:iCs w:val="false"/>
          <w:sz w:val="28"/>
          <w:szCs w:val="28"/>
        </w:rPr>
        <w:t xml:space="preserve">川崎町高齢者保健福祉計画
第10期介護保険事業計画
概要版</w:t>
      </w:r>
    </w:p>
    <w:p>
      <w:pPr>
        <w:spacing w:after="80" w:before="50" w:line="320"/>
        <w:ind w:firstLine="200"/>
        <w:jc w:val="left"/>
      </w:pPr>
      <w:r>
        <w:rPr>
          <w:rFonts w:ascii="游ゴシック" w:cs="游ゴシック" w:eastAsia="游ゴシック" w:hAnsi="游ゴシック"/>
          <w:i w:val="false"/>
          <w:iCs w:val="false"/>
          <w:sz w:val="20"/>
          <w:szCs w:val="20"/>
        </w:rPr>
        <w:t xml:space="preserve">令和9年度から令和11年度までの3年間の、高齢者福祉と介護保険の進め方を定めた計画です。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この計画は、65歳以上の方の介護保険料と、町が行う高齢者福祉の3年間を定めるものです。計画の全文は町のホームページでご覧いただけます。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4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この計画のこと</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川崎町高齢者保健福祉計画・第10期介護保険事業計画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計画の期間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令和9年度から令和11年度までの3年間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ほかの計画との関係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町の最上位の計画である「第6次川崎町長期総合計画」のもとで、地域福祉計画・健康増進計画・障害者計画などと足並みをそろえます。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つくりかた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住民のみなさまへのアンケート（令和8年6〜7月）、策定委員会でのご審議、認知症の本人とご家族からの意見の聴取、みなさまからのご意見の募集を経てつくります。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3年ごとに見直します。毎年度、進み具合をたしかめて公表します。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１　川崎町の高齢者のいま</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川崎町の高齢化率は令和8年6月末で42.0％です（総人口7,648人のうち65歳以上が3,209人）。全国平均29.1％・宮城県平均28.5％を大きく上回り、県内35市町村のなかで5番目に高い町です。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018047"/>
            <wp:docPr id="1" name="Picture 1"/>
            <wp:cNvGraphicFramePr>
              <a:graphicFrameLocks noChangeAspect="1"/>
            </wp:cNvGraphicFramePr>
            <a:graphic>
              <a:graphicData uri="http://schemas.openxmlformats.org/drawingml/2006/picture">
                <pic:pic>
                  <pic:nvPicPr>
                    <pic:cNvPr id="0" name="g1_nenrei.png"/>
                    <pic:cNvPicPr/>
                  </pic:nvPicPr>
                  <pic:blipFill>
                    <a:blip r:embed="rId20"/>
                    <a:stretch>
                      <a:fillRect/>
                    </a:stretch>
                  </pic:blipFill>
                  <pic:spPr>
                    <a:xfrm>
                      <a:off x="0" y="0"/>
                      <a:ext cx="5120640" cy="301804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65歳以上の方の数はほぼ横ばいですが、75歳以上の方が4年で15.4％増えています。介護が必要になる方が増えるのは、この年代からです。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272072"/>
            <wp:docPr id="2" name="Picture 2"/>
            <wp:cNvGraphicFramePr>
              <a:graphicFrameLocks noChangeAspect="1"/>
            </wp:cNvGraphicFramePr>
            <a:graphic>
              <a:graphicData uri="http://schemas.openxmlformats.org/drawingml/2006/picture">
                <pic:pic>
                  <pic:nvPicPr>
                    <pic:cNvPr id="0" name="g2_koreika.png"/>
                    <pic:cNvPicPr/>
                  </pic:nvPicPr>
                  <pic:blipFill>
                    <a:blip r:embed="rId21"/>
                    <a:stretch>
                      <a:fillRect/>
                    </a:stretch>
                  </pic:blipFill>
                  <pic:spPr>
                    <a:xfrm>
                      <a:off x="0" y="0"/>
                      <a:ext cx="5120640" cy="2272072"/>
                    </a:xfrm>
                    <a:prstGeom prst="rect"/>
                  </pic:spPr>
                </pic:pic>
              </a:graphicData>
            </a:graphic>
          </wp:inline>
        </w:drawing>
      </w:r>
    </w:p>
    <w:p>
      <w:pPr>
        <w:spacing w:after="80" w:before="180" w:line="300"/>
      </w:pPr>
      <w:r>
        <w:rPr>
          <w:rFonts w:ascii="游ゴシック" w:cs="游ゴシック" w:eastAsia="游ゴシック" w:hAnsi="游ゴシック"/>
          <w:b w:val="1"/>
          <w:bCs w:val="1"/>
          <w:i w:val="false"/>
          <w:iCs w:val="false"/>
          <w:sz w:val="21"/>
          <w:szCs w:val="21"/>
        </w:rPr>
        <w:t xml:space="preserve">２　介護サービスの利用とお金</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278067"/>
            <wp:docPr id="3" name="Picture 3"/>
            <wp:cNvGraphicFramePr>
              <a:graphicFrameLocks noChangeAspect="1"/>
            </wp:cNvGraphicFramePr>
            <a:graphic>
              <a:graphicData uri="http://schemas.openxmlformats.org/drawingml/2006/picture">
                <pic:pic>
                  <pic:nvPicPr>
                    <pic:cNvPr id="0" name="g3_jukyusha.png"/>
                    <pic:cNvPicPr/>
                  </pic:nvPicPr>
                  <pic:blipFill>
                    <a:blip r:embed="rId22"/>
                    <a:stretch>
                      <a:fillRect/>
                    </a:stretch>
                  </pic:blipFill>
                  <pic:spPr>
                    <a:xfrm>
                      <a:off x="0" y="0"/>
                      <a:ext cx="5120640" cy="327806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令和7年度は、ひと月あたり延べ450.0人の方が介護サービスを利用しました。</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29481"/>
            <wp:docPr id="4" name="Picture 4"/>
            <wp:cNvGraphicFramePr>
              <a:graphicFrameLocks noChangeAspect="1"/>
            </wp:cNvGraphicFramePr>
            <a:graphic>
              <a:graphicData uri="http://schemas.openxmlformats.org/drawingml/2006/picture">
                <pic:pic>
                  <pic:nvPicPr>
                    <pic:cNvPr id="0" name="g4_kyufuhi.png"/>
                    <pic:cNvPicPr/>
                  </pic:nvPicPr>
                  <pic:blipFill>
                    <a:blip r:embed="rId23"/>
                    <a:stretch>
                      <a:fillRect/>
                    </a:stretch>
                  </pic:blipFill>
                  <pic:spPr>
                    <a:xfrm>
                      <a:off x="0" y="0"/>
                      <a:ext cx="5120640" cy="3529481"/>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介護にかかったお金は年間9.98億円です。そのうち約半分（49.4％）は特別養護老人ホームなどの施設サービスです。町外の施設を利用している方も多く、令和8年3月末で24人の方が住所地特例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３　第9期（令和6〜8年度）をふりかえって</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882206"/>
            <wp:docPr id="5" name="Picture 5"/>
            <wp:cNvGraphicFramePr>
              <a:graphicFrameLocks noChangeAspect="1"/>
            </wp:cNvGraphicFramePr>
            <a:graphic>
              <a:graphicData uri="http://schemas.openxmlformats.org/drawingml/2006/picture">
                <pic:pic>
                  <pic:nvPicPr>
                    <pic:cNvPr id="0" name="g5_taihi.png"/>
                    <pic:cNvPicPr/>
                  </pic:nvPicPr>
                  <pic:blipFill>
                    <a:blip r:embed="rId24"/>
                    <a:stretch>
                      <a:fillRect/>
                    </a:stretch>
                  </pic:blipFill>
                  <pic:spPr>
                    <a:xfrm>
                      <a:off x="0" y="0"/>
                      <a:ext cx="5120640" cy="2882206"/>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は、計画の10億1,102万円に対し、実際には9億9,822万円でした（98.7％）。全体ではほぼ計画どおりですが、自宅で受けるサービスが計画を8.8％下回る一方、施設のサービスは3.3％上回りました。自宅から施設へという流れが進んで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第10期の5つの課題　①サービスを提供する体制をどう保つか②自宅で暮らし続けるための支え　③認知症とともに生きるまちづくり④介護する家族の負担　⑤取組の成果をどう確かめるか</w:t>
      </w:r>
    </w:p>
    <w:p>
      <w:pPr>
        <w:spacing w:after="80" w:before="180" w:line="300"/>
      </w:pPr>
      <w:r>
        <w:rPr>
          <w:rFonts w:ascii="游ゴシック" w:cs="游ゴシック" w:eastAsia="游ゴシック" w:hAnsi="游ゴシック"/>
          <w:b w:val="1"/>
          <w:bCs w:val="1"/>
          <w:i w:val="false"/>
          <w:iCs w:val="false"/>
          <w:sz w:val="21"/>
          <w:szCs w:val="21"/>
        </w:rPr>
        <w:t xml:space="preserve">４　第10期で大切にすること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基本理念は第9期から引き継ぎます。そのうえで、7つの柱に沿って施策を進め、4つのことを重点として取り組みます。</w:t>
      </w:r>
    </w:p>
    <w:p>
      <w:pPr>
        <w:spacing w:after="80" w:before="50" w:line="320"/>
        <w:ind w:firstLine="200"/>
        <w:jc w:val="left"/>
      </w:pPr>
      <w:r>
        <w:rPr>
          <w:rFonts w:ascii="游ゴシック" w:cs="游ゴシック" w:eastAsia="游ゴシック" w:hAnsi="游ゴシック"/>
          <w:i w:val="false"/>
          <w:iCs w:val="false"/>
          <w:sz w:val="20"/>
          <w:szCs w:val="20"/>
        </w:rPr>
        <w:t xml:space="preserve">重点① サービスを提供する体制の維持　重点② 認知症施策の推進（認知症基本法への対応）　重点③ 介護する家族への支援　重点④ 取組と成果を結びつける仕組み</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944037"/>
            <wp:docPr id="6" name="Picture 6"/>
            <wp:cNvGraphicFramePr>
              <a:graphicFrameLocks noChangeAspect="1"/>
            </wp:cNvGraphicFramePr>
            <a:graphic>
              <a:graphicData uri="http://schemas.openxmlformats.org/drawingml/2006/picture">
                <pic:pic>
                  <pic:nvPicPr>
                    <pic:cNvPr id="0" name="g8_hashira.png"/>
                    <pic:cNvPicPr/>
                  </pic:nvPicPr>
                  <pic:blipFill>
                    <a:blip r:embed="rId25"/>
                    <a:stretch>
                      <a:fillRect/>
                    </a:stretch>
                  </pic:blipFill>
                  <pic:spPr>
                    <a:xfrm>
                      <a:off x="0" y="0"/>
                      <a:ext cx="5120640" cy="294403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柱1は健康づくりと介護予防、柱2は住まい・防災・防犯、柱3は移動の手段・見守り・社会参加と介護する家族への支援、柱4は介護予防・日常生活支援総合事業と地域包括支援センター、柱5は認知症の取組、柱6は介護サービス、柱7は計画の進め方と介護人材の確保です。</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56"/>
        <w:gridCol w:w="60"/>
        <w:gridCol w:w="84"/>
      </w:tblGrid>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7つの柱</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事業の数</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うち新しく始める・広げるもの</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柱1　健康づくりと介護予防</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17</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柱2　住まい・防災・防犯</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柱3　移動・見守り・社会参加と家族への支援</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柱4　地域包括ケアを支える事業</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30</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柱5　認知症とともに生きるまちづくり</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28</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柱6　介護サービス</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0</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柱7　計画の進め方と介護人材の確保</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合計</w:t>
            </w:r>
          </w:p>
        </w:tc>
        <w:tc>
          <w:tcPr>
            <w:tcW w:type="dxa" w:w="6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143</w:t>
            </w:r>
          </w:p>
        </w:tc>
        <w:tc>
          <w:tcPr>
            <w:tcW w:type="dxa" w:w="84"/>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とくに、町内の介護事業所が小さくなっていることへの備えを新しい重点に加えました。ホームヘルパーの数が減っており、いま受けられているサービスを3年後も受けられるようにすることが、この計画のいちばんの課題です。</w:t>
      </w:r>
    </w:p>
    <w:p>
      <w:pPr>
        <w:spacing w:after="80" w:before="180" w:line="300"/>
      </w:pPr>
      <w:r>
        <w:rPr>
          <w:rFonts w:ascii="游ゴシック" w:cs="游ゴシック" w:eastAsia="游ゴシック" w:hAnsi="游ゴシック"/>
          <w:b w:val="1"/>
          <w:bCs w:val="1"/>
          <w:i w:val="false"/>
          <w:iCs w:val="false"/>
          <w:sz w:val="21"/>
          <w:szCs w:val="21"/>
        </w:rPr>
        <w:t xml:space="preserve">５　第9期から変わること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第10期では、新しく始めることが23件あります。おもなものをお示しします。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
        <w:gridCol w:w="124"/>
      </w:tblGrid>
      <w:tr>
        <w:tc>
          <w:tcPr>
            <w:tcW w:type="dxa" w:w="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新しく始めること</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どういうものか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介護をしているご家族に、介護の仕方や体の使い方をお伝えする教室です。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ご家族の相談・交流の場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同じように介護をしている方どうしが話し合える場をつくります。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短期入所（レスパイト）の利用のお手伝い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介護をしているご家族が休めるよう、短期入所の利用をお手伝いします。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仕事と介護の両立のお手伝い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介護のために仕事を辞めずにすむよう、相談の窓口と事業所への働きかけを行います。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若い世代の介護、子育てと介護が重なるご家庭に気づき、必要な支援につなぎます。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認知症の本人が集まって語り合い、そのお話を町の取組に活かします。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認知症の日・認知症月間の行事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毎年9月21日とその前後に、認知症について知っていただく行事を行います。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計画と実績の差をたしかめて公表すること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計画した量と実際の利用の差を毎年たしかめ、結果を公表します。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第9期にあって第10期で記載しない事業は2件です（高齢者外出タクシー利用助成事業ほか）。いずれも利用の実績と他の事業との重なりを見たうえで整理したものです。</w:t>
      </w:r>
    </w:p>
    <w:p>
      <w:pPr>
        <w:spacing w:after="80" w:before="180" w:line="300"/>
      </w:pPr>
      <w:r>
        <w:rPr>
          <w:rFonts w:ascii="游ゴシック" w:cs="游ゴシック" w:eastAsia="游ゴシック" w:hAnsi="游ゴシック"/>
          <w:b w:val="1"/>
          <w:bCs w:val="1"/>
          <w:i w:val="false"/>
          <w:iCs w:val="false"/>
          <w:sz w:val="21"/>
          <w:szCs w:val="21"/>
        </w:rPr>
        <w:t xml:space="preserve">６　認知症とともに生きるまちへ</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ま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739930"/>
            <wp:docPr id="7" name="Picture 7"/>
            <wp:cNvGraphicFramePr>
              <a:graphicFrameLocks noChangeAspect="1"/>
            </wp:cNvGraphicFramePr>
            <a:graphic>
              <a:graphicData uri="http://schemas.openxmlformats.org/drawingml/2006/picture">
                <pic:pic>
                  <pic:nvPicPr>
                    <pic:cNvPr id="0" name="g6_kpi.png"/>
                    <pic:cNvPicPr/>
                  </pic:nvPicPr>
                  <pic:blipFill>
                    <a:blip r:embed="rId26"/>
                    <a:stretch>
                      <a:fillRect/>
                    </a:stretch>
                  </pic:blipFill>
                  <pic:spPr>
                    <a:xfrm>
                      <a:off x="0" y="0"/>
                      <a:ext cx="5120640" cy="2739930"/>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本人とご家族からお話をうかがったうえで計画をつくります（令和8年10月から11月に実施します）。認知症カフェ「喫茶みかん」（年47回）、認知症サポーターの養成、チームオレンジの活動、認知症初期集中支援チームによる訪問を続けます。第10期からは、認知症の本人が集まって語り合う「本人ミーティング」を新しく始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もの忘れが気になったら　川崎町地域包括支援センター（保健福祉課内）にご相談ください。もの忘れ相談を毎月開いています。</w:t>
      </w:r>
    </w:p>
    <w:p>
      <w:pPr>
        <w:spacing w:after="80" w:before="180" w:line="300"/>
      </w:pPr>
      <w:r>
        <w:rPr>
          <w:rFonts w:ascii="游ゴシック" w:cs="游ゴシック" w:eastAsia="游ゴシック" w:hAnsi="游ゴシック"/>
          <w:b w:val="1"/>
          <w:bCs w:val="1"/>
          <w:i w:val="false"/>
          <w:iCs w:val="false"/>
          <w:sz w:val="21"/>
          <w:szCs w:val="21"/>
        </w:rPr>
        <w:t xml:space="preserve">７　介護保険料</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064274"/>
            <wp:docPr id="8" name="Picture 8"/>
            <wp:cNvGraphicFramePr>
              <a:graphicFrameLocks noChangeAspect="1"/>
            </wp:cNvGraphicFramePr>
            <a:graphic>
              <a:graphicData uri="http://schemas.openxmlformats.org/drawingml/2006/picture">
                <pic:pic>
                  <pic:nvPicPr>
                    <pic:cNvPr id="0" name="g7_hokenryo.png"/>
                    <pic:cNvPicPr/>
                  </pic:nvPicPr>
                  <pic:blipFill>
                    <a:blip r:embed="rId27"/>
                    <a:stretch>
                      <a:fillRect/>
                    </a:stretch>
                  </pic:blipFill>
                  <pic:spPr>
                    <a:xfrm>
                      <a:off x="0" y="0"/>
                      <a:ext cx="5120640" cy="3064274"/>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第9期の月額6,500円に対して、3つの案があります。基金を取りくずさないと6,822円、半分を取りくずすと6,143円、全額を取りくずすと5,464円です。基金を使えばいまの保険料は下がりますが、次の第11期に使える分がなくな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保険料の額は令和9年1月の策定委員会で決めます。上の金額は令和8年9月時点の試算であり、まだ確定していません。保険料は、所得に応じて13の段階に分かれます。</w:t>
      </w:r>
    </w:p>
    <w:p>
      <w:pPr>
        <w:spacing w:after="80" w:before="180" w:line="300"/>
      </w:pPr>
      <w:r>
        <w:rPr>
          <w:rFonts w:ascii="游ゴシック" w:cs="游ゴシック" w:eastAsia="游ゴシック" w:hAnsi="游ゴシック"/>
          <w:b w:val="1"/>
          <w:bCs w:val="1"/>
          <w:i w:val="false"/>
          <w:iCs w:val="false"/>
          <w:sz w:val="21"/>
          <w:szCs w:val="21"/>
        </w:rPr>
        <w:t xml:space="preserve">８　計画の進め方とご相談先</w:t>
      </w:r>
    </w:p>
    <w:p>
      <w:pPr>
        <w:spacing w:after="80" w:before="50" w:line="320"/>
        <w:ind w:firstLine="200"/>
        <w:jc w:val="left"/>
      </w:pPr>
      <w:r>
        <w:rPr>
          <w:rFonts w:ascii="游ゴシック" w:cs="游ゴシック" w:eastAsia="游ゴシック" w:hAnsi="游ゴシック"/>
          <w:i w:val="false"/>
          <w:iCs w:val="false"/>
          <w:sz w:val="20"/>
          <w:szCs w:val="20"/>
        </w:rPr>
        <w:t xml:space="preserve">計画は、毎年度その進み具合をたしかめ、結果を町のホームページで公表します。計画に定めた目安（KPI）がどこまで達成できたかを、策定委員会にご報告します。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おもな目安は次のとおりです。</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38"/>
        <w:gridCol w:w="66"/>
        <w:gridCol w:w="96"/>
      </w:tblGrid>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何をみるか</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いまのところ</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3年後の目安</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外出を控えている高齢者の割合</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19.1％</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減らす</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認知症の相談窓口を知っている人の割合</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47.7％</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増やす</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自立支援型地域ケア会議での個別事例の話し合い</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年12回以上</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生活支援コーディネーターの人数</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25名</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いまの人数を保つ</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計画と実績の差を毎年たしかめて公表すること</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していない</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毎年度行い公表する</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事業所からお話をうかがうこと</w:t>
            </w:r>
          </w:p>
        </w:tc>
        <w:tc>
          <w:tcPr>
            <w:tcW w:type="dxa" w:w="6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していない</w:t>
            </w:r>
          </w:p>
        </w:tc>
        <w:tc>
          <w:tcPr>
            <w:tcW w:type="dxa" w:w="9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年1回行う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ご相談は　川崎町保健福祉課／川崎町地域包括支援センター　までお願いします。介護予防の教室や通いの場のご案内もしています。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12"/>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こんなとき</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ご相談先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介護保険・高齢者福祉のご相談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介護・福祉・権利を守ることの総合相談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もの忘れが気になるとき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川崎町地域包括支援センター（毎月の相談日）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認知症の方とご家族の集まり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生活支援・通いの場のご案内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この計画の案については、意見を募る手続（パブリックコメント）を行います。実施の時期は町の広報紙とホームページでお知らせします。みなさまのご意見をお寄せください。</w:t>
      </w:r>
    </w:p>
    <w:p>
      <w:pPr>
        <w:spacing w:after="80" w:before="180" w:line="300"/>
      </w:pPr>
      <w:r>
        <w:rPr>
          <w:rFonts w:ascii="游ゴシック" w:cs="游ゴシック" w:eastAsia="游ゴシック" w:hAnsi="游ゴシック"/>
          <w:b w:val="1"/>
          <w:bCs w:val="1"/>
          <w:i w:val="false"/>
          <w:iCs w:val="false"/>
          <w:sz w:val="21"/>
          <w:szCs w:val="21"/>
        </w:rPr>
        <w:t xml:space="preserve">９　この冊子に出てくることば</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要介護認定　介護が必要な状態かどうか、どの程度かを定める手続です。全国共通の基準により、要支援1・2と要介護1〜5の7つに分かれます。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　高齢者の相談窓口です。保健師・社会福祉士などが、介護・福祉・権利を守ることについて相談に応じます。</w:t>
      </w:r>
    </w:p>
    <w:p>
      <w:pPr>
        <w:spacing w:after="80" w:before="50" w:line="320"/>
        <w:ind w:firstLine="200"/>
        <w:jc w:val="left"/>
      </w:pPr>
      <w:r>
        <w:rPr>
          <w:rFonts w:ascii="游ゴシック" w:cs="游ゴシック" w:eastAsia="游ゴシック" w:hAnsi="游ゴシック"/>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　認知症について正しく理解し、認知症の人とご家族を見守る応援者です。養成講座を受けた方で、川崎町では累計642名を養成しています。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チームオレンジ　認知症サポーターが、認知症の人やご家族の身近な支援につながるよう結成するチームです。川崎町は令和6年度に整備しました。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通いの場　住民が主体となって運営する、体操や交流などの集まりです。</w:t>
      </w:r>
    </w:p>
    <w:p>
      <w:pPr>
        <w:spacing w:after="80" w:before="50" w:line="320"/>
        <w:ind w:firstLine="200"/>
        <w:jc w:val="left"/>
      </w:pPr>
      <w:r>
        <w:rPr>
          <w:rFonts w:ascii="游ゴシック" w:cs="游ゴシック" w:eastAsia="游ゴシック" w:hAnsi="游ゴシック"/>
          <w:i w:val="false"/>
          <w:iCs w:val="false"/>
          <w:sz w:val="20"/>
          <w:szCs w:val="20"/>
        </w:rPr>
        <w:t xml:space="preserve">［発行］川崎町保健福祉課</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