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lineRule="exact"/>
      </w:pPr>
      <w:r>
        <w:rPr>
          <w:rFonts w:ascii="游ゴシック" w:cs="游ゴシック" w:eastAsia="游ゴシック" w:hAnsi="游ゴシック"/>
          <w:sz w:val="21"/>
          <w:szCs w:val="21"/>
        </w:rPr>
        <w:t xml:space="preserve"/>
      </w:r>
    </w:p>
    <w:p>
      <w:pPr>
        <w:spacing w:after="160" w:line="300" w:lineRule="exact"/>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lineRule="exact"/>
        <w:jc w:val="center"/>
      </w:pPr>
      <w:r>
        <w:rPr>
          <w:rFonts w:ascii="游ゴシック" w:cs="游ゴシック" w:eastAsia="游ゴシック" w:hAnsi="游ゴシック"/>
          <w:b/>
          <w:bCs/>
          <w:color w:val="1F3864"/>
          <w:sz w:val="32"/>
          <w:szCs w:val="32"/>
        </w:rPr>
        <w:t xml:space="preserve">策定委員会　資料</w:t>
      </w:r>
    </w:p>
    <w:p>
      <w:pPr>
        <w:spacing w:after="1600" w:line="300" w:lineRule="exact"/>
        <w:jc w:val="center"/>
      </w:pPr>
      <w:r>
        <w:rPr>
          <w:rFonts w:ascii="游ゴシック" w:cs="游ゴシック" w:eastAsia="游ゴシック" w:hAnsi="游ゴシック"/>
          <w:sz w:val="24"/>
          <w:szCs w:val="24"/>
        </w:rPr>
        <w:t xml:space="preserve">令和8年11月　開催</w:t>
      </w:r>
    </w:p>
    <w:p>
      <w:pPr>
        <w:spacing w:after="100" w:line="300" w:lineRule="exact"/>
        <w:jc w:val="center"/>
      </w:pPr>
      <w:r>
        <w:rPr>
          <w:rFonts w:ascii="游ゴシック" w:cs="游ゴシック" w:eastAsia="游ゴシック" w:hAnsi="游ゴシック"/>
          <w:sz w:val="24"/>
          <w:szCs w:val="24"/>
        </w:rPr>
        <w:t xml:space="preserve">資料2　第9期計画の進捗と評価</w:t>
      </w:r>
    </w:p>
    <w:p>
      <w:pPr>
        <w:spacing w:after="100" w:line="300" w:lineRule="exact"/>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lineRule="exact"/>
        <w:jc w:val="center"/>
      </w:pPr>
      <w:r>
        <w:rPr>
          <w:rFonts w:ascii="游ゴシック" w:cs="游ゴシック" w:eastAsia="游ゴシック" w:hAnsi="游ゴシック"/>
          <w:sz w:val="24"/>
          <w:szCs w:val="24"/>
        </w:rPr>
        <w:t xml:space="preserve">資料5　サービス見込み量の考え方（案）</w:t>
      </w:r>
    </w:p>
    <w:p>
      <w:pPr>
        <w:spacing w:after="100" w:line="300" w:lineRule="exact"/>
        <w:jc w:val="center"/>
      </w:pPr>
      <w:r>
        <w:rPr>
          <w:rFonts w:ascii="游ゴシック" w:cs="游ゴシック" w:eastAsia="游ゴシック" w:hAnsi="游ゴシック"/>
          <w:sz w:val="24"/>
          <w:szCs w:val="24"/>
        </w:rPr>
        <w:t xml:space="preserve">資料6　介護保険料の概算シミュレーション</w:t>
      </w:r>
    </w:p>
    <w:p>
      <w:pPr>
        <w:spacing w:after="1600" w:line="300" w:lineRule="exact"/>
        <w:jc w:val="center"/>
      </w:pPr>
      <w:r>
        <w:rPr>
          <w:rFonts w:ascii="游ゴシック" w:cs="游ゴシック" w:eastAsia="游ゴシック" w:hAnsi="游ゴシック"/>
          <w:sz w:val="24"/>
          <w:szCs w:val="24"/>
        </w:rPr>
        <w:t xml:space="preserve">資料7　成果目標・活動指標（案）</w:t>
      </w:r>
    </w:p>
    <w:p>
      <w:pPr>
        <w:spacing w:after="120" w:line="300" w:lineRule="exact"/>
        <w:jc w:val="center"/>
      </w:pPr>
      <w:r>
        <w:rPr>
          <w:rFonts w:ascii="游ゴシック" w:cs="游ゴシック" w:eastAsia="游ゴシック" w:hAnsi="游ゴシック"/>
          <w:sz w:val="24"/>
          <w:szCs w:val="24"/>
        </w:rPr>
        <w:t xml:space="preserve">令和8年　月　日</w:t>
      </w:r>
    </w:p>
    <w:p>
      <w:pPr>
        <w:spacing w:after="0" w:line="300" w:lineRule="exact"/>
        <w:jc w:val="center"/>
      </w:pPr>
      <w:r>
        <w:rPr>
          <w:rFonts w:ascii="游ゴシック" w:cs="游ゴシック" w:eastAsia="游ゴシック" w:hAnsi="游ゴシック"/>
          <w:b/>
          <w:bCs/>
          <w:sz w:val="28"/>
          <w:szCs w:val="28"/>
        </w:rPr>
        <w:t xml:space="preserve">北塩原村</w:t>
      </w:r>
    </w:p>
    <w:p>
      <w:r>
        <w:br w:type="page"/>
      </w:r>
    </w:p>
    <w:p>
      <w:pPr>
        <w:spacing w:after="240" w:line="300" w:lineRule="exact"/>
      </w:pPr>
      <w:r>
        <w:rPr>
          <w:rFonts w:ascii="游ゴシック" w:cs="游ゴシック" w:eastAsia="游ゴシック" w:hAnsi="游ゴシック"/>
          <w:b/>
          <w:bCs/>
          <w:color w:val="1F3864"/>
          <w:sz w:val="28"/>
          <w:szCs w:val="28"/>
        </w:rPr>
        <w:t xml:space="preserve">本資料の見方</w:t>
      </w:r>
    </w:p>
    <w:p>
      <w:pPr>
        <w:spacing w:after="180" w:line="300" w:lineRule="exact"/>
      </w:pPr>
      <w:r>
        <w:rPr>
          <w:rFonts w:ascii="游ゴシック" w:cs="游ゴシック" w:eastAsia="游ゴシック" w:hAnsi="游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lineRule="exact"/>
      </w:pPr>
      <w:r>
        <w:rPr>
          <w:rFonts w:ascii="游ゴシック" w:cs="游ゴシック" w:eastAsia="游ゴシック" w:hAnsi="游ゴシック"/>
          <w:sz w:val="21"/>
          <w:szCs w:val="21"/>
        </w:rPr>
        <w:t xml:space="preserve"/>
      </w:r>
    </w:p>
    <w:p>
      <w:pPr>
        <w:spacing w:after="180" w:line="300" w:lineRule="exact"/>
      </w:pPr>
      <w:r>
        <w:rPr>
          <w:rFonts w:ascii="游ゴシック" w:cs="游ゴシック" w:eastAsia="游ゴシック" w:hAnsi="游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lineRule="exact"/>
      </w:pPr>
      <w:r>
        <w:rPr>
          <w:rFonts w:ascii="游ゴシック" w:cs="游ゴシック" w:eastAsia="游ゴシック" w:hAnsi="游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5429"/>
        <w:gridCol w:w="1778"/>
        <w:gridCol w:w="1498"/>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時間</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開会</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委嘱状の交付</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村長あいさつ</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委員長・副委員長の選出</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議事（6）成果目標・活動指標（案）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今後のスケジュール</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その他・閉会</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本日ご議論いただきたい事項</w:t>
      </w:r>
    </w:p>
    <w:p>
      <w:pPr>
        <w:spacing w:after="120" w:line="300" w:lineRule="exact"/>
      </w:pPr>
      <w:r>
        <w:rPr>
          <w:rFonts w:ascii="游ゴシック" w:cs="游ゴシック" w:eastAsia="游ゴシック" w:hAnsi="游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493"/>
        <w:gridCol w:w="1685"/>
        <w:gridCol w:w="262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約170円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数十円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1人／月あたり75円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約700円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令和22年度で1,496円</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交付金の未取得項目61点を取りにいくかどうか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委員名簿</w:t>
      </w:r>
    </w:p>
    <w:p>
      <w:pPr>
        <w:spacing w:after="120" w:line="300" w:lineRule="exact"/>
      </w:pPr>
      <w:r>
        <w:rPr>
          <w:rFonts w:ascii="游ゴシック" w:cs="游ゴシック" w:eastAsia="游ゴシック" w:hAnsi="游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936"/>
        <w:gridCol w:w="2246"/>
        <w:gridCol w:w="374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所属・役職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氏名・役職</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【記入】</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【記入】</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座席表</w:t>
      </w:r>
    </w:p>
    <w:p>
      <w:pPr>
        <w:spacing w:after="120" w:line="300" w:lineRule="exact"/>
      </w:pPr>
      <w:r>
        <w:rPr>
          <w:rFonts w:ascii="游ゴシック" w:cs="游ゴシック" w:eastAsia="游ゴシック" w:hAnsi="游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村長・保健福祉課長</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学識経験者・保健医療関係者（4名）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委員長・副委員長</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社会福祉関係者・住民代表（9名）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936"/>
        <w:gridCol w:w="280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配付方法</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当日配付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第10期計画 素案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資料の頁数は目安である。資料2から資料8および別冊は、開催の1週間前までに事前送付する。別冊の素案は分量があるため、当日は資料4から資料7により要点をご説明する。別冊の149頁のうち、5-12「据え置いている項目の一覧」と編集注記（⚙）は数値が確定した段階で削除する。これを除いた成果品としての計画書は130頁である。仕様書の目安は約100頁であり、30頁上回る。資料8に分量の削減案を掲げており、すべて行うと114頁にな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第9期計画の概要</w:t>
      </w:r>
    </w:p>
    <w:p>
      <w:pPr>
        <w:spacing w:after="120" w:line="300" w:lineRule="exact"/>
      </w:pPr>
      <w:r>
        <w:rPr>
          <w:rFonts w:ascii="游ゴシック" w:cs="游ゴシック" w:eastAsia="游ゴシック" w:hAnsi="游ゴシック"/>
          <w:sz w:val="21"/>
          <w:szCs w:val="21"/>
        </w:rPr>
        <w:t xml:space="preserve">第9期北塩原村高齢者福祉計画・第9期北塩原村介護保険事業計画は、令和6年度から令和8年度までの3か年を計画期間とし、4つの基本目標のもとに19の施策を掲げています。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936"/>
        <w:gridCol w:w="468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主な内容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生きがい／住まい／安全確保／住民参加活動</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居宅／地域密着型／施設</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地域包括ケア／認知症／任意事業／成年後見</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施策の達成状況</w:t>
      </w:r>
    </w:p>
    <w:p>
      <w:pPr>
        <w:spacing w:after="120" w:line="300" w:lineRule="exact"/>
      </w:pPr>
      <w:r>
        <w:rPr>
          <w:rFonts w:ascii="游ゴシック" w:cs="游ゴシック" w:eastAsia="游ゴシック" w:hAnsi="游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6365"/>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keepNext/>
        <w:keepLines/>
        <w:spacing w:after="100" w:line="300" w:lineRule="exact"/>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生活困難者の住まい確保・生活支援は0点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高齢者の移動に関する支援は令和3年度5点から令和4年度15点へ伸びており、第10期で継続・拡充の対象になります。</w:t>
      </w:r>
    </w:p>
    <w:p>
      <w:pPr>
        <w:keepNext/>
        <w:keepLines/>
        <w:spacing w:after="100" w:line="300" w:lineRule="exact"/>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計画値と実績の乖離</w:t>
      </w:r>
    </w:p>
    <w:p>
      <w:pPr>
        <w:spacing w:after="120" w:line="300" w:lineRule="exact"/>
      </w:pPr>
      <w:r>
        <w:rPr>
          <w:rFonts w:ascii="游ゴシック" w:cs="游ゴシック" w:eastAsia="游ゴシック" w:hAnsi="游ゴシック"/>
          <w:sz w:val="21"/>
          <w:szCs w:val="21"/>
        </w:rPr>
        <w:t xml:space="preserve">第9期の計画値と実績を突き合わせたところ、次の乖離が確認されました。</w:t>
      </w:r>
    </w:p>
    <w:p>
      <w:pPr>
        <w:keepNext/>
        <w:keepLines/>
        <w:spacing w:after="100" w:line="300" w:lineRule="exact"/>
      </w:pPr>
      <w:r>
        <w:rPr>
          <w:rFonts w:ascii="游ゴシック" w:cs="游ゴシック" w:eastAsia="游ゴシック" w:hAnsi="游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685"/>
        <w:gridCol w:w="1871"/>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乖離率</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059"/>
        <w:gridCol w:w="2246"/>
        <w:gridCol w:w="243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＋63人（6.6%）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＋76人（8.1%）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keepNext/>
        <w:keepLines/>
        <w:spacing w:after="100" w:line="300" w:lineRule="exact"/>
      </w:pPr>
      <w:r>
        <w:rPr>
          <w:rFonts w:ascii="游ゴシック" w:cs="游ゴシック" w:eastAsia="游ゴシック" w:hAnsi="游ゴシック"/>
          <w:b/>
          <w:bCs/>
          <w:color w:val="2E75B6"/>
          <w:sz w:val="22"/>
          <w:szCs w:val="22"/>
        </w:rPr>
        <w:t xml:space="preserve">(2) 要介護度別では大きくずれています</w:t>
      </w:r>
    </w:p>
    <w:p>
      <w:pPr>
        <w:spacing w:after="120" w:line="300" w:lineRule="exact"/>
      </w:pPr>
      <w:r>
        <w:rPr>
          <w:rFonts w:ascii="游ゴシック" w:cs="游ゴシック" w:eastAsia="游ゴシック" w:hAnsi="游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872"/>
        <w:gridCol w:w="2246"/>
        <w:gridCol w:w="243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大幅な過少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過大</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大幅な過大</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要支援1の急増を捉えられていません。要支援1の認定者数は令和2年3月末の17人から令和8年3月末の51人へ、6年で3倍になっています（認定率1.7%→5.0%）。</w:t>
      </w:r>
    </w:p>
    <w:p>
      <w:pPr>
        <w:keepNext/>
        <w:keepLines/>
        <w:spacing w:after="100" w:line="300" w:lineRule="exact"/>
      </w:pPr>
      <w:r>
        <w:rPr>
          <w:rFonts w:ascii="游ゴシック" w:cs="游ゴシック" w:eastAsia="游ゴシック" w:hAnsi="游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744"/>
        <w:gridCol w:w="2808"/>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ほぼ均衡</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余剰に転化</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余剰が継続</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lineRule="exact"/>
      </w:pPr>
      <w:r>
        <w:rPr>
          <w:rFonts w:ascii="游ゴシック" w:cs="游ゴシック" w:eastAsia="游ゴシック" w:hAnsi="游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保険者機能の評価</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年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3か年の推移を項目ごとにみると</w:t>
      </w:r>
    </w:p>
    <w:p>
      <w:pPr>
        <w:spacing w:after="120" w:line="300" w:lineRule="exact"/>
      </w:pPr>
      <w:r>
        <w:rPr>
          <w:rFonts w:ascii="游ゴシック" w:cs="游ゴシック" w:eastAsia="游ゴシック" w:hAnsi="游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満点を3か年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か年で1項目5点のみで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217"/>
        <w:gridCol w:w="1217"/>
        <w:gridCol w:w="1217"/>
        <w:gridCol w:w="159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keepNext/>
        <w:keepLines/>
        <w:spacing w:after="100" w:line="300" w:lineRule="exact"/>
      </w:pPr>
      <w:r>
        <w:rPr>
          <w:rFonts w:ascii="游ゴシック" w:cs="游ゴシック" w:eastAsia="游ゴシック" w:hAnsi="游ゴシック"/>
          <w:b/>
          <w:bCs/>
          <w:color w:val="2E75B6"/>
          <w:sz w:val="22"/>
          <w:szCs w:val="22"/>
        </w:rPr>
        <w:t xml:space="preserve">目標別にみると</w:t>
      </w:r>
    </w:p>
    <w:p>
      <w:pPr>
        <w:spacing w:after="120" w:line="300" w:lineRule="exact"/>
      </w:pPr>
      <w:r>
        <w:rPr>
          <w:rFonts w:ascii="游ゴシック" w:cs="游ゴシック" w:eastAsia="游ゴシック" w:hAnsi="游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749"/>
        <w:gridCol w:w="936"/>
        <w:gridCol w:w="1123"/>
        <w:gridCol w:w="1123"/>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県内の中央値と比べると、遅れているのは2目標だけです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1123"/>
        <w:gridCol w:w="749"/>
        <w:gridCol w:w="1123"/>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要改善の項目と点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8項目 28点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4項目 30点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310"/>
        <w:gridCol w:w="1310"/>
        <w:gridCol w:w="280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悪化した115点のうち、村の取組の後退は15点です</w:t>
      </w:r>
    </w:p>
    <w:p>
      <w:pPr>
        <w:spacing w:after="120" w:line="300" w:lineRule="exact"/>
      </w:pPr>
      <w:r>
        <w:rPr>
          <w:rFonts w:ascii="游ゴシック" w:cs="游ゴシック" w:eastAsia="游ゴシック" w:hAnsi="游ゴシック"/>
          <w:sz w:val="21"/>
          <w:szCs w:val="21"/>
        </w:rPr>
        <w:t xml:space="preserve">上の推移で悪化した23項目115点の内訳を分けると、村の取組が後退したといえるのは5項目22点です。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749"/>
        <w:gridCol w:w="655"/>
        <w:gridCol w:w="1030"/>
        <w:gridCol w:w="936"/>
        <w:gridCol w:w="318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性質</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要介護度の変化・健康寿命。統計から自動算定され、村の取組では直接動かせない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村の取組。令和6・7年度は取得していた</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同左</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後退した5項目のうち最も重いのは「主要3事業の実施と記録」で、全国の96.9%が取得している項目です。令和6年度・令和7年度は本村も取得していました。取組が止まったのか、国への該当状況調査票の記載によるものかを確認したうえで、取組が止まっているのであれば令和9年度の評価で取り戻せます。合わせて22点です。</w:t>
      </w:r>
    </w:p>
    <w:p>
      <w:pPr>
        <w:keepNext/>
        <w:keepLines/>
        <w:spacing w:after="100" w:line="300" w:lineRule="exact"/>
      </w:pPr>
      <w:r>
        <w:rPr>
          <w:rFonts w:ascii="游ゴシック" w:cs="游ゴシック" w:eastAsia="游ゴシック" w:hAnsi="游ゴシック"/>
          <w:b/>
          <w:bCs/>
          <w:color w:val="2E75B6"/>
          <w:sz w:val="22"/>
          <w:szCs w:val="22"/>
        </w:rPr>
        <w:t xml:space="preserve">成果指標群（目標Ⅳ）は令和8年度に低下しました</w:t>
      </w:r>
    </w:p>
    <w:p>
      <w:pPr>
        <w:spacing w:after="120" w:line="300" w:lineRule="exact"/>
      </w:pPr>
      <w:r>
        <w:rPr>
          <w:rFonts w:ascii="游ゴシック" w:cs="游ゴシック" w:eastAsia="游ゴシック" w:hAnsi="游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4680"/>
        <w:gridCol w:w="936"/>
        <w:gridCol w:w="2059"/>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第9期の課題（要約）</w:t>
      </w:r>
    </w:p>
    <w:p>
      <w:pPr>
        <w:spacing w:after="120" w:line="300" w:lineRule="exact"/>
      </w:pPr>
      <w:r>
        <w:rPr>
          <w:rFonts w:ascii="游ゴシック" w:cs="游ゴシック" w:eastAsia="游ゴシック" w:hAnsi="游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054"/>
        <w:gridCol w:w="374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第10期での対応の方向</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多様なサービス（サービスB・C）の検討</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在宅介護実態調査で要因を確認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施策として新設</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重点分野として強化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ACPの普及啓発を含めて施策化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実績との乖離率による補正</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lineRule="exact"/>
      </w:pPr>
      <w:r>
        <w:rPr>
          <w:rFonts w:ascii="游ゴシック" w:cs="游ゴシック" w:eastAsia="游ゴシック" w:hAnsi="游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lineRule="exact"/>
      </w:pPr>
      <w:r>
        <w:rPr>
          <w:rFonts w:ascii="游ゴシック" w:cs="游ゴシック" w:eastAsia="游ゴシック" w:hAnsi="游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keepNext/>
        <w:keepLines/>
        <w:spacing w:after="100" w:line="300" w:lineRule="exact"/>
      </w:pPr>
      <w:r>
        <w:rPr>
          <w:rFonts w:ascii="游ゴシック" w:cs="游ゴシック" w:eastAsia="游ゴシック" w:hAnsi="游ゴシック"/>
          <w:b/>
          <w:bCs/>
          <w:color w:val="2E75B6"/>
          <w:sz w:val="22"/>
          <w:szCs w:val="22"/>
        </w:rPr>
        <w:t xml:space="preserve">割合の分母について（本資料に共通する約束ごと）</w:t>
      </w:r>
    </w:p>
    <w:p>
      <w:pPr>
        <w:spacing w:after="120" w:line="300" w:lineRule="exact"/>
      </w:pPr>
      <w:r>
        <w:rPr>
          <w:rFonts w:ascii="游ゴシック" w:cs="游ゴシック" w:eastAsia="游ゴシック" w:hAnsi="游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879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本資料の約束ごと</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割合の分母は、その設問に回答した票の数とします。回収した票の総数では割りません。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2つの設問を掛け合わせた表（クロス表）の分母は、両方の設問に回答した票の数とします。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時点の異なる数字を足して合計としません。数字を並べるときは時点を併記します。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在宅の要介護認定者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keepNext/>
        <w:keepLines/>
        <w:spacing w:after="100" w:line="300" w:lineRule="exact"/>
      </w:pPr>
      <w:r>
        <w:rPr>
          <w:rFonts w:ascii="游ゴシック" w:cs="游ゴシック" w:eastAsia="游ゴシック" w:hAnsi="游ゴシック"/>
          <w:b/>
          <w:bCs/>
          <w:color w:val="2E75B6"/>
          <w:sz w:val="22"/>
          <w:szCs w:val="22"/>
        </w:rPr>
        <w:t xml:space="preserve">地区別の回収状況</w:t>
      </w:r>
    </w:p>
    <w:p>
      <w:pPr>
        <w:spacing w:after="120" w:line="300" w:lineRule="exact"/>
      </w:pPr>
      <w:r>
        <w:rPr>
          <w:rFonts w:ascii="游ゴシック" w:cs="游ゴシック" w:eastAsia="游ゴシック" w:hAnsi="游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498"/>
        <w:gridCol w:w="1498"/>
        <w:gridCol w:w="3556"/>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（参考）第9期の対象者数／回収率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329人／57.4%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200人／55.0%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114人／59.6%</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240人／58.8%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883人／57.6%</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keepNext/>
        <w:keepLines/>
        <w:spacing w:after="100" w:line="300" w:lineRule="exact"/>
      </w:pPr>
      <w:r>
        <w:rPr>
          <w:rFonts w:ascii="游ゴシック" w:cs="游ゴシック" w:eastAsia="游ゴシック" w:hAnsi="游ゴシック"/>
          <w:b/>
          <w:bCs/>
          <w:color w:val="2E75B6"/>
          <w:sz w:val="22"/>
          <w:szCs w:val="22"/>
        </w:rPr>
        <w:t xml:space="preserve">対象者の属性（回収の偏りを見るための基準）</w:t>
      </w:r>
    </w:p>
    <w:p>
      <w:pPr>
        <w:spacing w:after="120" w:line="300" w:lineRule="exact"/>
      </w:pPr>
      <w:r>
        <w:rPr>
          <w:rFonts w:ascii="游ゴシック" w:cs="游ゴシック" w:eastAsia="游ゴシック" w:hAnsi="游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365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12人（10.2%）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25人（21.2%）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81人（68.6%）</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36人（30.5%）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82人（69.5%）</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回答方法別の状況（第10期の新規）</w:t>
      </w:r>
    </w:p>
    <w:p>
      <w:pPr>
        <w:spacing w:after="120" w:line="300" w:lineRule="exact"/>
      </w:pPr>
      <w:r>
        <w:rPr>
          <w:rFonts w:ascii="游ゴシック" w:cs="游ゴシック" w:eastAsia="游ゴシック" w:hAnsi="游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276"/>
        <w:gridCol w:w="327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生活機能からみた高齢者の姿</w:t>
      </w:r>
    </w:p>
    <w:p>
      <w:pPr>
        <w:spacing w:after="120" w:line="300" w:lineRule="exact"/>
      </w:pPr>
      <w:r>
        <w:rPr>
          <w:rFonts w:ascii="游ゴシック" w:cs="游ゴシック" w:eastAsia="游ゴシック" w:hAnsi="游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元気な軽度者はどれくらいいるか</w:t>
      </w:r>
    </w:p>
    <w:p>
      <w:pPr>
        <w:spacing w:after="120" w:line="300" w:lineRule="exact"/>
      </w:pPr>
      <w:r>
        <w:rPr>
          <w:rFonts w:ascii="游ゴシック" w:cs="游ゴシック" w:eastAsia="游ゴシック" w:hAnsi="游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1685"/>
        <w:gridCol w:w="1685"/>
        <w:gridCol w:w="1872"/>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生活機能からみた4つの層</w:t>
      </w:r>
    </w:p>
    <w:p>
      <w:pPr>
        <w:spacing w:after="120" w:line="300" w:lineRule="exact"/>
      </w:pPr>
      <w:r>
        <w:rPr>
          <w:rFonts w:ascii="游ゴシック" w:cs="游ゴシック" w:eastAsia="游ゴシック" w:hAnsi="游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872"/>
        <w:gridCol w:w="1123"/>
        <w:gridCol w:w="112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keepNext/>
        <w:keepLines/>
        <w:spacing w:after="100" w:line="300" w:lineRule="exact"/>
      </w:pPr>
      <w:r>
        <w:rPr>
          <w:rFonts w:ascii="游ゴシック" w:cs="游ゴシック" w:eastAsia="游ゴシック" w:hAnsi="游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498"/>
        <w:gridCol w:w="1498"/>
        <w:gridCol w:w="1498"/>
        <w:gridCol w:w="1498"/>
        <w:gridCol w:w="14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支え合いの現状と孤立</w:t>
      </w:r>
    </w:p>
    <w:p>
      <w:pPr>
        <w:spacing w:after="120" w:line="300" w:lineRule="exact"/>
      </w:pPr>
      <w:r>
        <w:rPr>
          <w:rFonts w:ascii="游ゴシック" w:cs="游ゴシック" w:eastAsia="游ゴシック" w:hAnsi="游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2434"/>
        <w:gridCol w:w="205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keepNext/>
        <w:keepLines/>
        <w:spacing w:after="100" w:line="300" w:lineRule="exact"/>
      </w:pPr>
      <w:r>
        <w:rPr>
          <w:rFonts w:ascii="游ゴシック" w:cs="游ゴシック" w:eastAsia="游ゴシック" w:hAnsi="游ゴシック"/>
          <w:b/>
          <w:bCs/>
          <w:color w:val="2E75B6"/>
          <w:sz w:val="22"/>
          <w:szCs w:val="22"/>
        </w:rPr>
        <w:t xml:space="preserve">独居・高齢者のみ世帯の状況</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（参考）第9期</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3-6　担い手の可能性</w:t>
      </w:r>
    </w:p>
    <w:p>
      <w:pPr>
        <w:spacing w:after="120" w:line="300" w:lineRule="exact"/>
      </w:pPr>
      <w:r>
        <w:rPr>
          <w:rFonts w:ascii="游ゴシック" w:cs="游ゴシック" w:eastAsia="游ゴシック" w:hAnsi="游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2434"/>
        <w:gridCol w:w="1498"/>
        <w:gridCol w:w="131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lineRule="exact"/>
      </w:pPr>
      <w:r>
        <w:rPr>
          <w:rFonts w:ascii="游ゴシック" w:cs="游ゴシック" w:eastAsia="游ゴシック" w:hAnsi="游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872"/>
        <w:gridCol w:w="2059"/>
        <w:gridCol w:w="2434"/>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時間の余裕がある層</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つながりのある層</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3-7　地区別の課題（移動・除雪）</w:t>
      </w:r>
    </w:p>
    <w:p>
      <w:pPr>
        <w:spacing w:after="120" w:line="300" w:lineRule="exact"/>
      </w:pPr>
      <w:r>
        <w:rPr>
          <w:rFonts w:ascii="游ゴシック" w:cs="游ゴシック" w:eastAsia="游ゴシック" w:hAnsi="游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2621"/>
        <w:gridCol w:w="1685"/>
        <w:gridCol w:w="1872"/>
        <w:gridCol w:w="187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同（移動）</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3-8　在宅生活の継続に必要な支援</w:t>
      </w:r>
    </w:p>
    <w:p>
      <w:pPr>
        <w:spacing w:after="120" w:line="300" w:lineRule="exact"/>
      </w:pPr>
      <w:r>
        <w:rPr>
          <w:rFonts w:ascii="游ゴシック" w:cs="游ゴシック" w:eastAsia="游ゴシック" w:hAnsi="游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370"/>
        <w:gridCol w:w="280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施策との関係</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施策2-5・3-1・3-4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施策3-2・3-3（見込量の前提）</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keepNext/>
        <w:keepLines/>
        <w:spacing w:after="100" w:line="300" w:lineRule="exact"/>
      </w:pPr>
      <w:r>
        <w:rPr>
          <w:rFonts w:ascii="游ゴシック" w:cs="游ゴシック" w:eastAsia="游ゴシック" w:hAnsi="游ゴシック"/>
          <w:b/>
          <w:bCs/>
          <w:color w:val="2E75B6"/>
          <w:sz w:val="22"/>
          <w:szCs w:val="22"/>
        </w:rPr>
        <w:t xml:space="preserve">施設入所の検討状況と村内施設の有無</w:t>
      </w:r>
    </w:p>
    <w:p>
      <w:pPr>
        <w:spacing w:after="120" w:line="300" w:lineRule="exact"/>
      </w:pPr>
      <w:r>
        <w:rPr>
          <w:rFonts w:ascii="游ゴシック" w:cs="游ゴシック" w:eastAsia="游ゴシック" w:hAnsi="游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621"/>
        <w:gridCol w:w="3369"/>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うち村内に施設があれば利用したい</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1591"/>
        <w:gridCol w:w="1123"/>
        <w:gridCol w:w="1310"/>
        <w:gridCol w:w="1872"/>
        <w:gridCol w:w="2060"/>
      </w:tblGrid>
      <w:tr>
        <w:trPr>
          <w:cantSplit/>
          <w:tblHeader/>
        </w:trPr>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続けられない・わからない</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3-9　調査から見えた課題</w:t>
      </w:r>
    </w:p>
    <w:p>
      <w:pPr>
        <w:spacing w:after="120" w:line="300" w:lineRule="exact"/>
      </w:pPr>
      <w:r>
        <w:rPr>
          <w:rFonts w:ascii="游ゴシック" w:cs="游ゴシック" w:eastAsia="游ゴシック" w:hAnsi="游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3182"/>
        <w:gridCol w:w="243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対応する施策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3-1・3-4・2-5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lineRule="exact"/>
      </w:pPr>
      <w:r>
        <w:rPr>
          <w:rFonts w:ascii="游ゴシック" w:cs="游ゴシック" w:eastAsia="游ゴシック" w:hAnsi="游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803"/>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本資料の該当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4-4・4-5</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第9期の基本理念と基本目標（振り返り）</w:t>
      </w:r>
    </w:p>
    <w:p>
      <w:pPr>
        <w:spacing w:after="120" w:line="300" w:lineRule="exact"/>
      </w:pPr>
      <w:r>
        <w:rPr>
          <w:rFonts w:ascii="游ゴシック" w:cs="游ゴシック" w:eastAsia="游ゴシック" w:hAnsi="游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936"/>
        <w:gridCol w:w="411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第9期の評価（資料2）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総合事業の多様なサービスが未着手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移動支援は改善。社会参加は未着手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施設は村内ゼロ。訪問系が半減</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在宅医療・介護連携と認知症は成果あり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第10期の基本理念（案）</w:t>
      </w:r>
    </w:p>
    <w:p>
      <w:pPr>
        <w:keepNext/>
        <w:keepLines/>
        <w:spacing w:after="100" w:line="300" w:lineRule="exact"/>
      </w:pPr>
      <w:r>
        <w:rPr>
          <w:rFonts w:ascii="游ゴシック" w:cs="游ゴシック" w:eastAsia="游ゴシック" w:hAnsi="游ゴシック"/>
          <w:b/>
          <w:bCs/>
          <w:color w:val="2E75B6"/>
          <w:sz w:val="22"/>
          <w:szCs w:val="22"/>
        </w:rPr>
        <w:t xml:space="preserve">案A　第9期の基本理念を継承する（推奨）</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lineRule="exact"/>
      </w:pPr>
      <w:r>
        <w:rPr>
          <w:rFonts w:ascii="游ゴシック" w:cs="游ゴシック" w:eastAsia="游ゴシック" w:hAnsi="游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keepNext/>
        <w:keepLines/>
        <w:spacing w:after="100" w:line="300" w:lineRule="exact"/>
      </w:pPr>
      <w:r>
        <w:rPr>
          <w:rFonts w:ascii="游ゴシック" w:cs="游ゴシック" w:eastAsia="游ゴシック" w:hAnsi="游ゴシック"/>
          <w:b/>
          <w:bCs/>
          <w:color w:val="2E75B6"/>
          <w:sz w:val="22"/>
          <w:szCs w:val="22"/>
        </w:rPr>
        <w:t xml:space="preserve">案B　基本理念を継承したうえで、副題を加える</w:t>
      </w:r>
    </w:p>
    <w:p>
      <w:pPr>
        <w:spacing w:after="120" w:line="300" w:lineRule="exact"/>
      </w:pPr>
      <w:r>
        <w:rPr>
          <w:rFonts w:ascii="游ゴシック" w:cs="游ゴシック" w:eastAsia="游ゴシック" w:hAnsi="游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互助の再構築を前面に出す</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いずれの案でも留意すべきこと</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基本目標（案）</w:t>
      </w:r>
    </w:p>
    <w:p>
      <w:pPr>
        <w:spacing w:after="120" w:line="300" w:lineRule="exact"/>
      </w:pPr>
      <w:r>
        <w:rPr>
          <w:rFonts w:ascii="游ゴシック" w:cs="游ゴシック" w:eastAsia="游ゴシック" w:hAnsi="游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4306"/>
        <w:gridCol w:w="168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継承【最重点】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基本目標5を新設する理由</w:t>
      </w:r>
    </w:p>
    <w:p>
      <w:pPr>
        <w:spacing w:after="120" w:line="300" w:lineRule="exact"/>
      </w:pPr>
      <w:r>
        <w:rPr>
          <w:rFonts w:ascii="游ゴシック" w:cs="游ゴシック" w:eastAsia="游ゴシック" w:hAnsi="游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lineRule="exact"/>
      </w:pPr>
      <w:r>
        <w:rPr>
          <w:rFonts w:ascii="游ゴシック" w:cs="游ゴシック" w:eastAsia="游ゴシック" w:hAnsi="游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keepNext/>
        <w:keepLines/>
        <w:spacing w:after="100" w:line="300" w:lineRule="exact"/>
      </w:pPr>
      <w:r>
        <w:rPr>
          <w:rFonts w:ascii="游ゴシック" w:cs="游ゴシック" w:eastAsia="游ゴシック" w:hAnsi="游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5429"/>
        <w:gridCol w:w="149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対応する課題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課題1・5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課題6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課題3・4</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施策の体系（案）</w:t>
      </w:r>
    </w:p>
    <w:p>
      <w:pPr>
        <w:spacing w:after="120" w:line="300" w:lineRule="exact"/>
      </w:pPr>
      <w:r>
        <w:rPr>
          <w:rFonts w:ascii="游ゴシック" w:cs="游ゴシック" w:eastAsia="游ゴシック" w:hAnsi="游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r>
        <w:br w:type="page"/>
      </w:r>
    </w:p>
    <w:p>
      <w:pPr>
        <w:keepNext/>
        <w:keepLines/>
        <w:spacing w:after="60" w:before="160"/>
        <w:jc w:val="center"/>
      </w:pPr>
      <w:r>
        <w:drawing>
          <wp:inline distT="0" distB="0" distL="0" distR="0">
            <wp:extent cx="5267325" cy="850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67325" cy="8505825"/>
                    </a:xfrm>
                    <a:prstGeom prst="rect">
                      <a:avLst/>
                    </a:prstGeom>
                  </pic:spPr>
                </pic:pic>
              </a:graphicData>
            </a:graphic>
          </wp:inline>
        </w:drawing>
      </w:r>
    </w:p>
    <w:p>
      <w:pPr>
        <w:keepNext/>
        <w:keepLines/>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lineRule="exact"/>
      </w:pPr>
      <w:r>
        <w:rPr>
          <w:rFonts w:ascii="游ゴシック" w:cs="游ゴシック" w:eastAsia="游ゴシック" w:hAnsi="游ゴシック"/>
          <w:sz w:val="21"/>
          <w:szCs w:val="21"/>
        </w:rPr>
        <w:t xml:space="preserve">以下、基本目標ごとに施策のねらいを示します。</w:t>
      </w:r>
    </w:p>
    <w:p>
      <w:pPr>
        <w:keepNext/>
        <w:keepLines/>
        <w:spacing w:after="100" w:line="300" w:lineRule="exact"/>
      </w:pPr>
      <w:r>
        <w:rPr>
          <w:rFonts w:ascii="游ゴシック" w:cs="游ゴシック" w:eastAsia="游ゴシック" w:hAnsi="游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事業費が10年近く180万円前後で据置</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見える化システム・KDBによる課題把握</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keepNext/>
        <w:keepLines/>
        <w:spacing w:after="100" w:line="300" w:lineRule="exact"/>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令和4年度に評価が改善。既存の路線バスICカード・コミュニティバスの活用と周知、届かない範囲の補い方の検討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防災・防犯・交通・感染症・消費生活</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生活支援コーディネーターの活動強化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keepNext/>
        <w:keepLines/>
        <w:spacing w:after="100" w:line="300" w:lineRule="exact"/>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3職種3名を維持</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個別事例の検討割合を高める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第9期の成果。ACPの普及啓発を加える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資料7の指標を毎年度確認する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策定委員会での年次報告を制度化する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第9期からの変更点</w:t>
      </w:r>
    </w:p>
    <w:p>
      <w:pPr>
        <w:spacing w:after="120" w:line="300" w:lineRule="exact"/>
      </w:pPr>
      <w:r>
        <w:rPr>
          <w:rFonts w:ascii="游ゴシック" w:cs="游ゴシック" w:eastAsia="游ゴシック" w:hAnsi="游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936"/>
        <w:gridCol w:w="692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1-6／2-1／2-4／2-5／3-1／3-5／4-1／4-3／4-5／4-7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1-1／1-3／2-3／3-2／4-2／4-6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1-2／1-4／1-5／2-2／2-6／3-4／5-1／5-2／5-3／5-4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5803"/>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国の評価で0点。ポイント事業は未実施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関連計画との整合</w:t>
      </w:r>
    </w:p>
    <w:p>
      <w:pPr>
        <w:spacing w:after="120" w:line="300" w:lineRule="exact"/>
      </w:pPr>
      <w:r>
        <w:rPr>
          <w:rFonts w:ascii="游ゴシック" w:cs="游ゴシック" w:eastAsia="游ゴシック" w:hAnsi="游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5990"/>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整合を図る内容</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村の最上位計画</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地域の支え合い、生活支援体制整備</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健康づくり、保健事業との一体的実施</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次期の総合振興計画・生涯学習推進計画の策定状況を確認のうえ、記述を確定します。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生涯学習推進計画との施策の重複について</w:t>
      </w:r>
    </w:p>
    <w:p>
      <w:pPr>
        <w:spacing w:after="120" w:line="300" w:lineRule="exact"/>
      </w:pPr>
      <w:r>
        <w:rPr>
          <w:rFonts w:ascii="游ゴシック" w:cs="游ゴシック" w:eastAsia="游ゴシック" w:hAnsi="游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lineRule="exact"/>
      </w:pPr>
      <w:r>
        <w:rPr>
          <w:rFonts w:ascii="游ゴシック" w:cs="游ゴシック" w:eastAsia="游ゴシック" w:hAnsi="游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lineRule="exact"/>
      </w:pPr>
      <w:r>
        <w:rPr>
          <w:rFonts w:ascii="游ゴシック" w:cs="游ゴシック" w:eastAsia="游ゴシック" w:hAnsi="游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306"/>
        <w:gridCol w:w="411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確定（考え方）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算定済み（暫定値）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★本日の主たる論点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ご判断をいただきます</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調査結果を待って確定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数値はすべて暫定値です。据え置いた項目と確定の条件は、計画素案5-12に31項目を一覧化しています。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推計の手順と前提</w:t>
      </w:r>
    </w:p>
    <w:p>
      <w:pPr>
        <w:spacing w:after="120" w:line="300" w:lineRule="exact"/>
      </w:pPr>
      <w:r>
        <w:rPr>
          <w:rFonts w:ascii="游ゴシック" w:cs="游ゴシック" w:eastAsia="游ゴシック" w:hAnsi="游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第9期からの変更</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★要介護度別の検証を追加</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段階2の変更について</w:t>
      </w:r>
    </w:p>
    <w:p>
      <w:pPr>
        <w:spacing w:after="120" w:line="300" w:lineRule="exact"/>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lineRule="exact"/>
      </w:pPr>
      <w:r>
        <w:rPr>
          <w:rFonts w:ascii="游ゴシック" w:cs="游ゴシック" w:eastAsia="游ゴシック" w:hAnsi="游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685"/>
        <w:gridCol w:w="1310"/>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補正係数</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0.01227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0.03000</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0.01901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将来人口と認定者数の見通し</w:t>
      </w:r>
    </w:p>
    <w:p>
      <w:pPr>
        <w:spacing w:after="120" w:line="300" w:lineRule="exact"/>
      </w:pPr>
      <w:r>
        <w:rPr>
          <w:rFonts w:ascii="游ゴシック" w:cs="游ゴシック" w:eastAsia="游ゴシック" w:hAnsi="游ゴシック"/>
          <w:sz w:val="21"/>
          <w:szCs w:val="21"/>
        </w:rPr>
        <w:t xml:space="preserve">本村の第1号被保険者数は減少局面に入っています。ただし後期高齢者（75歳以上）は令和12年度（2030年度）の602人がピークで、第10期（令和9〜11年度）はその増加のまっただ中にあたります。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令和8年10月に、村が県へ提出された国の推計ワークシート（将来推計総括表）の出力をご提供いただきました。以下の数値は、そのワークシートに入力された値です。当方がワークシートの提供を受ける前に算定した値は、検算として併記します。</w:t>
      </w:r>
    </w:p>
    <w:p>
      <w:pPr>
        <w:keepNext/>
        <w:keepLines/>
        <w:spacing w:after="100" w:line="300" w:lineRule="exact"/>
      </w:pPr>
      <w:r>
        <w:rPr>
          <w:rFonts w:ascii="游ゴシック" w:cs="游ゴシック" w:eastAsia="游ゴシック" w:hAnsi="游ゴシック"/>
          <w:b/>
          <w:bCs/>
          <w:color w:val="2E75B6"/>
          <w:sz w:val="22"/>
          <w:szCs w:val="22"/>
        </w:rPr>
        <w:t xml:space="preserve">国の推計ワークシートによる第1号被保険者数（年度）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936"/>
        <w:gridCol w:w="936"/>
        <w:gridCol w:w="936"/>
        <w:gridCol w:w="1030"/>
        <w:gridCol w:w="1030"/>
        <w:gridCol w:w="1030"/>
        <w:gridCol w:w="1122"/>
      </w:tblGrid>
      <w:tr>
        <w:trPr>
          <w:cantSplit/>
          <w:tblHeader/>
        </w:trPr>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うち75〜84歳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r>
      <w:tr>
        <w:trPr>
          <w:cantSplit/>
        </w:trPr>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うち85歳以上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令和6年度から令和8年度までは実績である。年齢区分別の内訳は、国の様式が令和9年度以降について持つため実績年度は「―」としている。</w:t>
      </w:r>
    </w:p>
    <w:p>
      <w:pPr>
        <w:keepNext/>
        <w:keepLines/>
        <w:spacing w:after="100" w:line="300" w:lineRule="exact"/>
      </w:pPr>
      <w:r>
        <w:rPr>
          <w:rFonts w:ascii="游ゴシック" w:cs="游ゴシック" w:eastAsia="游ゴシック" w:hAnsi="游ゴシック"/>
          <w:b/>
          <w:bCs/>
          <w:color w:val="2E75B6"/>
          <w:sz w:val="22"/>
          <w:szCs w:val="22"/>
        </w:rPr>
        <w:t xml:space="preserve">配布データをそのまま用いた場合との差</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厚生労働省配布の推計用人口をそのまま用いると、令和8年の第1号被保険者数は953人となり、実績（令和7年12月末1,012人）を59人下回ります。実績に対して5.8%の差で、第9期の乖離6.6%とほぼ同じ規模です。国の推計ワークシートは、配布データの伸び率を用いつつ水準を実績に合わせた系列で入力されており、第9期の過少推計は繰り返され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1,000人</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994人</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配布データをそのまま用いる場合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946人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939人</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932人</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　配布データの伸び率で水準を実績に合わせる（当方の算定）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数は保険料算定の分母です。分母を小さく見積もれば、1人あたりの必要保険料は同じ割合だけ高く算出されます。配布データをそのまま用いる場合と国の推計ワークシートでは第10期を通じて約57人（6%）の差が生じ、保険料の基準額に直接影響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当方の検算と国の値は、合計では最大7人（0.7%）の差にとどまる。一方、前期・後期の内訳は食い違う。当方の検算は前期465人・444人・424人、後期538人・551人・563人であり、後期高齢者の割合は53.6%・55.4%・57.0%となる。国の値（55.8%・57.5%・59.3%）より2.1〜2.2ポイント低い。国の様式は3区分（前期・75〜84歳・85歳以上）で持ち、調整交付金の後期高齢者加入割合補正係数も3区分の全国値から算出されるため、本計画は国の3区分に揃え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村の第1号被保険者数には出所が4つあり、時点も定義も異なるため混ぜてはならない。(1)国の推計ワークシートの年度の値（令和9年度1,004人から令和11年度994人。保険料の算定に用いる）、(2)地域包括ケア「見える化」システムの年度の値（令和6年度1,015人・令和7年度1,011人。第9期の乖離検証と受給率の分母に用いる）、(3)村の住民基本台帳による実績（令和7年12月末1,012人。推計の置き直しの基準）、(4)当方の検算（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要支援・要介護認定者数の見通し</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国の推計ワークシートによる要支援・要介護認定者数（第1号被保険者の分）は次のとおりです。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認定者計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205人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206人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211人</w:t>
            </w:r>
          </w:p>
        </w:tc>
        <w:tc>
          <w:tcPr>
            <w:tcW w:type="dxa" w:w="12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210人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号被保険者数が令和8年度から令和11年度にかけて15人減るなかで、認定者数は4人増えます。後期高齢者の比率が上がるためです。要介護度別では、要支援1が50人から56人へ6人増える一方、要介護2が30人から24人へ6人減ります。軽度の方が増え、中重度の方は横ばいまたは減るかたち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第2号被保険者（40歳から64歳まで）を含む総数は令和9年度210人・令和10年度213人・令和11年度212人である。給付費の算定には総数を用い、認定率の算定には第1号の分を用いる。</w:t>
      </w:r>
    </w:p>
    <w:p>
      <w:pPr>
        <w:keepNext/>
        <w:keepLines/>
        <w:spacing w:after="100" w:line="300" w:lineRule="exact"/>
      </w:pPr>
      <w:r>
        <w:rPr>
          <w:rFonts w:ascii="游ゴシック" w:cs="游ゴシック" w:eastAsia="游ゴシック" w:hAnsi="游ゴシック"/>
          <w:b/>
          <w:bCs/>
          <w:color w:val="2E75B6"/>
          <w:sz w:val="22"/>
          <w:szCs w:val="22"/>
        </w:rPr>
        <w:t xml:space="preserve">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当方は、前期高齢者・後期高齢者それぞれの要介護度別認定率（令和6年度から令和8年度までの3か年平均）を第1号被保険者数に乗じて算定していました。用いた認定率は次のとおりです。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単位：人　②の保険料への効きは、認定者数が＋3.5%の上振れであれば給付費もおおむね同じ割合で上振れすると置き、資料6の感応度（給付費1%の上振れが月額59円）により換算したものである。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年計で22人（3.4%）の差です。差の原因は前期・後期の内訳ではなく、認定率の置き方にあります。当方の認定率を国の内訳にそのまま乗じると令和9年度220人・令和10年度224人・令和11年度228人となり、当方の算定（214人・217人・220人）よりさらに高くなります。国は要介護度別の実績の推移から直接見込んでおり、要介護2が令和8年度30人から令和9年度24人へ下がる動きをそのまま反映しています。当方の3か年平均は、令和7年度に33人まで増えた要介護2を均してしまうため、下がる動きを拾えません。</w:t>
      </w:r>
    </w:p>
    <w:p>
      <w:pPr>
        <w:keepNext/>
        <w:keepLines/>
        <w:spacing w:after="100" w:line="300" w:lineRule="exact"/>
      </w:pPr>
      <w:r>
        <w:rPr>
          <w:rFonts w:ascii="游ゴシック" w:cs="游ゴシック" w:eastAsia="游ゴシック" w:hAnsi="游ゴシック"/>
          <w:b/>
          <w:bCs/>
          <w:color w:val="2E75B6"/>
          <w:sz w:val="22"/>
          <w:szCs w:val="22"/>
        </w:rPr>
        <w:t xml:space="preserve">ご議論いただきたい論点：当方の検算をどう扱うか</w:t>
      </w:r>
    </w:p>
    <w:p>
      <w:pPr>
        <w:spacing w:after="120" w:line="300" w:lineRule="exact"/>
      </w:pPr>
      <w:r>
        <w:rPr>
          <w:rFonts w:ascii="游ゴシック" w:cs="游ゴシック" w:eastAsia="游ゴシック" w:hAnsi="游ゴシック"/>
          <w:sz w:val="21"/>
          <w:szCs w:val="21"/>
        </w:rPr>
        <w:t xml:space="preserve">認定者数は、以降のサービス見込み量・給付費・保険料のすべての基礎になります。国の推計ワークシートの値を正とし、当方の検算を併記する形でよいかをご確認ください。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当方の検算は国の値より高い見込みです。認定率の上昇が続く場合は国の値が下振れしますので、毎年度の実績と要介護度別に突き合わせ、乖離が生じた時点で要介護度別に原因を特定する仕組み（素案6-4）を設けています。第9期計画は合計での検証のみであったため、合計が計画どおりでも要支援1が36%過少・要介護4が39%過大という内訳の乖離を把握できませんで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サービス種類別の見込み量</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令和5〜7年度は実績、令和9年度以降は見込みです。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123"/>
        <w:gridCol w:w="1404"/>
        <w:gridCol w:w="1404"/>
        <w:gridCol w:w="1404"/>
        <w:gridCol w:w="140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498"/>
        <w:gridCol w:w="168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64,551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keepNext/>
        <w:keepLines/>
        <w:spacing w:after="100" w:line="300" w:lineRule="exact"/>
      </w:pPr>
      <w:r>
        <w:rPr>
          <w:rFonts w:ascii="游ゴシック" w:cs="游ゴシック" w:eastAsia="游ゴシック" w:hAnsi="游ゴシック"/>
          <w:b/>
          <w:bCs/>
          <w:color w:val="2E75B6"/>
          <w:sz w:val="22"/>
          <w:szCs w:val="22"/>
        </w:rPr>
        <w:t xml:space="preserve">実績のないサービスの扱い</w:t>
      </w:r>
    </w:p>
    <w:p>
      <w:pPr>
        <w:spacing w:after="120" w:line="300" w:lineRule="exact"/>
      </w:pPr>
      <w:r>
        <w:rPr>
          <w:rFonts w:ascii="游ゴシック" w:cs="游ゴシック" w:eastAsia="游ゴシック" w:hAnsi="游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推計の幅をどう考えるか</w:t>
      </w:r>
    </w:p>
    <w:p>
      <w:pPr>
        <w:spacing w:after="120" w:line="300" w:lineRule="exact"/>
      </w:pPr>
      <w:r>
        <w:rPr>
          <w:rFonts w:ascii="游ゴシック" w:cs="游ゴシック" w:eastAsia="游ゴシック" w:hAnsi="游ゴシック"/>
          <w:sz w:val="21"/>
          <w:szCs w:val="21"/>
        </w:rPr>
        <w:t xml:space="preserve">本節は、数値そのものではなく、その数値がどれだけ確かなものかについてご説明します。保険料の議論（資料6）の前提になります。</w:t>
      </w:r>
    </w:p>
    <w:p>
      <w:pPr>
        <w:spacing w:after="120" w:line="300" w:lineRule="exact"/>
      </w:pPr>
      <w:r>
        <w:rPr>
          <w:rFonts w:ascii="游ゴシック" w:cs="游ゴシック" w:eastAsia="游ゴシック" w:hAnsi="游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単価が趨勢的に上がっていること</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サービスごとの伸びが大きく違うこと</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lineRule="exact"/>
      </w:pPr>
      <w:r>
        <w:rPr>
          <w:rFonts w:ascii="游ゴシック" w:cs="游ゴシック" w:eastAsia="游ゴシック" w:hAnsi="游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推計そのものに誤差があること</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1685"/>
        <w:gridCol w:w="2059"/>
        <w:gridCol w:w="2059"/>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lineRule="exact"/>
      </w:pPr>
      <w:r>
        <w:rPr>
          <w:rFonts w:ascii="游ゴシック" w:cs="游ゴシック" w:eastAsia="游ゴシック" w:hAnsi="游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keepNext/>
        <w:keepLines/>
        <w:spacing w:after="100" w:line="300" w:lineRule="exact"/>
      </w:pPr>
      <w:r>
        <w:rPr>
          <w:rFonts w:ascii="游ゴシック" w:cs="游ゴシック" w:eastAsia="游ゴシック" w:hAnsi="游ゴシック"/>
          <w:b/>
          <w:bCs/>
          <w:color w:val="2E75B6"/>
          <w:sz w:val="22"/>
          <w:szCs w:val="22"/>
        </w:rPr>
        <w:t xml:space="preserve">④ 自己点検の結果</w:t>
      </w:r>
    </w:p>
    <w:p>
      <w:pPr>
        <w:spacing w:after="120" w:line="300" w:lineRule="exact"/>
      </w:pPr>
      <w:r>
        <w:rPr>
          <w:rFonts w:ascii="游ゴシック" w:cs="游ゴシック" w:eastAsia="游ゴシック" w:hAnsi="游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lineRule="exact"/>
      </w:pPr>
      <w:r>
        <w:rPr>
          <w:rFonts w:ascii="游ゴシック" w:cs="游ゴシック" w:eastAsia="游ゴシック" w:hAnsi="游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3744"/>
        <w:gridCol w:w="337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lineRule="exact"/>
      </w:pPr>
      <w:r>
        <w:rPr>
          <w:rFonts w:ascii="游ゴシック" w:cs="游ゴシック" w:eastAsia="游ゴシック" w:hAnsi="游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施設整備の論点</w:t>
      </w:r>
    </w:p>
    <w:p>
      <w:pPr>
        <w:spacing w:after="120" w:line="300" w:lineRule="exact"/>
      </w:pPr>
      <w:r>
        <w:rPr>
          <w:rFonts w:ascii="游ゴシック" w:cs="游ゴシック" w:eastAsia="游ゴシック" w:hAnsi="游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keepNext/>
        <w:keepLines/>
        <w:spacing w:after="100" w:line="300" w:lineRule="exact"/>
      </w:pPr>
      <w:r>
        <w:rPr>
          <w:rFonts w:ascii="游ゴシック" w:cs="游ゴシック" w:eastAsia="游ゴシック" w:hAnsi="游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keepNext/>
        <w:keepLines/>
        <w:spacing w:after="100" w:line="300" w:lineRule="exact"/>
      </w:pPr>
      <w:r>
        <w:rPr>
          <w:rFonts w:ascii="游ゴシック" w:cs="游ゴシック" w:eastAsia="游ゴシック" w:hAnsi="游ゴシック"/>
          <w:b/>
          <w:bCs/>
          <w:color w:val="2E75B6"/>
          <w:sz w:val="22"/>
          <w:szCs w:val="22"/>
        </w:rPr>
        <w:t xml:space="preserve">ご議論いただきたい論点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第10期で施設整備を議論の対象とするかどうか</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介護人材の確保</w:t>
      </w:r>
    </w:p>
    <w:p>
      <w:pPr>
        <w:spacing w:after="120" w:line="300" w:lineRule="exact"/>
      </w:pPr>
      <w:r>
        <w:rPr>
          <w:rFonts w:ascii="游ゴシック" w:cs="游ゴシック" w:eastAsia="游ゴシック" w:hAnsi="游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研修の実施実績等のデータが未受領のため、本節は受領後に確定します。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lineRule="exact"/>
      </w:pPr>
      <w:r>
        <w:rPr>
          <w:rFonts w:ascii="游ゴシック" w:cs="游ゴシック" w:eastAsia="游ゴシック" w:hAnsi="游ゴシック"/>
          <w:sz w:val="21"/>
          <w:szCs w:val="21"/>
        </w:rPr>
        <w:t xml:space="preserve">令和8年10月に、村が県へ提出された国の推計ワークシート（将来推計総括表）の出力をご提供いただきました。第10期の保険料基準額は月額5,513.72円です。介護給付費準備基金の残高（令和8年度末の見込額）も42,128,183円と判明し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9期の6,760.76円に対し1,247.04円（▲18.45%）の引下げです。厚生労働省の事務連絡は、保険料が第9期と比べて大きく増減している場合には誤入力等がないか推計データ全体を確認することを求めており、本村はこれに当たるため確認を行いました（6-2）。</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本資料の数値は、村からの申し送りにより暫定である。福祉用具購入費・住宅改修費および令和9年4月に新設されるサービスが0で入っている。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日ご議論いただきたいのは、①介護給付費準備基金の取崩しをどの規模で行うか、②令和9年度以降も0で入っている6サービスを0のままとしてよいか、の2点である。②は国の集計の提出期限（令和8年10月13日18時）に関わ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6,014円</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第10期の保険料を考える前提</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keepNext/>
        <w:keepLines/>
        <w:spacing w:after="100" w:line="300" w:lineRule="exact"/>
      </w:pPr>
      <w:r>
        <w:rPr>
          <w:rFonts w:ascii="游ゴシック" w:cs="游ゴシック" w:eastAsia="游ゴシック" w:hAnsi="游ゴシック"/>
          <w:b/>
          <w:bCs/>
          <w:color w:val="2E75B6"/>
          <w:sz w:val="22"/>
          <w:szCs w:val="22"/>
        </w:rPr>
        <w:t xml:space="preserve">(1) 給付費は10年間ほぼ横ばいです</w:t>
      </w:r>
    </w:p>
    <w:p>
      <w:pPr>
        <w:spacing w:after="120" w:line="300" w:lineRule="exact"/>
      </w:pPr>
      <w:r>
        <w:rPr>
          <w:rFonts w:ascii="游ゴシック" w:cs="游ゴシック" w:eastAsia="游ゴシック" w:hAnsi="游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keepNext/>
        <w:keepLines/>
        <w:spacing w:after="100" w:line="300" w:lineRule="exact"/>
      </w:pPr>
      <w:r>
        <w:rPr>
          <w:rFonts w:ascii="游ゴシック" w:cs="游ゴシック" w:eastAsia="游ゴシック" w:hAnsi="游ゴシック"/>
          <w:b/>
          <w:bCs/>
          <w:color w:val="2E75B6"/>
          <w:sz w:val="22"/>
          <w:szCs w:val="22"/>
        </w:rPr>
        <w:t xml:space="preserve">(2) 調整交付金が10年で3分の2に減っています</w:t>
      </w:r>
    </w:p>
    <w:p>
      <w:pPr>
        <w:spacing w:after="120" w:line="300" w:lineRule="exact"/>
      </w:pPr>
      <w:r>
        <w:rPr>
          <w:rFonts w:ascii="游ゴシック" w:cs="游ゴシック" w:eastAsia="游ゴシック" w:hAnsi="游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keepNext/>
        <w:keepLines/>
        <w:spacing w:after="100" w:line="300" w:lineRule="exact"/>
      </w:pPr>
      <w:r>
        <w:rPr>
          <w:rFonts w:ascii="游ゴシック" w:cs="游ゴシック" w:eastAsia="游ゴシック" w:hAnsi="游ゴシック"/>
          <w:b/>
          <w:bCs/>
          <w:color w:val="2E75B6"/>
          <w:sz w:val="22"/>
          <w:szCs w:val="22"/>
        </w:rPr>
        <w:t xml:space="preserve">(3) 令和9年度は介護報酬の改定年です</w:t>
      </w:r>
    </w:p>
    <w:p>
      <w:pPr>
        <w:spacing w:after="120" w:line="300" w:lineRule="exact"/>
      </w:pPr>
      <w:r>
        <w:rPr>
          <w:rFonts w:ascii="游ゴシック" w:cs="游ゴシック" w:eastAsia="游ゴシック" w:hAnsi="游ゴシック"/>
          <w:sz w:val="21"/>
          <w:szCs w:val="21"/>
        </w:rPr>
        <w:t xml:space="preserve">第10期の初年度は介護報酬の改定にあたります。議事録の方針に従い、現行単価で一旦試算し、単価の確定後に補正します。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保険料の算定の構造と感応度</w:t>
      </w:r>
    </w:p>
    <w:p>
      <w:pPr>
        <w:spacing w:after="120" w:line="300" w:lineRule="exact"/>
      </w:pPr>
      <w:r>
        <w:rPr>
          <w:rFonts w:ascii="游ゴシック" w:cs="游ゴシック" w:eastAsia="游ゴシック" w:hAnsi="游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8611"/>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式</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 ＝（① ＋ 総合事業費）× 5％</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どの前提がどれだけ効くか</w:t>
      </w:r>
    </w:p>
    <w:p>
      <w:pPr>
        <w:spacing w:after="120" w:line="300" w:lineRule="exact"/>
      </w:pPr>
      <w:r>
        <w:rPr>
          <w:rFonts w:ascii="游ゴシック" w:cs="游ゴシック" w:eastAsia="游ゴシック" w:hAnsi="游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3"/>
        <w:gridCol w:w="3557"/>
      </w:tblGrid>
      <w:tr>
        <w:trPr>
          <w:cantSplit/>
          <w:tblHeader/>
        </w:trPr>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6-3b　介護給付費準備基金の取崩しの水準（ご審議事項①）</w:t>
      </w:r>
    </w:p>
    <w:p>
      <w:pPr>
        <w:spacing w:after="120" w:line="300" w:lineRule="exact"/>
      </w:pPr>
      <w:r>
        <w:rPr>
          <w:rFonts w:ascii="游ゴシック" w:cs="游ゴシック" w:eastAsia="游ゴシック" w:hAnsi="游ゴシック"/>
          <w:sz w:val="21"/>
          <w:szCs w:val="21"/>
        </w:rPr>
        <w:t xml:space="preserve">本日ご議論いただきたい1点目です。国の推計ワークシートは、準備基金の残高42,128,183円のうち40,000,000円（94.9%）を取り崩す前提で立っています。取崩額をいくらにするかは村のご判断であり、3つの水準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1217"/>
        <w:gridCol w:w="1217"/>
        <w:gridCol w:w="1030"/>
        <w:gridCol w:w="1123"/>
        <w:gridCol w:w="1030"/>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第10期の基準額（条例上）</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第9期6,700円との差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第11期の基準額（条例上）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基金を取り崩さない</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第9期と同程度に取り崩す</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国の推計ワークシートの前提どおり取り崩す</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9期の条例基準額は6,700円です。A案（基金を取り崩さない）でも条例上の基準額は6,600円となり、第9期を100円下回ります。取崩しをしなくても保険料は下がるということです。一方、第11期は逆の向きに動きます。A案では第11期が第10期を7.2%下回りますが、C案では31.4%上回ります。第10期で取り崩さずに残した分が、そのまま第11期の原資になるためで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本村の規模では推計の誤差が絶対値の平均で11.9%あり、保険料に換算すると月額約700円です（資料5）。上表の「残高の緩衝力」は、計画した取崩しを行った後に残る額が月額何円分の誤差を吸収できるかを示したものです。C案では月額58円分で、約700円の誤差を吸収できません。</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取崩額のご判断は、①第10期の保険料を下げること、②第11期の上がり幅を和らげること、③推計の誤差に備えることの3つの兼ね合いになります。当方からは案を示すにとどめ、どの水準を採るかをお決めいただきたく存じ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条例上の基準額は百円未満を切り捨てた額である。本村の第9期は算定上6,760.76円に対し条例6,700円であり、四捨五入（6,800円）では説明できないため、第9期の実例に合わせた。四捨五入で置くとB案の第10期が6,000円・第11期が6,800円となり、切捨てとは100円異なる。百円未満の処理は村の条例の定め方によるため、確かめたうえで確定す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11期の基準額は当方の試算である。国の中長期シートは第11期を令和12年度の単年で立てており、第11期の所得段階別加入割合補正後被保険者数を持たない。このため令和12年度の第1号被保険者数988人に所得段階別加入割合補正係数1.0190と12か月・予定保険料収納率99.50%を乗じて分母を組み、3か年に均した36,063人・月で残高を割っている。保険料は期を通じて同一に定めるため、残高を充てる効きは3か年の分母で割った値になる。シートの取崩額の欄に残高をそのまま入れると単年の分母（12,021人・月）で割られ、3倍大きく出る（A案では3,796.70円）。これはシートが第11期を単年で立てていることによるもので、期の保険料の姿ではない。分母の組み方は、同じ組み方で第10期の分母を復元して確かめた（ワークシートの値36,469人・月に対し36,499人・月。差＋0.08%）。取崩額を決める前に、国の推計ワークシートを操作した再計算により確かめることを村にお願いし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国の推計ワークシートは第11期の取崩額を0としているため、同シートの第11期の出力は7,301.29円である。上表のC案の第11期は、残る残高2,128,183円を第11期に充てた場合の値であり、充てない場合はシートどおりの7,301.29円にな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介護給付費準備基金の残高は、国の推計ワークシートにより42,128,183円（令和8年度末の見込額）と判明した。第9期計画の記載（24,000,000円）は期間合計である。差は解消した。</w:t>
      </w:r>
    </w:p>
    <w:p>
      <w:pPr>
        <w:keepNext/>
        <w:keepLines/>
        <w:spacing w:after="100" w:line="300" w:lineRule="exact"/>
      </w:pPr>
      <w:r>
        <w:rPr>
          <w:rFonts w:ascii="游ゴシック" w:cs="游ゴシック" w:eastAsia="游ゴシック" w:hAnsi="游ゴシック"/>
          <w:b/>
          <w:bCs/>
          <w:color w:val="2E75B6"/>
          <w:sz w:val="22"/>
          <w:szCs w:val="22"/>
        </w:rPr>
        <w:t xml:space="preserve">参考　当方がワークシートの提供を受ける前に算定した12のパターン</w:t>
      </w:r>
    </w:p>
    <w:p>
      <w:pPr>
        <w:spacing w:after="120" w:line="300" w:lineRule="exact"/>
      </w:pPr>
      <w:r>
        <w:rPr>
          <w:rFonts w:ascii="游ゴシック" w:cs="游ゴシック" w:eastAsia="游ゴシック" w:hAnsi="游ゴシック"/>
          <w:sz w:val="21"/>
          <w:szCs w:val="21"/>
        </w:rPr>
        <w:t xml:space="preserve">第1号被保険者負担割合と基金の取崩し、給付費の水準を組み合わせた12のパターンです。算定の仕組みを示すものとして残しています。取崩なしの基準額は当方の算定で6,756円、国の算定で6,610.55円であり、差は145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3370"/>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基準月額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12のパターンで5,936円から7,341円まで1,406円の幅がある。幅の内訳は、基金の取崩し702円、第1号被保険者負担割合294円、給付費の水準279円の順で大きい。第10期の第1号被保険者負担割合は国の推計ワークシートにより23%で据え置かれることが確かめられたため、24%の行は第11期以降の姿を見るための参考であ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所得段階の設定</w:t>
      </w:r>
    </w:p>
    <w:p>
      <w:pPr>
        <w:spacing w:after="120" w:line="300" w:lineRule="exact"/>
      </w:pPr>
      <w:r>
        <w:rPr>
          <w:rFonts w:ascii="游ゴシック" w:cs="游ゴシック" w:eastAsia="游ゴシック" w:hAnsi="游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2808"/>
        <w:gridCol w:w="262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2040年に向けた見通し</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給付費が減っても保険料は下がりません</w:t>
      </w:r>
    </w:p>
    <w:p>
      <w:pPr>
        <w:spacing w:after="120" w:line="300" w:lineRule="exact"/>
      </w:pPr>
      <w:r>
        <w:rPr>
          <w:rFonts w:ascii="游ゴシック" w:cs="游ゴシック" w:eastAsia="游ゴシック" w:hAnsi="游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keepNext/>
        <w:keepLines/>
        <w:spacing w:after="100" w:line="300" w:lineRule="exact"/>
      </w:pPr>
      <w:r>
        <w:rPr>
          <w:rFonts w:ascii="游ゴシック" w:cs="游ゴシック" w:eastAsia="游ゴシック" w:hAnsi="游ゴシック"/>
          <w:b/>
          <w:bCs/>
          <w:color w:val="2E75B6"/>
          <w:sz w:val="22"/>
          <w:szCs w:val="22"/>
        </w:rPr>
        <w:t xml:space="preserve">国の推計ワークシートによる中長期の保険料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1498"/>
        <w:gridCol w:w="1872"/>
        <w:gridCol w:w="1310"/>
        <w:gridCol w:w="1966"/>
        <w:gridCol w:w="1965"/>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96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96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96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11期（令和12年度）に＋32.4%%跳ね上がるのは、第10期で基金をほぼ使い切るためです。その先は一本調子ではなく、第12期（令和17年度）の8,281.46円に対し第14期（令和22年度）は7,735.73円へいったん下がります。調整交付金の見込交付割合が5.18%%から10.37%%へほぼ倍になるためです。高齢化が進むほど調整交付金が増え、保険料の上がり方が抑えられる方向に働き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後期高齢者加入割合補正係数（F）は参考シートの全国値（仮置値）による暫定値である。当方が国の式により復元を試みたところ令和17年度0.8604・令和22年度0.7459となり、ワークシートの値（0.9753・0.7790）と一致しなかった。算出に用いる加入割合の時点または区分の取り方が当方の想定と異なるものと考えられる。Fは0.1の違いで月額約250円動くため、算出方法の照会をお願いしている。また令和10年度からFの年齢区分が3区分から7区分に細分化され激変緩和の措置が設けられるため、第11期以降の値は現行の区分による参考値であ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以下は当方がワークシートの提供を受ける前に算定したものである。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7-1　指標の設定方針</w:t>
      </w:r>
    </w:p>
    <w:p>
      <w:pPr>
        <w:spacing w:after="120" w:line="300" w:lineRule="exact"/>
      </w:pPr>
      <w:r>
        <w:rPr>
          <w:rFonts w:ascii="游ゴシック" w:cs="游ゴシック" w:eastAsia="游ゴシック" w:hAnsi="游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lineRule="exact"/>
      </w:pPr>
      <w:r>
        <w:rPr>
          <w:rFonts w:ascii="游ゴシック" w:cs="游ゴシック" w:eastAsia="游ゴシック" w:hAnsi="游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434"/>
        <w:gridCol w:w="636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7-2　成果目標（アウトカム）</w:t>
      </w:r>
    </w:p>
    <w:p>
      <w:pPr>
        <w:spacing w:after="120" w:line="300" w:lineRule="exact"/>
      </w:pPr>
      <w:r>
        <w:rPr>
          <w:rFonts w:ascii="游ゴシック" w:cs="游ゴシック" w:eastAsia="游ゴシック" w:hAnsi="游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498"/>
        <w:gridCol w:w="2059"/>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 問5(1)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ニーズ調査（リスク判定）</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 問7(1)〜(4)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　活動指標（アウトプット）</w:t>
      </w:r>
    </w:p>
    <w:p>
      <w:pPr>
        <w:spacing w:after="120" w:line="300" w:lineRule="exact"/>
      </w:pPr>
      <w:r>
        <w:rPr>
          <w:rFonts w:ascii="游ゴシック" w:cs="游ゴシック" w:eastAsia="游ゴシック" w:hAnsi="游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498"/>
        <w:gridCol w:w="205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7-3b　全国と比べてどこを上げるか</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685"/>
        <w:gridCol w:w="1498"/>
        <w:gridCol w:w="2246"/>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方向</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7-3c　計画に書くことで取得できる評価指標（61点）</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749"/>
        <w:gridCol w:w="1123"/>
        <w:gridCol w:w="1030"/>
        <w:gridCol w:w="2340"/>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keepNext/>
        <w:keepLines/>
        <w:spacing w:after="100" w:line="300" w:lineRule="exact"/>
      </w:pPr>
      <w:r>
        <w:rPr>
          <w:rFonts w:ascii="游ゴシック" w:cs="游ゴシック" w:eastAsia="游ゴシック" w:hAnsi="游ゴシック"/>
          <w:b/>
          <w:bCs/>
          <w:color w:val="2E75B6"/>
          <w:sz w:val="22"/>
          <w:szCs w:val="22"/>
        </w:rPr>
        <w:t xml:space="preserve">村の取組の可否をご確認いただきたいもの</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残りの61点はどうなるのか</w:t>
      </w:r>
    </w:p>
    <w:p>
      <w:pPr>
        <w:spacing w:after="120" w:line="300" w:lineRule="exact"/>
      </w:pPr>
      <w:r>
        <w:rPr>
          <w:rFonts w:ascii="游ゴシック" w:cs="游ゴシック" w:eastAsia="游ゴシック" w:hAnsi="游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ニーズ調査・在宅介護実態調査・見える化分析を行うこと自体が条件を満たします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keepNext/>
        <w:keepLines/>
        <w:spacing w:after="100" w:line="300" w:lineRule="exact"/>
      </w:pPr>
      <w:r>
        <w:rPr>
          <w:rFonts w:ascii="游ゴシック" w:cs="游ゴシック" w:eastAsia="游ゴシック" w:hAnsi="游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310"/>
        <w:gridCol w:w="1404"/>
        <w:gridCol w:w="140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計画への記載等（56点）と認知症施策推進計画（5点）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18位</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512点</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条件付きの39点（事業の実施が前提）</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7-4　進捗管理の仕組み</w:t>
      </w:r>
    </w:p>
    <w:p>
      <w:pPr>
        <w:spacing w:after="120" w:line="300" w:lineRule="exact"/>
      </w:pPr>
      <w:r>
        <w:rPr>
          <w:rFonts w:ascii="游ゴシック" w:cs="游ゴシック" w:eastAsia="游ゴシック" w:hAnsi="游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655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keepNext/>
        <w:keepLines/>
        <w:spacing w:after="100" w:line="300" w:lineRule="exact"/>
      </w:pPr>
      <w:r>
        <w:rPr>
          <w:rFonts w:ascii="游ゴシック" w:cs="游ゴシック" w:eastAsia="游ゴシック" w:hAnsi="游ゴシック"/>
          <w:b/>
          <w:bCs/>
          <w:color w:val="2E75B6"/>
          <w:sz w:val="22"/>
          <w:szCs w:val="22"/>
        </w:rPr>
        <w:t xml:space="preserve">交付金の得点を数値目標に置くかどうか</w:t>
      </w:r>
    </w:p>
    <w:p>
      <w:pPr>
        <w:spacing w:after="120" w:line="300" w:lineRule="exact"/>
      </w:pPr>
      <w:r>
        <w:rPr>
          <w:rFonts w:ascii="游ゴシック" w:cs="游ゴシック" w:eastAsia="游ゴシック" w:hAnsi="游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lineRule="exact"/>
      </w:pPr>
      <w:r>
        <w:rPr>
          <w:rFonts w:ascii="游ゴシック" w:cs="游ゴシック" w:eastAsia="游ゴシック" w:hAnsi="游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616"/>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8-2　本日以降のスケジュール</w:t>
      </w:r>
    </w:p>
    <w:p>
      <w:pPr>
        <w:spacing w:after="120" w:line="300" w:lineRule="exact"/>
      </w:pPr>
      <w:r>
        <w:rPr>
          <w:rFonts w:ascii="游ゴシック" w:cs="游ゴシック" w:eastAsia="游ゴシック" w:hAnsi="游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123"/>
        <w:gridCol w:w="299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本委員会との関係</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本日の素案をもとに実施します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8-3　本日ご確認いただきたい日程</w:t>
      </w:r>
    </w:p>
    <w:p>
      <w:pPr>
        <w:spacing w:after="120" w:line="300" w:lineRule="exact"/>
      </w:pPr>
      <w:r>
        <w:rPr>
          <w:rFonts w:ascii="游ゴシック" w:cs="游ゴシック" w:eastAsia="游ゴシック" w:hAnsi="游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4306"/>
        <w:gridCol w:w="2246"/>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決め方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村がお決めになり、本日ご報告いただく</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本日、候補日をご調整いただく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8-4　スケジュール上の留意点</w:t>
      </w:r>
    </w:p>
    <w:p>
      <w:pPr>
        <w:spacing w:after="120" w:line="300" w:lineRule="exact"/>
      </w:pPr>
      <w:r>
        <w:rPr>
          <w:rFonts w:ascii="游ゴシック" w:cs="游ゴシック" w:eastAsia="游ゴシック" w:hAnsi="游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後ろにずれた場合の影響</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調査の集計が遅れた場合</w:t>
      </w:r>
    </w:p>
    <w:p>
      <w:pPr>
        <w:spacing w:after="120" w:line="300" w:lineRule="exact"/>
      </w:pPr>
      <w:r>
        <w:rPr>
          <w:rFonts w:ascii="游ゴシック" w:cs="游ゴシック" w:eastAsia="游ゴシック" w:hAnsi="游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2026-10-20T00:05:19.891Z</dcterms:created>
  <dcterms:modified xsi:type="dcterms:W3CDTF">2026-10-20T00:05:19.891Z</dcterms:modified>
</cp:coreProperties>
</file>

<file path=docProps/custom.xml><?xml version="1.0" encoding="utf-8"?>
<Properties xmlns="http://schemas.openxmlformats.org/officeDocument/2006/custom-properties" xmlns:vt="http://schemas.openxmlformats.org/officeDocument/2006/docPropsVTypes"/>
</file>